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Blissett Julian 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15" w:lineRule="auto"/>
        <w:rPr>
          <w:sz w:val="20"/>
          <w:szCs w:val="20"/>
          <w:color w:val="auto"/>
        </w:rPr>
      </w:pPr>
      <w:r>
        <w:rPr>
          <w:rFonts w:ascii="Arial" w:cs="Arial" w:eastAsia="Arial" w:hAnsi="Arial"/>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02/16/2022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05"/>
        <w:spacing w:after="0"/>
        <w:rPr>
          <w:sz w:val="20"/>
          <w:szCs w:val="20"/>
          <w:color w:val="auto"/>
        </w:rPr>
      </w:pPr>
      <w:r>
        <w:rPr>
          <w:rFonts w:ascii="Arial" w:cs="Arial" w:eastAsia="Arial" w:hAnsi="Arial"/>
          <w:sz w:val="17"/>
          <w:szCs w:val="17"/>
          <w:color w:val="0000FF"/>
        </w:rPr>
        <w:t>Executive Vice President</w:t>
      </w:r>
    </w:p>
    <w:p>
      <w:pPr>
        <w:spacing w:after="0" w:line="45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7"/>
          </w:tcPr>
          <w:p>
            <w:pPr>
              <w:ind w:left="140"/>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9"/>
          </w:tcPr>
          <w:p>
            <w:pPr>
              <w:ind w:left="4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rPr>
              <w:t>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48265</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500" w:type="dxa"/>
            <w:vAlign w:val="bottom"/>
            <w:tcBorders>
              <w:bottom w:val="single" w:sz="8" w:color="2C2C2C"/>
            </w:tcBorders>
            <w:gridSpan w:val="3"/>
          </w:tcPr>
          <w:p>
            <w:pPr>
              <w:spacing w:after="0"/>
              <w:rPr>
                <w:sz w:val="11"/>
                <w:szCs w:val="11"/>
                <w:color w:val="auto"/>
              </w:rPr>
            </w:pPr>
          </w:p>
        </w:tc>
        <w:tc>
          <w:tcPr>
            <w:tcW w:w="258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3"/>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780"/>
              <w:spacing w:after="0"/>
              <w:rPr>
                <w:sz w:val="20"/>
                <w:szCs w:val="20"/>
                <w:color w:val="auto"/>
              </w:rPr>
            </w:pPr>
            <w:r>
              <w:rPr>
                <w:rFonts w:ascii="Arial" w:cs="Arial" w:eastAsia="Arial" w:hAnsi="Arial"/>
                <w:sz w:val="17"/>
                <w:szCs w:val="17"/>
                <w:color w:val="0000FF"/>
              </w:rPr>
              <w:t>02/16/2022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7"/>
              </w:rPr>
              <w:t>21,742</w:t>
            </w:r>
            <w:r>
              <w:rPr>
                <w:rFonts w:ascii="Arial" w:cs="Arial" w:eastAsia="Arial" w:hAnsi="Arial"/>
                <w:sz w:val="22"/>
                <w:szCs w:val="22"/>
                <w:color w:val="008000"/>
                <w:w w:val="97"/>
                <w:vertAlign w:val="superscript"/>
              </w:rPr>
              <w:t>(1)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50.04</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35,653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reported in this Form 4 was effected pursuant to a Rule 10b5-1 trading plan.</w:t>
      </w:r>
    </w:p>
    <w:p>
      <w:pPr>
        <w:spacing w:after="0" w:line="50" w:lineRule="exact"/>
        <w:rPr>
          <w:rFonts w:ascii="Arial" w:cs="Arial" w:eastAsia="Arial" w:hAnsi="Arial"/>
          <w:sz w:val="13"/>
          <w:szCs w:val="13"/>
          <w:color w:val="008000"/>
        </w:rPr>
      </w:pPr>
    </w:p>
    <w:p>
      <w:pPr>
        <w:ind w:left="40" w:right="30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$50.00 to $50.18, inclusive. The Reporting Person undertakes to provide to the SEC, GM and any security holder, upon request, full information regarding the number of shares sold at each price point within the ranges set forth in this footnote.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Tia Y. Turk, Attorney-in-</w:t>
            </w:r>
          </w:p>
        </w:tc>
        <w:tc>
          <w:tcPr>
            <w:tcW w:w="1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02/18/2022</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Mr. Blissett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044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2022-02-18T16:13:54Z</dcterms:created>
  <dcterms:modified xsi:type="dcterms:W3CDTF">2022-02-18T16:13:54Z</dcterms:modified>
</cp:coreProperties>
</file>