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July 25, 2018</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GENERAL MOTORS COMPANY</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667-1500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62"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5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On July 25, 2018 General Motors Company (GM) issued a news release and supplemental materials on the subject of its 2018 second quarter earnings. The news release and supplemental materials are attached as Exhibit 99.1 and Exhibit 99.2.</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Charts furnished to securities analysts in connection with GM's 2018 second quarter earnings release are available on GM's website at www.gm.com/investors/earnings-releases.html.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200" w:type="dxa"/>
            <w:vAlign w:val="bottom"/>
            <w:gridSpan w:val="5"/>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3200" w:type="dxa"/>
            <w:vAlign w:val="bottom"/>
            <w:gridSpan w:val="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News Release Dated July 25, 2018</w:t>
              </w:r>
            </w:hyperlink>
          </w:p>
        </w:tc>
      </w:tr>
      <w:tr>
        <w:trPr>
          <w:trHeight w:val="20"/>
        </w:trPr>
        <w:tc>
          <w:tcPr>
            <w:tcW w:w="2860" w:type="dxa"/>
            <w:vAlign w:val="bottom"/>
            <w:gridSpan w:val="2"/>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99.2</w:t>
            </w:r>
          </w:p>
        </w:tc>
        <w:tc>
          <w:tcPr>
            <w:tcW w:w="3200" w:type="dxa"/>
            <w:vAlign w:val="bottom"/>
            <w:gridSpan w:val="5"/>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Financial Highlights Dated July 25, 2018</w:t>
              </w:r>
            </w:hyperlink>
          </w:p>
        </w:tc>
      </w:tr>
      <w:tr>
        <w:trPr>
          <w:trHeight w:val="20"/>
        </w:trPr>
        <w:tc>
          <w:tcPr>
            <w:tcW w:w="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6140" w:type="dxa"/>
            <w:vAlign w:val="bottom"/>
          </w:tcPr>
          <w:p>
            <w:pPr>
              <w:ind w:left="548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6140" w:type="dxa"/>
            <w:vAlign w:val="bottom"/>
            <w:vMerge w:val="restart"/>
          </w:tcPr>
          <w:p>
            <w:pPr>
              <w:spacing w:after="0"/>
              <w:rPr>
                <w:sz w:val="20"/>
                <w:szCs w:val="20"/>
                <w:color w:val="auto"/>
              </w:rPr>
            </w:pPr>
            <w:r>
              <w:rPr>
                <w:rFonts w:ascii="Arial" w:cs="Arial" w:eastAsia="Arial" w:hAnsi="Arial"/>
                <w:sz w:val="18"/>
                <w:szCs w:val="18"/>
                <w:color w:val="auto"/>
              </w:rPr>
              <w:t>Date: July 25, 2018</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1"/>
              </w:rPr>
              <w:t>Thomas S. Timko, Vice President, Global Business Solutions and Chief</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554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jc w:val="both"/>
        <w:ind w:firstLine="162"/>
        <w:spacing w:after="0" w:line="249" w:lineRule="auto"/>
        <w:rPr>
          <w:sz w:val="20"/>
          <w:szCs w:val="20"/>
          <w:color w:val="auto"/>
        </w:rPr>
      </w:pPr>
      <w:r>
        <w:rPr>
          <w:rFonts w:ascii="Arial" w:cs="Arial" w:eastAsia="Arial" w:hAnsi="Arial"/>
          <w:sz w:val="16"/>
          <w:szCs w:val="16"/>
          <w:color w:val="auto"/>
        </w:rPr>
        <w:t>Unless otherwise indicated, General Motors Company's (GM) non-GAAP measures are related to our continuing operations and not our discontinued operations. GM's non-GAAP measures include earnings before interest and taxes (EBIT)-adjusted, presented net of noncontrolling interests, Core EBIT-adjusted,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78"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62"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costs arising from the ignition switch recall and related legal matters. For EBIT-adjusted and our other non-GAAP measures, once we have made an adjustment in the current period for an item, we will also adjust the related non-GAAP measure in any future periods in which there is a significant impact from the item.</w:t>
      </w:r>
    </w:p>
    <w:p>
      <w:pPr>
        <w:spacing w:after="0" w:line="15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b w:val="1"/>
          <w:bCs w:val="1"/>
          <w:i w:val="1"/>
          <w:iCs w:val="1"/>
          <w:color w:val="auto"/>
        </w:rPr>
        <w:t xml:space="preserve">Core EBIT-adjusted </w:t>
      </w:r>
      <w:r>
        <w:rPr>
          <w:rFonts w:ascii="Arial" w:cs="Arial" w:eastAsia="Arial" w:hAnsi="Arial"/>
          <w:sz w:val="16"/>
          <w:szCs w:val="16"/>
          <w:color w:val="auto"/>
        </w:rPr>
        <w:t>Core EBIT-adjusted is used by management and can be used by investors to review our core consolidated operating results. Core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EBIT-adjusted begins with EBIT-adjusted and excludes the EBIT-adjusted results of GM Cruise. Previously Core EBIT-adjusted excluded the EBIT-adjusted results of autonomous vehicle operations, including GM Cruise, Maven and our investment in Lyft. The measure was changed to align with segment reporting. All periods presented have been recast to reflect the changes.</w:t>
      </w:r>
    </w:p>
    <w:p>
      <w:pPr>
        <w:spacing w:after="0" w:line="15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color w:val="auto"/>
        </w:rPr>
        <w:t>EPS-diluted-adjusted is used by management and can be used by investors to review our consolidated diluted EPS results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EPS-diluted-adjusted is 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51"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color w:val="auto"/>
        </w:rPr>
        <w:t>ETR-adjusted is used by management and can be used by investors to review the consolidated effective tax rate for our core operations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ETR-adjusted is calculated as Income tax expense less the income tax related to the adjustments noted above for EBIT-adjusted and the income tax adjustments noted above for EPS-diluted-adjusted divided by Income before income taxes less adjustments.</w:t>
      </w:r>
    </w:p>
    <w:p>
      <w:pPr>
        <w:spacing w:after="0" w:line="145" w:lineRule="exact"/>
        <w:rPr>
          <w:sz w:val="20"/>
          <w:szCs w:val="20"/>
          <w:color w:val="auto"/>
        </w:rPr>
      </w:pPr>
    </w:p>
    <w:p>
      <w:pPr>
        <w:jc w:val="both"/>
        <w:ind w:firstLine="162"/>
        <w:spacing w:after="0" w:line="256"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color w:val="auto"/>
        </w:rPr>
        <w:t>ROIC-adjusted is used by management and can be used by investors to review our investment and capital allocation decisions. We define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as EBIT-adjusted for the trailing four quarters divided by ROIC-adjusted average net assets, which is considered to be the average equity balances adjusted for average automotive debt and interest liabilities, exclusive of capital leases; average net pension and OPEB liabilities; and average automotive and other net income tax assets during the same period. Adjustments to the average equity balances exclude assets and liabilities classified as either assets held for sale or liabilities held for sale.</w:t>
      </w:r>
    </w:p>
    <w:p>
      <w:pPr>
        <w:spacing w:after="0" w:line="153" w:lineRule="exact"/>
        <w:rPr>
          <w:sz w:val="20"/>
          <w:szCs w:val="20"/>
          <w:color w:val="auto"/>
        </w:rPr>
      </w:pPr>
    </w:p>
    <w:p>
      <w:pPr>
        <w:jc w:val="both"/>
        <w:ind w:firstLine="162"/>
        <w:spacing w:after="0" w:line="256"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color w:val="auto"/>
        </w:rPr>
        <w:t>Adjusted automotive free cash flow is used by management and can be used by investors to review the liquidity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plant closure that are considered special for EBIT-adjusted purposes.</w:t>
      </w:r>
    </w:p>
    <w:p>
      <w:pPr>
        <w:spacing w:after="0" w:line="200" w:lineRule="exact"/>
        <w:rPr>
          <w:sz w:val="20"/>
          <w:szCs w:val="20"/>
          <w:color w:val="auto"/>
        </w:rPr>
      </w:pPr>
    </w:p>
    <w:p>
      <w:pPr>
        <w:spacing w:after="0" w:line="216"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segment profit (loss) to Net income attributable to stockholders under U.S. GAAP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2018</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2017</w:t>
            </w: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2018</w:t>
            </w:r>
          </w:p>
        </w:tc>
        <w:tc>
          <w:tcPr>
            <w:tcW w:w="200" w:type="dxa"/>
            <w:vAlign w:val="bottom"/>
          </w:tcPr>
          <w:p>
            <w:pPr>
              <w:spacing w:after="0"/>
              <w:rPr>
                <w:sz w:val="22"/>
                <w:szCs w:val="22"/>
                <w:color w:val="auto"/>
              </w:rPr>
            </w:pPr>
          </w:p>
        </w:tc>
        <w:tc>
          <w:tcPr>
            <w:tcW w:w="1160" w:type="dxa"/>
            <w:vAlign w:val="bottom"/>
          </w:tcPr>
          <w:p>
            <w:pPr>
              <w:jc w:val="right"/>
              <w:ind w:right="200"/>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Operating segments</w:t>
            </w: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 North America (GMNA)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4,903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6,946</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GM International (GMI)</w:t>
            </w:r>
          </w:p>
        </w:tc>
        <w:tc>
          <w:tcPr>
            <w:tcW w:w="20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 Cruise</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General Motors Financial Company, Inc. (GM Financial)(a)</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979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operating segments</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3,195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5,894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7,736</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Corporate and eliminations(b)</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EBIT-adjusted</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3,192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5,802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7,236</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GMI restructuring(c)</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64"/>
        </w:trPr>
        <w:tc>
          <w:tcPr>
            <w:tcW w:w="5620" w:type="dxa"/>
            <w:vAlign w:val="bottom"/>
          </w:tcPr>
          <w:p>
            <w:pPr>
              <w:ind w:left="180"/>
              <w:spacing w:after="0"/>
              <w:rPr>
                <w:sz w:val="20"/>
                <w:szCs w:val="20"/>
                <w:color w:val="auto"/>
              </w:rPr>
            </w:pPr>
            <w:r>
              <w:rPr>
                <w:rFonts w:ascii="Arial" w:cs="Arial" w:eastAsia="Arial" w:hAnsi="Arial"/>
                <w:sz w:val="16"/>
                <w:szCs w:val="16"/>
                <w:color w:val="auto"/>
              </w:rPr>
              <w:t>Ignition switch recall and related legal matters(d)</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adjustments</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Automotive interest income</w:t>
            </w:r>
          </w:p>
        </w:tc>
        <w:tc>
          <w:tcPr>
            <w:tcW w:w="20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Automotive interest expense</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operations(e)</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5,107</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tax(f)</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stockholders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6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 Financial amounts represent earnings before income taxes-adjusted.</w:t>
      </w:r>
    </w:p>
    <w:p>
      <w:pPr>
        <w:spacing w:after="0" w:line="1" w:lineRule="exact"/>
        <w:rPr>
          <w:rFonts w:ascii="Arial" w:cs="Arial" w:eastAsia="Arial" w:hAnsi="Arial"/>
          <w:sz w:val="14"/>
          <w:szCs w:val="14"/>
          <w:color w:val="auto"/>
        </w:rPr>
      </w:pPr>
    </w:p>
    <w:p>
      <w:pPr>
        <w:jc w:val="both"/>
        <w:ind w:left="340" w:hanging="332"/>
        <w:spacing w:after="0" w:line="243"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GM's automotive operations' interest income and interest expense, Maven, legacy costs from the Opel and Vauxhall businesses and certain other assets in Europe (the Opel/Vauxhall Business), which are primarily pension costs, corporate expenditures and certain nonsegment specific revenues and expenses are recorded centrally in Corporate.</w:t>
      </w:r>
    </w:p>
    <w:p>
      <w:pPr>
        <w:spacing w:after="0" w:line="160"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supplier claims and employee separation charges in the three months ended June 30, 2018 and asset impairments and employee separation charges in the six months ended June 30, 2018, all in Korea. The adjustment in the three and six months ended June 30, 2017 primarily consists of asset impairments and other restructuring actions in India, South Africa and Venezuela.</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adjustments were excluded because of the unique events associated with the ignition switch recall. These events included various investigations, inquiries, and complaints from constituents.</w:t>
      </w: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of Net (income) loss attributable to noncontrolling interests.</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results of the Opel/Vauxhall Business and our European financing subsidiaries and branches (the Fincos, and together with the Opel/Vauxhall Business, the European Business).</w:t>
      </w:r>
    </w:p>
    <w:p>
      <w:pPr>
        <w:spacing w:after="0" w:line="200" w:lineRule="exact"/>
        <w:rPr>
          <w:sz w:val="20"/>
          <w:szCs w:val="20"/>
          <w:color w:val="auto"/>
        </w:rPr>
      </w:pPr>
    </w:p>
    <w:p>
      <w:pPr>
        <w:spacing w:after="0" w:line="342"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5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(loss) attributable to stockholders under U.S. GAAP to EBIT-adjusted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5"/>
          </w:tcPr>
          <w:p>
            <w:pPr>
              <w:ind w:left="32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21"/>
                <w:szCs w:val="21"/>
                <w:color w:val="auto"/>
              </w:rPr>
            </w:pPr>
          </w:p>
        </w:tc>
        <w:tc>
          <w:tcPr>
            <w:tcW w:w="1420" w:type="dxa"/>
            <w:vAlign w:val="bottom"/>
            <w:gridSpan w:val="5"/>
          </w:tcPr>
          <w:p>
            <w:pPr>
              <w:ind w:left="20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21"/>
                <w:szCs w:val="21"/>
                <w:color w:val="auto"/>
              </w:rPr>
            </w:pPr>
          </w:p>
        </w:tc>
        <w:tc>
          <w:tcPr>
            <w:tcW w:w="1300" w:type="dxa"/>
            <w:vAlign w:val="bottom"/>
            <w:gridSpan w:val="4"/>
          </w:tcPr>
          <w:p>
            <w:pPr>
              <w:jc w:val="right"/>
              <w:ind w:right="189"/>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(Income) loss from discontinued operations, net of tax</w:t>
            </w:r>
          </w:p>
        </w:tc>
        <w:tc>
          <w:tcPr>
            <w:tcW w:w="1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3,096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Automotive interest expense</w:t>
            </w:r>
          </w:p>
        </w:tc>
        <w:tc>
          <w:tcPr>
            <w:tcW w:w="16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Automotive interest income</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GMI restructuring(a)</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Ignition switch recall and related legal matters(a)</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235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adjustments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EBIT-adjusted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3,192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3,682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2,610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3,554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3,085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2,598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2,523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3,662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jc w:val="right"/>
              <w:ind w:right="4448"/>
              <w:spacing w:after="0"/>
              <w:rPr>
                <w:sz w:val="20"/>
                <w:szCs w:val="20"/>
                <w:color w:val="auto"/>
              </w:rPr>
            </w:pPr>
            <w:r>
              <w:rPr>
                <w:rFonts w:ascii="Arial" w:cs="Arial" w:eastAsia="Arial" w:hAnsi="Arial"/>
                <w:sz w:val="14"/>
                <w:szCs w:val="14"/>
                <w:color w:val="auto"/>
                <w:w w:val="99"/>
              </w:rPr>
              <w:t>________</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line="258"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Refer to the reconciliation of segment profit (loss) to Net income attributable to stockholders under U.S. GAAP within the previous section for the details of each individual adjustment.</w:t>
      </w:r>
    </w:p>
    <w:p>
      <w:pPr>
        <w:spacing w:after="0" w:line="200" w:lineRule="exact"/>
        <w:rPr>
          <w:sz w:val="20"/>
          <w:szCs w:val="20"/>
          <w:color w:val="auto"/>
        </w:rPr>
      </w:pPr>
    </w:p>
    <w:p>
      <w:pPr>
        <w:spacing w:after="0" w:line="3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EBIT-adjusted to Core EBIT-adjusted: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783"/>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2018</w:t>
            </w:r>
          </w:p>
        </w:tc>
        <w:tc>
          <w:tcPr>
            <w:tcW w:w="18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2017</w:t>
            </w:r>
          </w:p>
        </w:tc>
        <w:tc>
          <w:tcPr>
            <w:tcW w:w="20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2018</w:t>
            </w:r>
          </w:p>
        </w:tc>
        <w:tc>
          <w:tcPr>
            <w:tcW w:w="200" w:type="dxa"/>
            <w:vAlign w:val="bottom"/>
          </w:tcPr>
          <w:p>
            <w:pPr>
              <w:spacing w:after="0"/>
              <w:rPr>
                <w:sz w:val="21"/>
                <w:szCs w:val="21"/>
                <w:color w:val="auto"/>
              </w:rPr>
            </w:pPr>
          </w:p>
        </w:tc>
        <w:tc>
          <w:tcPr>
            <w:tcW w:w="1160" w:type="dxa"/>
            <w:vAlign w:val="bottom"/>
          </w:tcPr>
          <w:p>
            <w:pPr>
              <w:jc w:val="right"/>
              <w:ind w:right="203"/>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43"/>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EBIT-adjusted(a)</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3,192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3,682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5,802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7,236</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EBIT loss-adjusted – GM Cruise</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Core EBIT-adjusted</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26"/>
              <w:spacing w:after="0"/>
              <w:rPr>
                <w:sz w:val="20"/>
                <w:szCs w:val="20"/>
                <w:color w:val="auto"/>
              </w:rPr>
            </w:pPr>
            <w:r>
              <w:rPr>
                <w:rFonts w:ascii="Arial" w:cs="Arial" w:eastAsia="Arial" w:hAnsi="Arial"/>
                <w:sz w:val="16"/>
                <w:szCs w:val="16"/>
                <w:color w:val="auto"/>
              </w:rPr>
              <w:t>3,346</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3,839</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26"/>
              <w:spacing w:after="0"/>
              <w:rPr>
                <w:sz w:val="20"/>
                <w:szCs w:val="20"/>
                <w:color w:val="auto"/>
              </w:rPr>
            </w:pPr>
            <w:r>
              <w:rPr>
                <w:rFonts w:ascii="Arial" w:cs="Arial" w:eastAsia="Arial" w:hAnsi="Arial"/>
                <w:sz w:val="16"/>
                <w:szCs w:val="16"/>
                <w:color w:val="auto"/>
              </w:rPr>
              <w:t>6,122</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7,526</w:t>
            </w:r>
          </w:p>
        </w:tc>
        <w:tc>
          <w:tcPr>
            <w:tcW w:w="0" w:type="dxa"/>
            <w:vAlign w:val="bottom"/>
          </w:tcPr>
          <w:p>
            <w:pPr>
              <w:spacing w:after="0"/>
              <w:rPr>
                <w:sz w:val="1"/>
                <w:szCs w:val="1"/>
                <w:color w:val="auto"/>
              </w:rPr>
            </w:pPr>
          </w:p>
        </w:tc>
      </w:tr>
      <w:tr>
        <w:trPr>
          <w:trHeight w:val="189"/>
        </w:trPr>
        <w:tc>
          <w:tcPr>
            <w:tcW w:w="56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under U.S. GAAP to EBIT-adjusted.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5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diluted earnings per common share under U.S. GAAP to EPS-diluted-adjusted (dollars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5"/>
          </w:tcPr>
          <w:p>
            <w:pPr>
              <w:ind w:left="220"/>
              <w:spacing w:after="0"/>
              <w:rPr>
                <w:sz w:val="20"/>
                <w:szCs w:val="20"/>
                <w:color w:val="auto"/>
              </w:rPr>
            </w:pPr>
            <w:r>
              <w:rPr>
                <w:rFonts w:ascii="Arial" w:cs="Arial" w:eastAsia="Arial" w:hAnsi="Arial"/>
                <w:sz w:val="11"/>
                <w:szCs w:val="11"/>
                <w:b w:val="1"/>
                <w:bCs w:val="1"/>
                <w:color w:val="auto"/>
              </w:rPr>
              <w:t>Three Months Ended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ind w:left="240"/>
              <w:spacing w:after="0"/>
              <w:rPr>
                <w:sz w:val="20"/>
                <w:szCs w:val="20"/>
                <w:color w:val="auto"/>
              </w:rPr>
            </w:pPr>
            <w:r>
              <w:rPr>
                <w:rFonts w:ascii="Arial" w:cs="Arial" w:eastAsia="Arial" w:hAnsi="Arial"/>
                <w:sz w:val="11"/>
                <w:szCs w:val="11"/>
                <w:b w:val="1"/>
                <w:bCs w:val="1"/>
                <w:color w:val="auto"/>
              </w:rPr>
              <w:t>Six Months Ended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5"/>
          </w:tcPr>
          <w:p>
            <w:pPr>
              <w:ind w:left="380"/>
              <w:spacing w:after="0"/>
              <w:rPr>
                <w:sz w:val="20"/>
                <w:szCs w:val="20"/>
                <w:color w:val="auto"/>
              </w:rPr>
            </w:pPr>
            <w:r>
              <w:rPr>
                <w:rFonts w:ascii="Arial" w:cs="Arial" w:eastAsia="Arial" w:hAnsi="Arial"/>
                <w:sz w:val="11"/>
                <w:szCs w:val="11"/>
                <w:b w:val="1"/>
                <w:bCs w:val="1"/>
                <w:color w:val="auto"/>
              </w:rPr>
              <w:t>June 30, 2018</w:t>
            </w:r>
          </w:p>
        </w:tc>
        <w:tc>
          <w:tcPr>
            <w:tcW w:w="140" w:type="dxa"/>
            <w:vAlign w:val="bottom"/>
          </w:tcPr>
          <w:p>
            <w:pPr>
              <w:spacing w:after="0"/>
              <w:rPr>
                <w:sz w:val="19"/>
                <w:szCs w:val="19"/>
                <w:color w:val="auto"/>
              </w:rPr>
            </w:pPr>
          </w:p>
        </w:tc>
        <w:tc>
          <w:tcPr>
            <w:tcW w:w="1760" w:type="dxa"/>
            <w:vAlign w:val="bottom"/>
            <w:gridSpan w:val="5"/>
          </w:tcPr>
          <w:p>
            <w:pPr>
              <w:ind w:left="420"/>
              <w:spacing w:after="0"/>
              <w:rPr>
                <w:sz w:val="20"/>
                <w:szCs w:val="20"/>
                <w:color w:val="auto"/>
              </w:rPr>
            </w:pPr>
            <w:r>
              <w:rPr>
                <w:rFonts w:ascii="Arial" w:cs="Arial" w:eastAsia="Arial" w:hAnsi="Arial"/>
                <w:sz w:val="11"/>
                <w:szCs w:val="11"/>
                <w:b w:val="1"/>
                <w:bCs w:val="1"/>
                <w:color w:val="auto"/>
              </w:rPr>
              <w:t>June 30, 2017</w:t>
            </w:r>
          </w:p>
        </w:tc>
        <w:tc>
          <w:tcPr>
            <w:tcW w:w="140" w:type="dxa"/>
            <w:vAlign w:val="bottom"/>
          </w:tcPr>
          <w:p>
            <w:pPr>
              <w:spacing w:after="0"/>
              <w:rPr>
                <w:sz w:val="19"/>
                <w:szCs w:val="19"/>
                <w:color w:val="auto"/>
              </w:rPr>
            </w:pPr>
          </w:p>
        </w:tc>
        <w:tc>
          <w:tcPr>
            <w:tcW w:w="1640" w:type="dxa"/>
            <w:vAlign w:val="bottom"/>
            <w:gridSpan w:val="5"/>
          </w:tcPr>
          <w:p>
            <w:pPr>
              <w:ind w:left="360"/>
              <w:spacing w:after="0"/>
              <w:rPr>
                <w:sz w:val="20"/>
                <w:szCs w:val="20"/>
                <w:color w:val="auto"/>
              </w:rPr>
            </w:pPr>
            <w:r>
              <w:rPr>
                <w:rFonts w:ascii="Arial" w:cs="Arial" w:eastAsia="Arial" w:hAnsi="Arial"/>
                <w:sz w:val="11"/>
                <w:szCs w:val="11"/>
                <w:b w:val="1"/>
                <w:bCs w:val="1"/>
                <w:color w:val="auto"/>
              </w:rPr>
              <w:t>June 30, 2018</w:t>
            </w:r>
          </w:p>
        </w:tc>
        <w:tc>
          <w:tcPr>
            <w:tcW w:w="160" w:type="dxa"/>
            <w:vAlign w:val="bottom"/>
          </w:tcPr>
          <w:p>
            <w:pPr>
              <w:spacing w:after="0"/>
              <w:rPr>
                <w:sz w:val="19"/>
                <w:szCs w:val="19"/>
                <w:color w:val="auto"/>
              </w:rPr>
            </w:pPr>
          </w:p>
        </w:tc>
        <w:tc>
          <w:tcPr>
            <w:tcW w:w="1520" w:type="dxa"/>
            <w:vAlign w:val="bottom"/>
            <w:gridSpan w:val="4"/>
          </w:tcPr>
          <w:p>
            <w:pPr>
              <w:jc w:val="right"/>
              <w:ind w:right="403"/>
              <w:spacing w:after="0"/>
              <w:rPr>
                <w:sz w:val="20"/>
                <w:szCs w:val="20"/>
                <w:color w:val="auto"/>
              </w:rPr>
            </w:pPr>
            <w:r>
              <w:rPr>
                <w:rFonts w:ascii="Arial" w:cs="Arial" w:eastAsia="Arial" w:hAnsi="Arial"/>
                <w:sz w:val="11"/>
                <w:szCs w:val="11"/>
                <w:b w:val="1"/>
                <w:bCs w:val="1"/>
                <w:color w:val="auto"/>
              </w:rPr>
              <w:t>June 30, 2017</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Per Share</w:t>
            </w:r>
          </w:p>
        </w:tc>
        <w:tc>
          <w:tcPr>
            <w:tcW w:w="140" w:type="dxa"/>
            <w:vAlign w:val="bottom"/>
          </w:tcPr>
          <w:p>
            <w:pPr>
              <w:spacing w:after="0"/>
              <w:rPr>
                <w:sz w:val="21"/>
                <w:szCs w:val="2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Per Share</w:t>
            </w:r>
          </w:p>
        </w:tc>
        <w:tc>
          <w:tcPr>
            <w:tcW w:w="140" w:type="dxa"/>
            <w:vAlign w:val="bottom"/>
          </w:tcPr>
          <w:p>
            <w:pPr>
              <w:spacing w:after="0"/>
              <w:rPr>
                <w:sz w:val="21"/>
                <w:szCs w:val="2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Per Share</w:t>
            </w:r>
          </w:p>
        </w:tc>
        <w:tc>
          <w:tcPr>
            <w:tcW w:w="1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21"/>
                <w:szCs w:val="21"/>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b w:val="1"/>
                <w:bCs w:val="1"/>
                <w:color w:val="auto"/>
                <w:w w:val="97"/>
              </w:rPr>
              <w:t>Per Share</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2,375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1,660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3,407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4,268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Arial" w:cs="Arial" w:eastAsia="Arial" w:hAnsi="Arial"/>
                <w:sz w:val="16"/>
                <w:szCs w:val="16"/>
                <w:color w:val="auto"/>
              </w:rPr>
              <w:t>Diluted loss per common share – discontinued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4080" w:type="dxa"/>
            <w:vAlign w:val="bottom"/>
          </w:tcPr>
          <w:p>
            <w:pPr>
              <w:ind w:left="18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tcPr>
          <w:p>
            <w:pPr>
              <w:jc w:val="right"/>
              <w:ind w:right="47"/>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7"/>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7"/>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27"/>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Adjustments(a)</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1,138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0.80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654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effect on adjustment(b)</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EPS-diluted-adjusted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2,591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2,876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4,635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5,553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jc w:val="right"/>
              <w:ind w:right="3419"/>
              <w:spacing w:after="0"/>
              <w:rPr>
                <w:sz w:val="20"/>
                <w:szCs w:val="20"/>
                <w:color w:val="auto"/>
              </w:rPr>
            </w:pPr>
            <w:r>
              <w:rPr>
                <w:rFonts w:ascii="Arial" w:cs="Arial" w:eastAsia="Arial" w:hAnsi="Arial"/>
                <w:sz w:val="14"/>
                <w:szCs w:val="14"/>
                <w:color w:val="auto"/>
                <w:w w:val="99"/>
              </w:rPr>
              <w:t>________</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line="249"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the reconciliation of segment profit (loss) to Net income attributable to stockholders under U.S. GAAP within the previous section for the details of each individual adjustment.</w:t>
      </w:r>
    </w:p>
    <w:p>
      <w:pPr>
        <w:ind w:left="340" w:hanging="332"/>
        <w:spacing w:after="0" w:line="229"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4"/>
          <w:szCs w:val="14"/>
          <w:color w:val="auto"/>
        </w:rPr>
        <w:t>The tax effect of each adjustment is determined based on the tax laws and valuation allowance status of the jurisdiction in which the adjustment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under U.S. GAAP to ETR-adjusted (dollars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ind w:left="220"/>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5"/>
          </w:tcPr>
          <w:p>
            <w:pPr>
              <w:ind w:left="320"/>
              <w:spacing w:after="0"/>
              <w:rPr>
                <w:sz w:val="20"/>
                <w:szCs w:val="20"/>
                <w:color w:val="auto"/>
              </w:rPr>
            </w:pPr>
            <w:r>
              <w:rPr>
                <w:rFonts w:ascii="Arial" w:cs="Arial" w:eastAsia="Arial" w:hAnsi="Arial"/>
                <w:sz w:val="11"/>
                <w:szCs w:val="11"/>
                <w:b w:val="1"/>
                <w:bCs w:val="1"/>
                <w:color w:val="auto"/>
              </w:rPr>
              <w:t>Six Months Ended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7"/>
              </w:rPr>
              <w:t>June 30, 2018</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ind w:left="40"/>
              <w:spacing w:after="0"/>
              <w:rPr>
                <w:sz w:val="20"/>
                <w:szCs w:val="20"/>
                <w:color w:val="auto"/>
              </w:rPr>
            </w:pPr>
            <w:r>
              <w:rPr>
                <w:rFonts w:ascii="Arial" w:cs="Arial" w:eastAsia="Arial" w:hAnsi="Arial"/>
                <w:sz w:val="11"/>
                <w:szCs w:val="11"/>
                <w:b w:val="1"/>
                <w:bCs w:val="1"/>
                <w:color w:val="auto"/>
              </w:rPr>
              <w:t>June 30, 2017</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ind w:left="40"/>
              <w:spacing w:after="0"/>
              <w:rPr>
                <w:sz w:val="20"/>
                <w:szCs w:val="20"/>
                <w:color w:val="auto"/>
              </w:rPr>
            </w:pPr>
            <w:r>
              <w:rPr>
                <w:rFonts w:ascii="Arial" w:cs="Arial" w:eastAsia="Arial" w:hAnsi="Arial"/>
                <w:sz w:val="11"/>
                <w:szCs w:val="11"/>
                <w:b w:val="1"/>
                <w:bCs w:val="1"/>
                <w:color w:val="auto"/>
              </w:rPr>
              <w:t>June 30, 2018</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June 30, 2017</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before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before</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before</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before</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income</w:t>
            </w:r>
          </w:p>
        </w:tc>
        <w:tc>
          <w:tcPr>
            <w:tcW w:w="7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Income tax</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Effective tax</w:t>
            </w:r>
          </w:p>
        </w:tc>
        <w:tc>
          <w:tcPr>
            <w:tcW w:w="12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8"/>
              </w:rPr>
              <w:t>income</w:t>
            </w:r>
          </w:p>
        </w:tc>
        <w:tc>
          <w:tcPr>
            <w:tcW w:w="7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Income tax</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Effective tax</w:t>
            </w:r>
          </w:p>
        </w:tc>
        <w:tc>
          <w:tcPr>
            <w:tcW w:w="12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8"/>
              </w:rPr>
              <w:t>income</w:t>
            </w: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Income tax</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Effective tax</w:t>
            </w:r>
          </w:p>
        </w:tc>
        <w:tc>
          <w:tcPr>
            <w:tcW w:w="12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8"/>
              </w:rPr>
              <w:t>income</w:t>
            </w: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rPr>
              <w:t>Income tax</w:t>
            </w: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Effective tax</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taxes</w:t>
            </w: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expense</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rate</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taxes</w:t>
            </w:r>
          </w:p>
        </w:tc>
        <w:tc>
          <w:tcPr>
            <w:tcW w:w="1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5"/>
              </w:rPr>
              <w:t>expense</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rate</w:t>
            </w:r>
          </w:p>
        </w:tc>
        <w:tc>
          <w:tcPr>
            <w:tcW w:w="1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taxes</w:t>
            </w: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expense</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rate</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taxes</w:t>
            </w:r>
          </w:p>
        </w:tc>
        <w:tc>
          <w:tcPr>
            <w:tcW w:w="12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expense</w:t>
            </w:r>
          </w:p>
        </w:tc>
        <w:tc>
          <w:tcPr>
            <w:tcW w:w="720" w:type="dxa"/>
            <w:vAlign w:val="bottom"/>
          </w:tcPr>
          <w:p>
            <w:pPr>
              <w:jc w:val="right"/>
              <w:ind w:right="197"/>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22"/>
        </w:trPr>
        <w:tc>
          <w:tcPr>
            <w:tcW w:w="1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2,885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2,967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4,461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985</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6,440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1,321</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Adjustments(a)(b)</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237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654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1,179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654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ETR-adjusted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3,122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3,621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5,640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7,094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1,529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0"/>
        </w:trPr>
        <w:tc>
          <w:tcPr>
            <w:tcW w:w="1960" w:type="dxa"/>
            <w:vAlign w:val="bottom"/>
            <w:vMerge w:val="restart"/>
          </w:tcPr>
          <w:p>
            <w:pPr>
              <w:jc w:val="right"/>
              <w:ind w:right="1241"/>
              <w:spacing w:after="0"/>
              <w:rPr>
                <w:sz w:val="20"/>
                <w:szCs w:val="20"/>
                <w:color w:val="auto"/>
              </w:rPr>
            </w:pPr>
            <w:r>
              <w:rPr>
                <w:rFonts w:ascii="Arial" w:cs="Arial" w:eastAsia="Arial" w:hAnsi="Arial"/>
                <w:sz w:val="14"/>
                <w:szCs w:val="14"/>
                <w:color w:val="auto"/>
                <w:w w:val="99"/>
              </w:rPr>
              <w:t>________</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line="24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Refer to the reconciliation of segment profit (loss) to Net income attributable to stockholders under U.S. GAAP within the previous section for the details of each individual adjustment. Net income attributable to noncontrolling interests for these adjustments of $41 million are included in the three and six months ended June 30, 2018.</w:t>
      </w:r>
    </w:p>
    <w:p>
      <w:pPr>
        <w:ind w:left="340" w:hanging="332"/>
        <w:spacing w:after="0" w:line="229"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4"/>
          <w:szCs w:val="14"/>
          <w:color w:val="auto"/>
        </w:rPr>
        <w:t>The tax effect of each adjustment is determined based on the tax laws and valuation allowance status of the jurisdiction in which the adjustment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5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jc w:val="both"/>
        <w:ind w:right="20" w:firstLine="162"/>
        <w:spacing w:after="0" w:line="253" w:lineRule="auto"/>
        <w:rPr>
          <w:sz w:val="20"/>
          <w:szCs w:val="20"/>
          <w:color w:val="auto"/>
        </w:rPr>
      </w:pPr>
      <w:r>
        <w:rPr>
          <w:rFonts w:ascii="Arial" w:cs="Arial" w:eastAsia="Arial" w:hAnsi="Arial"/>
          <w:sz w:val="16"/>
          <w:szCs w:val="16"/>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1003"/>
              <w:spacing w:after="0"/>
              <w:rPr>
                <w:sz w:val="20"/>
                <w:szCs w:val="20"/>
                <w:color w:val="auto"/>
              </w:rPr>
            </w:pPr>
            <w:r>
              <w:rPr>
                <w:rFonts w:ascii="Arial" w:cs="Arial" w:eastAsia="Arial" w:hAnsi="Arial"/>
                <w:sz w:val="13"/>
                <w:szCs w:val="13"/>
                <w:b w:val="1"/>
                <w:bCs w:val="1"/>
                <w:color w:val="auto"/>
              </w:rPr>
              <w:t>Four Quarters Ended</w:t>
            </w:r>
          </w:p>
        </w:tc>
      </w:tr>
      <w:tr>
        <w:trPr>
          <w:trHeight w:val="264"/>
        </w:trPr>
        <w:tc>
          <w:tcPr>
            <w:tcW w:w="20" w:type="dxa"/>
            <w:vAlign w:val="bottom"/>
          </w:tcPr>
          <w:p>
            <w:pPr>
              <w:spacing w:after="0"/>
              <w:rPr>
                <w:sz w:val="22"/>
                <w:szCs w:val="22"/>
                <w:color w:val="auto"/>
              </w:rPr>
            </w:pPr>
          </w:p>
        </w:tc>
        <w:tc>
          <w:tcPr>
            <w:tcW w:w="7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2018</w:t>
            </w:r>
          </w:p>
        </w:tc>
        <w:tc>
          <w:tcPr>
            <w:tcW w:w="260" w:type="dxa"/>
            <w:vAlign w:val="bottom"/>
          </w:tcPr>
          <w:p>
            <w:pPr>
              <w:spacing w:after="0"/>
              <w:rPr>
                <w:sz w:val="22"/>
                <w:szCs w:val="22"/>
                <w:color w:val="auto"/>
              </w:rPr>
            </w:pPr>
          </w:p>
        </w:tc>
        <w:tc>
          <w:tcPr>
            <w:tcW w:w="1380" w:type="dxa"/>
            <w:vAlign w:val="bottom"/>
          </w:tcPr>
          <w:p>
            <w:pPr>
              <w:jc w:val="right"/>
              <w:ind w:right="323"/>
              <w:spacing w:after="0"/>
              <w:rPr>
                <w:sz w:val="20"/>
                <w:szCs w:val="20"/>
                <w:color w:val="auto"/>
              </w:rPr>
            </w:pPr>
            <w:r>
              <w:rPr>
                <w:rFonts w:ascii="Arial" w:cs="Arial" w:eastAsia="Arial" w:hAnsi="Arial"/>
                <w:sz w:val="13"/>
                <w:szCs w:val="13"/>
                <w:b w:val="1"/>
                <w:bCs w:val="1"/>
                <w:color w:val="auto"/>
              </w:rPr>
              <w:t>June 30, 2017</w:t>
            </w:r>
          </w:p>
        </w:tc>
      </w:tr>
      <w:tr>
        <w:trPr>
          <w:trHeight w:val="257"/>
        </w:trPr>
        <w:tc>
          <w:tcPr>
            <w:tcW w:w="20" w:type="dxa"/>
            <w:vAlign w:val="bottom"/>
          </w:tcPr>
          <w:p>
            <w:pPr>
              <w:spacing w:after="0"/>
              <w:rPr>
                <w:sz w:val="22"/>
                <w:szCs w:val="22"/>
                <w:color w:val="auto"/>
              </w:rPr>
            </w:pPr>
          </w:p>
        </w:tc>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stockholders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8.9</w:t>
            </w:r>
          </w:p>
        </w:tc>
      </w:tr>
      <w:tr>
        <w:trPr>
          <w:trHeight w:val="260"/>
        </w:trPr>
        <w:tc>
          <w:tcPr>
            <w:tcW w:w="20" w:type="dxa"/>
            <w:vAlign w:val="bottom"/>
          </w:tcPr>
          <w:p>
            <w:pPr>
              <w:spacing w:after="0"/>
              <w:rPr>
                <w:sz w:val="22"/>
                <w:szCs w:val="22"/>
                <w:color w:val="auto"/>
              </w:rPr>
            </w:pPr>
          </w:p>
        </w:tc>
        <w:tc>
          <w:tcPr>
            <w:tcW w:w="7920" w:type="dxa"/>
            <w:vAlign w:val="bottom"/>
          </w:tcPr>
          <w:p>
            <w:pPr>
              <w:ind w:left="20"/>
              <w:spacing w:after="0"/>
              <w:rPr>
                <w:sz w:val="20"/>
                <w:szCs w:val="20"/>
                <w:color w:val="auto"/>
              </w:rPr>
            </w:pPr>
            <w:r>
              <w:rPr>
                <w:rFonts w:ascii="Arial" w:cs="Arial" w:eastAsia="Arial" w:hAnsi="Arial"/>
                <w:sz w:val="16"/>
                <w:szCs w:val="16"/>
                <w:color w:val="auto"/>
              </w:rPr>
              <w:t>Average equity(a)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66"/>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3"/>
              <w:spacing w:after="0"/>
              <w:rPr>
                <w:sz w:val="20"/>
                <w:szCs w:val="20"/>
                <w:color w:val="auto"/>
              </w:rPr>
            </w:pPr>
            <w:r>
              <w:rPr>
                <w:rFonts w:ascii="Arial" w:cs="Arial" w:eastAsia="Arial" w:hAnsi="Arial"/>
                <w:sz w:val="16"/>
                <w:szCs w:val="16"/>
                <w:color w:val="auto"/>
              </w:rPr>
              <w:t>45.1</w:t>
            </w:r>
          </w:p>
        </w:tc>
      </w:tr>
      <w:tr>
        <w:trPr>
          <w:trHeight w:val="280"/>
        </w:trPr>
        <w:tc>
          <w:tcPr>
            <w:tcW w:w="20" w:type="dxa"/>
            <w:vAlign w:val="bottom"/>
          </w:tcPr>
          <w:p>
            <w:pPr>
              <w:spacing w:after="0"/>
              <w:rPr>
                <w:sz w:val="24"/>
                <w:szCs w:val="24"/>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167"/>
        </w:trPr>
        <w:tc>
          <w:tcPr>
            <w:tcW w:w="7940" w:type="dxa"/>
            <w:vAlign w:val="bottom"/>
            <w:gridSpan w:val="2"/>
          </w:tcPr>
          <w:p>
            <w:pPr>
              <w:jc w:val="right"/>
              <w:ind w:right="7219"/>
              <w:spacing w:after="0"/>
              <w:rPr>
                <w:sz w:val="20"/>
                <w:szCs w:val="20"/>
                <w:color w:val="auto"/>
              </w:rPr>
            </w:pPr>
            <w:r>
              <w:rPr>
                <w:rFonts w:ascii="Arial" w:cs="Arial" w:eastAsia="Arial" w:hAnsi="Arial"/>
                <w:sz w:val="14"/>
                <w:szCs w:val="14"/>
                <w:color w:val="auto"/>
                <w:w w:val="99"/>
              </w:rPr>
              <w:t>________</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3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981"/>
              <w:spacing w:after="0"/>
              <w:rPr>
                <w:sz w:val="20"/>
                <w:szCs w:val="20"/>
                <w:color w:val="auto"/>
              </w:rPr>
            </w:pPr>
            <w:r>
              <w:rPr>
                <w:rFonts w:ascii="Arial" w:cs="Arial" w:eastAsia="Arial" w:hAnsi="Arial"/>
                <w:sz w:val="13"/>
                <w:szCs w:val="13"/>
                <w:b w:val="1"/>
                <w:bCs w:val="1"/>
                <w:color w:val="auto"/>
              </w:rPr>
              <w:t>Four Quarters Ended</w:t>
            </w:r>
          </w:p>
        </w:tc>
      </w:tr>
      <w:tr>
        <w:trPr>
          <w:trHeight w:val="264"/>
        </w:trPr>
        <w:tc>
          <w:tcPr>
            <w:tcW w:w="20" w:type="dxa"/>
            <w:vAlign w:val="bottom"/>
          </w:tcPr>
          <w:p>
            <w:pPr>
              <w:spacing w:after="0"/>
              <w:rPr>
                <w:sz w:val="22"/>
                <w:szCs w:val="22"/>
                <w:color w:val="auto"/>
              </w:rPr>
            </w:pPr>
          </w:p>
        </w:tc>
        <w:tc>
          <w:tcPr>
            <w:tcW w:w="7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2018</w:t>
            </w:r>
          </w:p>
        </w:tc>
        <w:tc>
          <w:tcPr>
            <w:tcW w:w="260" w:type="dxa"/>
            <w:vAlign w:val="bottom"/>
          </w:tcPr>
          <w:p>
            <w:pPr>
              <w:spacing w:after="0"/>
              <w:rPr>
                <w:sz w:val="22"/>
                <w:szCs w:val="22"/>
                <w:color w:val="auto"/>
              </w:rPr>
            </w:pPr>
          </w:p>
        </w:tc>
        <w:tc>
          <w:tcPr>
            <w:tcW w:w="1380" w:type="dxa"/>
            <w:vAlign w:val="bottom"/>
          </w:tcPr>
          <w:p>
            <w:pPr>
              <w:jc w:val="right"/>
              <w:ind w:right="321"/>
              <w:spacing w:after="0"/>
              <w:rPr>
                <w:sz w:val="20"/>
                <w:szCs w:val="20"/>
                <w:color w:val="auto"/>
              </w:rPr>
            </w:pPr>
            <w:r>
              <w:rPr>
                <w:rFonts w:ascii="Arial" w:cs="Arial" w:eastAsia="Arial" w:hAnsi="Arial"/>
                <w:sz w:val="13"/>
                <w:szCs w:val="13"/>
                <w:b w:val="1"/>
                <w:bCs w:val="1"/>
                <w:color w:val="auto"/>
              </w:rPr>
              <w:t>June 30, 2017</w:t>
            </w:r>
          </w:p>
        </w:tc>
      </w:tr>
      <w:tr>
        <w:trPr>
          <w:trHeight w:val="243"/>
        </w:trPr>
        <w:tc>
          <w:tcPr>
            <w:tcW w:w="20" w:type="dxa"/>
            <w:vAlign w:val="bottom"/>
          </w:tcPr>
          <w:p>
            <w:pPr>
              <w:spacing w:after="0"/>
              <w:rPr>
                <w:sz w:val="21"/>
                <w:szCs w:val="21"/>
                <w:color w:val="auto"/>
              </w:rPr>
            </w:pPr>
          </w:p>
        </w:tc>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EBIT-adjusted(a)</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11.4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13.5</w:t>
            </w:r>
          </w:p>
        </w:tc>
      </w:tr>
      <w:tr>
        <w:trPr>
          <w:trHeight w:val="233"/>
        </w:trPr>
        <w:tc>
          <w:tcPr>
            <w:tcW w:w="2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6"/>
                <w:szCs w:val="16"/>
                <w:color w:val="auto"/>
              </w:rPr>
              <w:t>Average equity(b)</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3"/>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45.1</w:t>
            </w:r>
          </w:p>
        </w:tc>
      </w:tr>
      <w:tr>
        <w:trPr>
          <w:trHeight w:val="253"/>
        </w:trPr>
        <w:tc>
          <w:tcPr>
            <w:tcW w:w="20" w:type="dxa"/>
            <w:vAlign w:val="bottom"/>
          </w:tcPr>
          <w:p>
            <w:pPr>
              <w:spacing w:after="0"/>
              <w:rPr>
                <w:sz w:val="21"/>
                <w:szCs w:val="21"/>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Average automotive debt and interest liabilities (excluding capital leases)</w:t>
            </w: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10.0</w:t>
            </w:r>
          </w:p>
        </w:tc>
      </w:tr>
      <w:tr>
        <w:trPr>
          <w:trHeight w:val="233"/>
        </w:trPr>
        <w:tc>
          <w:tcPr>
            <w:tcW w:w="2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6"/>
                <w:szCs w:val="16"/>
                <w:color w:val="auto"/>
              </w:rPr>
              <w:t>Add: Average automotive net pension &amp; OPEB liability</w:t>
            </w:r>
          </w:p>
        </w:tc>
        <w:tc>
          <w:tcPr>
            <w:tcW w:w="260" w:type="dxa"/>
            <w:vAlign w:val="bottom"/>
          </w:tcPr>
          <w:p>
            <w:pPr>
              <w:spacing w:after="0"/>
              <w:rPr>
                <w:sz w:val="20"/>
                <w:szCs w:val="20"/>
                <w:color w:val="auto"/>
              </w:rPr>
            </w:pPr>
          </w:p>
        </w:tc>
        <w:tc>
          <w:tcPr>
            <w:tcW w:w="1400" w:type="dxa"/>
            <w:vAlign w:val="bottom"/>
          </w:tcPr>
          <w:p>
            <w:pPr>
              <w:jc w:val="right"/>
              <w:ind w:right="103"/>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21.5</w:t>
            </w:r>
          </w:p>
        </w:tc>
      </w:tr>
      <w:tr>
        <w:trPr>
          <w:trHeight w:val="246"/>
        </w:trPr>
        <w:tc>
          <w:tcPr>
            <w:tcW w:w="20" w:type="dxa"/>
            <w:vAlign w:val="bottom"/>
          </w:tcPr>
          <w:p>
            <w:pPr>
              <w:spacing w:after="0"/>
              <w:rPr>
                <w:sz w:val="21"/>
                <w:szCs w:val="21"/>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Average automotive and other net income tax asset</w:t>
            </w:r>
          </w:p>
        </w:tc>
        <w:tc>
          <w:tcPr>
            <w:tcW w:w="2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(32.2)</w:t>
            </w:r>
          </w:p>
        </w:tc>
      </w:tr>
      <w:tr>
        <w:trPr>
          <w:trHeight w:val="280"/>
        </w:trPr>
        <w:tc>
          <w:tcPr>
            <w:tcW w:w="20" w:type="dxa"/>
            <w:vAlign w:val="bottom"/>
          </w:tcPr>
          <w:p>
            <w:pPr>
              <w:spacing w:after="0"/>
              <w:rPr>
                <w:sz w:val="24"/>
                <w:szCs w:val="24"/>
                <w:color w:val="auto"/>
              </w:rPr>
            </w:pPr>
          </w:p>
        </w:tc>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ROIC-adjusted average net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44.4</w:t>
            </w:r>
          </w:p>
        </w:tc>
      </w:tr>
      <w:tr>
        <w:trPr>
          <w:trHeight w:val="227"/>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ROIC-adjusted</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167"/>
        </w:trPr>
        <w:tc>
          <w:tcPr>
            <w:tcW w:w="8000" w:type="dxa"/>
            <w:vAlign w:val="bottom"/>
            <w:gridSpan w:val="2"/>
          </w:tcPr>
          <w:p>
            <w:pPr>
              <w:jc w:val="right"/>
              <w:ind w:right="7279"/>
              <w:spacing w:after="0"/>
              <w:rPr>
                <w:sz w:val="20"/>
                <w:szCs w:val="20"/>
                <w:color w:val="auto"/>
              </w:rPr>
            </w:pPr>
            <w:r>
              <w:rPr>
                <w:rFonts w:ascii="Arial" w:cs="Arial" w:eastAsia="Arial" w:hAnsi="Arial"/>
                <w:sz w:val="14"/>
                <w:szCs w:val="14"/>
                <w:color w:val="auto"/>
                <w:w w:val="99"/>
              </w:rPr>
              <w:t>________</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under U.S. GAAP to EBIT-adjusted within a previous section.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200" w:lineRule="exact"/>
        <w:rPr>
          <w:sz w:val="20"/>
          <w:szCs w:val="20"/>
          <w:color w:val="auto"/>
        </w:rPr>
      </w:pPr>
    </w:p>
    <w:p>
      <w:pPr>
        <w:spacing w:after="0" w:line="284" w:lineRule="exact"/>
        <w:rPr>
          <w:sz w:val="20"/>
          <w:szCs w:val="20"/>
          <w:color w:val="auto"/>
        </w:rPr>
      </w:pPr>
    </w:p>
    <w:p>
      <w:pPr>
        <w:ind w:right="540" w:firstLine="162"/>
        <w:spacing w:after="0" w:line="260" w:lineRule="auto"/>
        <w:rPr>
          <w:sz w:val="20"/>
          <w:szCs w:val="20"/>
          <w:color w:val="auto"/>
        </w:rPr>
      </w:pPr>
      <w:r>
        <w:rPr>
          <w:rFonts w:ascii="Arial" w:cs="Arial" w:eastAsia="Arial" w:hAnsi="Arial"/>
          <w:sz w:val="16"/>
          <w:szCs w:val="16"/>
          <w:color w:val="auto"/>
        </w:rPr>
        <w:t>The following table reconciles Net automotive cash provided by (used in) operating activities from continuing operations under U.S. GAAP to adjusted automotive free cash flow (dollars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3"/>
                <w:szCs w:val="13"/>
                <w:b w:val="1"/>
                <w:bCs w:val="1"/>
                <w:color w:val="auto"/>
              </w:rPr>
              <w:t>Six Months Ended</w:t>
            </w:r>
          </w:p>
        </w:tc>
      </w:tr>
      <w:tr>
        <w:trPr>
          <w:trHeight w:val="264"/>
        </w:trPr>
        <w:tc>
          <w:tcPr>
            <w:tcW w:w="6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2018</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 2017</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 2018</w:t>
            </w:r>
          </w:p>
        </w:tc>
        <w:tc>
          <w:tcPr>
            <w:tcW w:w="140" w:type="dxa"/>
            <w:vAlign w:val="bottom"/>
          </w:tcPr>
          <w:p>
            <w:pPr>
              <w:spacing w:after="0"/>
              <w:rPr>
                <w:sz w:val="22"/>
                <w:szCs w:val="22"/>
                <w:color w:val="auto"/>
              </w:rPr>
            </w:pPr>
          </w:p>
        </w:tc>
        <w:tc>
          <w:tcPr>
            <w:tcW w:w="1000" w:type="dxa"/>
            <w:vAlign w:val="bottom"/>
          </w:tcPr>
          <w:p>
            <w:pPr>
              <w:jc w:val="right"/>
              <w:ind w:right="81"/>
              <w:spacing w:after="0"/>
              <w:rPr>
                <w:sz w:val="20"/>
                <w:szCs w:val="20"/>
                <w:color w:val="auto"/>
              </w:rPr>
            </w:pPr>
            <w:r>
              <w:rPr>
                <w:rFonts w:ascii="Arial" w:cs="Arial" w:eastAsia="Arial" w:hAnsi="Arial"/>
                <w:sz w:val="13"/>
                <w:szCs w:val="13"/>
                <w:b w:val="1"/>
                <w:bCs w:val="1"/>
                <w:color w:val="auto"/>
                <w:w w:val="96"/>
              </w:rPr>
              <w:t>June 30, 2017</w:t>
            </w:r>
          </w:p>
        </w:tc>
      </w:tr>
      <w:tr>
        <w:trPr>
          <w:trHeight w:val="257"/>
        </w:trPr>
        <w:tc>
          <w:tcPr>
            <w:tcW w:w="6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automotive cash provided by operating activities – continuing operations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3,986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5,186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2,923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6,369</w:t>
            </w: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color w:val="auto"/>
              </w:rPr>
              <w:t>Less: Capital expenditures – continuing operations</w:t>
            </w:r>
          </w:p>
        </w:tc>
        <w:tc>
          <w:tcPr>
            <w:tcW w:w="14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(2,065)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(4,136)</w:t>
            </w:r>
          </w:p>
        </w:tc>
      </w:tr>
      <w:tr>
        <w:trPr>
          <w:trHeight w:val="273"/>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Adjustment for Korea restructuring</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7"/>
        </w:trPr>
        <w:tc>
          <w:tcPr>
            <w:tcW w:w="6520" w:type="dxa"/>
            <w:vAlign w:val="bottom"/>
          </w:tcPr>
          <w:p>
            <w:pPr>
              <w:ind w:left="40"/>
              <w:spacing w:after="0"/>
              <w:rPr>
                <w:sz w:val="20"/>
                <w:szCs w:val="20"/>
                <w:color w:val="auto"/>
              </w:rPr>
            </w:pPr>
            <w:r>
              <w:rPr>
                <w:rFonts w:ascii="Arial" w:cs="Arial" w:eastAsia="Arial" w:hAnsi="Arial"/>
                <w:sz w:val="16"/>
                <w:szCs w:val="16"/>
                <w:color w:val="auto"/>
              </w:rPr>
              <w:t>Adjusted automotive free cash flow – continuing operations</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2,597</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2,760</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2,233</w:t>
            </w:r>
          </w:p>
        </w:tc>
      </w:tr>
      <w:tr>
        <w:trPr>
          <w:trHeight w:val="28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automotive cash provided by (used in) operating activities – discontinued operations</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131</w:t>
            </w:r>
          </w:p>
        </w:tc>
      </w:tr>
      <w:tr>
        <w:trPr>
          <w:trHeight w:val="264"/>
        </w:trPr>
        <w:tc>
          <w:tcPr>
            <w:tcW w:w="6520" w:type="dxa"/>
            <w:vAlign w:val="bottom"/>
          </w:tcPr>
          <w:p>
            <w:pPr>
              <w:ind w:left="40"/>
              <w:spacing w:after="0"/>
              <w:rPr>
                <w:sz w:val="20"/>
                <w:szCs w:val="20"/>
                <w:color w:val="auto"/>
              </w:rPr>
            </w:pPr>
            <w:r>
              <w:rPr>
                <w:rFonts w:ascii="Arial" w:cs="Arial" w:eastAsia="Arial" w:hAnsi="Arial"/>
                <w:sz w:val="16"/>
                <w:szCs w:val="16"/>
                <w:color w:val="auto"/>
              </w:rPr>
              <w:t>Less: capital expenditures – discontinued operations</w:t>
            </w:r>
          </w:p>
        </w:tc>
        <w:tc>
          <w:tcPr>
            <w:tcW w:w="1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(516)</w:t>
            </w:r>
          </w:p>
        </w:tc>
      </w:tr>
      <w:tr>
        <w:trPr>
          <w:trHeight w:val="24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automotive free cash flow</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1,848</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5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2"/>
                <w:szCs w:val="12"/>
                <w:color w:val="auto"/>
              </w:rPr>
            </w:pPr>
          </w:p>
        </w:tc>
        <w:tc>
          <w:tcPr>
            <w:tcW w:w="700" w:type="dxa"/>
            <w:vAlign w:val="bottom"/>
          </w:tcPr>
          <w:p>
            <w:pPr>
              <w:jc w:val="right"/>
              <w:ind w:right="98"/>
              <w:spacing w:after="0"/>
              <w:rPr>
                <w:sz w:val="20"/>
                <w:szCs w:val="20"/>
                <w:color w:val="auto"/>
              </w:rPr>
            </w:pPr>
            <w:r>
              <w:rPr>
                <w:rFonts w:ascii="Arial" w:cs="Arial" w:eastAsia="Arial" w:hAnsi="Arial"/>
                <w:sz w:val="11"/>
                <w:szCs w:val="11"/>
                <w:b w:val="1"/>
                <w:bCs w:val="1"/>
                <w:color w:val="auto"/>
                <w:w w:val="98"/>
              </w:rPr>
              <w:t>Corporate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GM Cruise</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80" w:type="dxa"/>
            <w:vAlign w:val="bottom"/>
          </w:tcPr>
          <w:p>
            <w:pPr>
              <w:spacing w:after="0"/>
              <w:rPr>
                <w:sz w:val="12"/>
                <w:szCs w:val="12"/>
                <w:color w:val="auto"/>
              </w:rPr>
            </w:pPr>
          </w:p>
        </w:tc>
        <w:tc>
          <w:tcPr>
            <w:tcW w:w="60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31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Three Months Ended June 30, 2018</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28,501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4,758</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33,309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3,488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36,760</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1,835</w:t>
            </w:r>
          </w:p>
        </w:tc>
        <w:tc>
          <w:tcPr>
            <w:tcW w:w="12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229</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2,065</w:t>
            </w:r>
          </w:p>
        </w:tc>
        <w:tc>
          <w:tcPr>
            <w:tcW w:w="120" w:type="dxa"/>
            <w:vAlign w:val="bottom"/>
          </w:tcPr>
          <w:p>
            <w:pPr>
              <w:spacing w:after="0"/>
              <w:rPr>
                <w:sz w:val="22"/>
                <w:szCs w:val="22"/>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2,079</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1,264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1,833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3,099</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2"/>
                <w:szCs w:val="22"/>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589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637</w:t>
            </w:r>
          </w:p>
        </w:tc>
        <w:tc>
          <w:tcPr>
            <w:tcW w:w="0" w:type="dxa"/>
            <w:vAlign w:val="bottom"/>
          </w:tcPr>
          <w:p>
            <w:pPr>
              <w:spacing w:after="0"/>
              <w:rPr>
                <w:sz w:val="1"/>
                <w:szCs w:val="1"/>
                <w:color w:val="auto"/>
              </w:rPr>
            </w:pPr>
          </w:p>
        </w:tc>
      </w:tr>
      <w:tr>
        <w:trPr>
          <w:trHeight w:val="457"/>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2"/>
                <w:szCs w:val="12"/>
                <w:color w:val="auto"/>
              </w:rPr>
            </w:pPr>
          </w:p>
        </w:tc>
        <w:tc>
          <w:tcPr>
            <w:tcW w:w="700" w:type="dxa"/>
            <w:vAlign w:val="bottom"/>
          </w:tcPr>
          <w:p>
            <w:pPr>
              <w:jc w:val="right"/>
              <w:ind w:right="98"/>
              <w:spacing w:after="0"/>
              <w:rPr>
                <w:sz w:val="20"/>
                <w:szCs w:val="20"/>
                <w:color w:val="auto"/>
              </w:rPr>
            </w:pPr>
            <w:r>
              <w:rPr>
                <w:rFonts w:ascii="Arial" w:cs="Arial" w:eastAsia="Arial" w:hAnsi="Arial"/>
                <w:sz w:val="11"/>
                <w:szCs w:val="11"/>
                <w:b w:val="1"/>
                <w:bCs w:val="1"/>
                <w:color w:val="auto"/>
                <w:w w:val="98"/>
              </w:rPr>
              <w:t>Corporate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GM Cruise</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80" w:type="dxa"/>
            <w:vAlign w:val="bottom"/>
          </w:tcPr>
          <w:p>
            <w:pPr>
              <w:spacing w:after="0"/>
              <w:rPr>
                <w:sz w:val="12"/>
                <w:szCs w:val="12"/>
                <w:color w:val="auto"/>
              </w:rPr>
            </w:pPr>
          </w:p>
        </w:tc>
        <w:tc>
          <w:tcPr>
            <w:tcW w:w="60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31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Three Months Ended June 30, 2017</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28,437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5,512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34,001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2,990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36,984</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2,307</w:t>
            </w:r>
          </w:p>
        </w:tc>
        <w:tc>
          <w:tcPr>
            <w:tcW w:w="12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117</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3</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2,426</w:t>
            </w:r>
          </w:p>
        </w:tc>
        <w:tc>
          <w:tcPr>
            <w:tcW w:w="120" w:type="dxa"/>
            <w:vAlign w:val="bottom"/>
          </w:tcPr>
          <w:p>
            <w:pPr>
              <w:spacing w:after="0"/>
              <w:rPr>
                <w:sz w:val="22"/>
                <w:szCs w:val="22"/>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2,456</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1,374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1,586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2,961</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199</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233</w:t>
            </w:r>
          </w:p>
        </w:tc>
        <w:tc>
          <w:tcPr>
            <w:tcW w:w="120" w:type="dxa"/>
            <w:vAlign w:val="bottom"/>
          </w:tcPr>
          <w:p>
            <w:pPr>
              <w:spacing w:after="0"/>
              <w:rPr>
                <w:sz w:val="22"/>
                <w:szCs w:val="22"/>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487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488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530</w:t>
            </w:r>
          </w:p>
        </w:tc>
        <w:tc>
          <w:tcPr>
            <w:tcW w:w="0" w:type="dxa"/>
            <w:vAlign w:val="bottom"/>
          </w:tcPr>
          <w:p>
            <w:pPr>
              <w:spacing w:after="0"/>
              <w:rPr>
                <w:sz w:val="1"/>
                <w:szCs w:val="1"/>
                <w:color w:val="auto"/>
              </w:rPr>
            </w:pPr>
          </w:p>
        </w:tc>
      </w:tr>
      <w:tr>
        <w:trPr>
          <w:trHeight w:val="457"/>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2"/>
                <w:szCs w:val="12"/>
                <w:color w:val="auto"/>
              </w:rPr>
            </w:pPr>
          </w:p>
        </w:tc>
        <w:tc>
          <w:tcPr>
            <w:tcW w:w="700" w:type="dxa"/>
            <w:vAlign w:val="bottom"/>
          </w:tcPr>
          <w:p>
            <w:pPr>
              <w:jc w:val="right"/>
              <w:ind w:right="98"/>
              <w:spacing w:after="0"/>
              <w:rPr>
                <w:sz w:val="20"/>
                <w:szCs w:val="20"/>
                <w:color w:val="auto"/>
              </w:rPr>
            </w:pPr>
            <w:r>
              <w:rPr>
                <w:rFonts w:ascii="Arial" w:cs="Arial" w:eastAsia="Arial" w:hAnsi="Arial"/>
                <w:sz w:val="11"/>
                <w:szCs w:val="11"/>
                <w:b w:val="1"/>
                <w:bCs w:val="1"/>
                <w:color w:val="auto"/>
                <w:w w:val="98"/>
              </w:rPr>
              <w:t>Corporate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GM Cruise</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80" w:type="dxa"/>
            <w:vAlign w:val="bottom"/>
          </w:tcPr>
          <w:p>
            <w:pPr>
              <w:spacing w:after="0"/>
              <w:rPr>
                <w:sz w:val="12"/>
                <w:szCs w:val="12"/>
                <w:color w:val="auto"/>
              </w:rPr>
            </w:pPr>
          </w:p>
        </w:tc>
        <w:tc>
          <w:tcPr>
            <w:tcW w:w="60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31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Six Months Ended June 30, 2018</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56,319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9,606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66,024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6,899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72,859</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3,899</w:t>
            </w:r>
          </w:p>
        </w:tc>
        <w:tc>
          <w:tcPr>
            <w:tcW w:w="12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391</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16</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4,305</w:t>
            </w:r>
          </w:p>
        </w:tc>
        <w:tc>
          <w:tcPr>
            <w:tcW w:w="120" w:type="dxa"/>
            <w:vAlign w:val="bottom"/>
          </w:tcPr>
          <w:p>
            <w:pPr>
              <w:spacing w:after="0"/>
              <w:rPr>
                <w:sz w:val="22"/>
                <w:szCs w:val="22"/>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4,351</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290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2,537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3,656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6,196</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461</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514</w:t>
            </w:r>
          </w:p>
        </w:tc>
        <w:tc>
          <w:tcPr>
            <w:tcW w:w="120" w:type="dxa"/>
            <w:vAlign w:val="bottom"/>
          </w:tcPr>
          <w:p>
            <w:pPr>
              <w:spacing w:after="0"/>
              <w:rPr>
                <w:sz w:val="22"/>
                <w:szCs w:val="22"/>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1,183</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1,188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1,285</w:t>
            </w:r>
          </w:p>
        </w:tc>
        <w:tc>
          <w:tcPr>
            <w:tcW w:w="0" w:type="dxa"/>
            <w:vAlign w:val="bottom"/>
          </w:tcPr>
          <w:p>
            <w:pPr>
              <w:spacing w:after="0"/>
              <w:rPr>
                <w:sz w:val="1"/>
                <w:szCs w:val="1"/>
                <w:color w:val="auto"/>
              </w:rPr>
            </w:pPr>
          </w:p>
        </w:tc>
      </w:tr>
      <w:tr>
        <w:trPr>
          <w:trHeight w:val="457"/>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2"/>
                <w:szCs w:val="12"/>
                <w:color w:val="auto"/>
              </w:rPr>
            </w:pPr>
          </w:p>
        </w:tc>
        <w:tc>
          <w:tcPr>
            <w:tcW w:w="700" w:type="dxa"/>
            <w:vAlign w:val="bottom"/>
          </w:tcPr>
          <w:p>
            <w:pPr>
              <w:jc w:val="right"/>
              <w:ind w:right="98"/>
              <w:spacing w:after="0"/>
              <w:rPr>
                <w:sz w:val="20"/>
                <w:szCs w:val="20"/>
                <w:color w:val="auto"/>
              </w:rPr>
            </w:pPr>
            <w:r>
              <w:rPr>
                <w:rFonts w:ascii="Arial" w:cs="Arial" w:eastAsia="Arial" w:hAnsi="Arial"/>
                <w:sz w:val="11"/>
                <w:szCs w:val="11"/>
                <w:b w:val="1"/>
                <w:bCs w:val="1"/>
                <w:color w:val="auto"/>
                <w:w w:val="98"/>
              </w:rPr>
              <w:t>Corporate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GM Cruise</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80" w:type="dxa"/>
            <w:vAlign w:val="bottom"/>
          </w:tcPr>
          <w:p>
            <w:pPr>
              <w:spacing w:after="0"/>
              <w:rPr>
                <w:sz w:val="12"/>
                <w:szCs w:val="12"/>
                <w:color w:val="auto"/>
              </w:rPr>
            </w:pPr>
          </w:p>
        </w:tc>
        <w:tc>
          <w:tcPr>
            <w:tcW w:w="60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31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Six Months Ended June 30, 2017</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57,775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10,650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68,651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5,738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74,250</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3,835</w:t>
            </w:r>
          </w:p>
        </w:tc>
        <w:tc>
          <w:tcPr>
            <w:tcW w:w="12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297</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5</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4,136</w:t>
            </w:r>
          </w:p>
        </w:tc>
        <w:tc>
          <w:tcPr>
            <w:tcW w:w="120" w:type="dxa"/>
            <w:vAlign w:val="bottom"/>
          </w:tcPr>
          <w:p>
            <w:pPr>
              <w:spacing w:after="0"/>
              <w:rPr>
                <w:sz w:val="22"/>
                <w:szCs w:val="22"/>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4,186</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369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2,668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3,014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5,683</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200</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5</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22"/>
                <w:szCs w:val="22"/>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991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997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1,085</w:t>
            </w:r>
          </w:p>
        </w:tc>
        <w:tc>
          <w:tcPr>
            <w:tcW w:w="0" w:type="dxa"/>
            <w:vAlign w:val="bottom"/>
          </w:tcPr>
          <w:p>
            <w:pPr>
              <w:spacing w:after="0"/>
              <w:rPr>
                <w:sz w:val="1"/>
                <w:szCs w:val="1"/>
                <w:color w:val="auto"/>
              </w:rPr>
            </w:pPr>
          </w:p>
        </w:tc>
      </w:tr>
      <w:tr>
        <w:trPr>
          <w:trHeight w:val="156"/>
        </w:trPr>
        <w:tc>
          <w:tcPr>
            <w:tcW w:w="3100" w:type="dxa"/>
            <w:vAlign w:val="bottom"/>
          </w:tcPr>
          <w:p>
            <w:pPr>
              <w:spacing w:after="0" w:line="156" w:lineRule="exact"/>
              <w:rPr>
                <w:sz w:val="20"/>
                <w:szCs w:val="20"/>
                <w:color w:val="auto"/>
              </w:rPr>
            </w:pPr>
            <w:r>
              <w:rPr>
                <w:rFonts w:ascii="Arial" w:cs="Arial" w:eastAsia="Arial" w:hAnsi="Arial"/>
                <w:sz w:val="14"/>
                <w:szCs w:val="14"/>
                <w:color w:val="auto"/>
              </w:rPr>
              <w:t>________</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line="242"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Automotive China equity income of $592 million and $509 million in the three months ended June 30, 2018 and 2017 and $1.2 billion and $1.0 billion in the six months ended June 30, 2018 and 2017.</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5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14"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6"/>
          <w:szCs w:val="16"/>
          <w:color w:val="auto"/>
        </w:rPr>
        <w:t>GM presents both wholesale and retail vehicle sales data to assist in the analysis of our revenue and our market share. GM does not currently export vehicles to Cuba, Iran, North Korea, Sudan, or Syria. Accordingly these countries are excluded from industry sales data and corresponding calculation of GM's market share.</w:t>
      </w:r>
    </w:p>
    <w:p>
      <w:pPr>
        <w:spacing w:after="0" w:line="174"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color w:val="auto"/>
        </w:rPr>
        <w:t>Wholesale vehicle sales data, which represents sales directly to dealers and others, including sales to fleet customers, is the measure that correlates to GM's revenue from the sale of vehicles, which is the largest component of Automotive net sales and revenue. Wholesale vehicle sales exclude vehicles sold by joint ventures. In the six months ended June 30, 2018, 34.7% of our wholesale vehicle sales volume was generated outside the U.S. The following table summarizes total wholesale vehicle sales of new vehicles by automotive segment (vehicles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3340" w:type="dxa"/>
            <w:vAlign w:val="bottom"/>
            <w:tcBorders>
              <w:bottom w:val="single" w:sz="8" w:color="auto"/>
            </w:tcBorders>
            <w:gridSpan w:val="3"/>
          </w:tcPr>
          <w:p>
            <w:pPr>
              <w:jc w:val="right"/>
              <w:ind w:right="963"/>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3260" w:type="dxa"/>
            <w:vAlign w:val="bottom"/>
            <w:tcBorders>
              <w:bottom w:val="single" w:sz="8" w:color="auto"/>
            </w:tcBorders>
            <w:gridSpan w:val="3"/>
          </w:tcPr>
          <w:p>
            <w:pPr>
              <w:jc w:val="right"/>
              <w:ind w:right="1003"/>
              <w:spacing w:after="0"/>
              <w:rPr>
                <w:sz w:val="20"/>
                <w:szCs w:val="20"/>
                <w:color w:val="auto"/>
              </w:rPr>
            </w:pPr>
            <w:r>
              <w:rPr>
                <w:rFonts w:ascii="Arial" w:cs="Arial" w:eastAsia="Arial" w:hAnsi="Arial"/>
                <w:sz w:val="13"/>
                <w:szCs w:val="13"/>
                <w:b w:val="1"/>
                <w:bCs w:val="1"/>
                <w:color w:val="auto"/>
              </w:rPr>
              <w:t>Six Months Ended</w:t>
            </w:r>
          </w:p>
        </w:tc>
      </w:tr>
      <w:tr>
        <w:trPr>
          <w:trHeight w:val="250"/>
        </w:trPr>
        <w:tc>
          <w:tcPr>
            <w:tcW w:w="4700" w:type="dxa"/>
            <w:vAlign w:val="bottom"/>
          </w:tcPr>
          <w:p>
            <w:pPr>
              <w:spacing w:after="0"/>
              <w:rPr>
                <w:sz w:val="21"/>
                <w:szCs w:val="21"/>
                <w:color w:val="auto"/>
              </w:rPr>
            </w:pPr>
          </w:p>
        </w:tc>
        <w:tc>
          <w:tcPr>
            <w:tcW w:w="1720" w:type="dxa"/>
            <w:vAlign w:val="bottom"/>
            <w:gridSpan w:val="2"/>
          </w:tcPr>
          <w:p>
            <w:pPr>
              <w:ind w:left="380"/>
              <w:spacing w:after="0"/>
              <w:rPr>
                <w:sz w:val="20"/>
                <w:szCs w:val="20"/>
                <w:color w:val="auto"/>
              </w:rPr>
            </w:pPr>
            <w:r>
              <w:rPr>
                <w:rFonts w:ascii="Arial" w:cs="Arial" w:eastAsia="Arial" w:hAnsi="Arial"/>
                <w:sz w:val="13"/>
                <w:szCs w:val="13"/>
                <w:b w:val="1"/>
                <w:bCs w:val="1"/>
                <w:color w:val="auto"/>
              </w:rPr>
              <w:t>June 30, 2018</w:t>
            </w:r>
          </w:p>
        </w:tc>
        <w:tc>
          <w:tcPr>
            <w:tcW w:w="1740" w:type="dxa"/>
            <w:vAlign w:val="bottom"/>
            <w:gridSpan w:val="2"/>
          </w:tcPr>
          <w:p>
            <w:pPr>
              <w:ind w:left="400"/>
              <w:spacing w:after="0"/>
              <w:rPr>
                <w:sz w:val="20"/>
                <w:szCs w:val="20"/>
                <w:color w:val="auto"/>
              </w:rPr>
            </w:pPr>
            <w:r>
              <w:rPr>
                <w:rFonts w:ascii="Arial" w:cs="Arial" w:eastAsia="Arial" w:hAnsi="Arial"/>
                <w:sz w:val="13"/>
                <w:szCs w:val="13"/>
                <w:b w:val="1"/>
                <w:bCs w:val="1"/>
                <w:color w:val="auto"/>
              </w:rPr>
              <w:t>June 30, 2017</w:t>
            </w:r>
          </w:p>
        </w:tc>
        <w:tc>
          <w:tcPr>
            <w:tcW w:w="1680" w:type="dxa"/>
            <w:vAlign w:val="bottom"/>
            <w:gridSpan w:val="2"/>
          </w:tcPr>
          <w:p>
            <w:pPr>
              <w:ind w:left="380"/>
              <w:spacing w:after="0"/>
              <w:rPr>
                <w:sz w:val="20"/>
                <w:szCs w:val="20"/>
                <w:color w:val="auto"/>
              </w:rPr>
            </w:pPr>
            <w:r>
              <w:rPr>
                <w:rFonts w:ascii="Arial" w:cs="Arial" w:eastAsia="Arial" w:hAnsi="Arial"/>
                <w:sz w:val="13"/>
                <w:szCs w:val="13"/>
                <w:b w:val="1"/>
                <w:bCs w:val="1"/>
                <w:color w:val="auto"/>
              </w:rPr>
              <w:t>June 30, 2018</w:t>
            </w:r>
          </w:p>
        </w:tc>
        <w:tc>
          <w:tcPr>
            <w:tcW w:w="1580" w:type="dxa"/>
            <w:vAlign w:val="bottom"/>
          </w:tcPr>
          <w:p>
            <w:pPr>
              <w:jc w:val="right"/>
              <w:ind w:right="303"/>
              <w:spacing w:after="0"/>
              <w:rPr>
                <w:sz w:val="20"/>
                <w:szCs w:val="20"/>
                <w:color w:val="auto"/>
              </w:rPr>
            </w:pPr>
            <w:r>
              <w:rPr>
                <w:rFonts w:ascii="Arial" w:cs="Arial" w:eastAsia="Arial" w:hAnsi="Arial"/>
                <w:sz w:val="13"/>
                <w:szCs w:val="13"/>
                <w:b w:val="1"/>
                <w:bCs w:val="1"/>
                <w:color w:val="auto"/>
              </w:rPr>
              <w:t>June 30, 2017</w:t>
            </w:r>
          </w:p>
        </w:tc>
      </w:tr>
      <w:tr>
        <w:trPr>
          <w:trHeight w:val="243"/>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GMNA(a)</w:t>
            </w:r>
          </w:p>
        </w:tc>
        <w:tc>
          <w:tcPr>
            <w:tcW w:w="16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923</w:t>
            </w:r>
          </w:p>
        </w:tc>
        <w:tc>
          <w:tcPr>
            <w:tcW w:w="12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894</w:t>
            </w:r>
          </w:p>
        </w:tc>
        <w:tc>
          <w:tcPr>
            <w:tcW w:w="12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1,816</w:t>
            </w:r>
          </w:p>
        </w:tc>
        <w:tc>
          <w:tcPr>
            <w:tcW w:w="10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1,834</w:t>
            </w: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GMI(b)</w:t>
            </w:r>
          </w:p>
        </w:tc>
        <w:tc>
          <w:tcPr>
            <w:tcW w:w="16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618</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1,204</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1,213</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2,363</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2,452</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7"/>
        </w:trPr>
        <w:tc>
          <w:tcPr>
            <w:tcW w:w="4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Discontinued operations</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606</w:t>
            </w:r>
          </w:p>
        </w:tc>
      </w:tr>
      <w:tr>
        <w:trPr>
          <w:trHeight w:val="383"/>
        </w:trPr>
        <w:tc>
          <w:tcPr>
            <w:tcW w:w="4700" w:type="dxa"/>
            <w:vAlign w:val="bottom"/>
          </w:tcPr>
          <w:p>
            <w:pPr>
              <w:spacing w:after="0"/>
              <w:rPr>
                <w:sz w:val="20"/>
                <w:szCs w:val="20"/>
                <w:color w:val="auto"/>
              </w:rPr>
            </w:pPr>
            <w:r>
              <w:rPr>
                <w:rFonts w:ascii="Arial" w:cs="Arial" w:eastAsia="Arial" w:hAnsi="Arial"/>
                <w:sz w:val="14"/>
                <w:szCs w:val="14"/>
                <w:color w:val="auto"/>
              </w:rPr>
              <w:t>__________</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Wholesale vehicle sales related to transactions with the European Business were insignificant for all periods presented.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Wholesale vehicle sales include 46 and 94 vehicles related to transactions with the European Business for the three and six months ended June 30, 2017.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5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color w:val="auto"/>
        </w:rPr>
        <w:t>Retail vehicle sales data, which represents sales to end customers based upon the good faith estimates of management, including sales to fleet customers, does not correlate directly to the revenue GM recognizes during the period. However retail vehicle sales data is indicative of the underlying demand for GM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76"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16"/>
          <w:szCs w:val="16"/>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Certain fleet sales that are accounted for as operating leases are included in retail vehicle sales at the time of delivery to daily rental car companies. The following table summarizes total retail sales, or estimated sales where retail sales volume is not available, by geographic region (vehicles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33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3260" w:type="dxa"/>
            <w:vAlign w:val="bottom"/>
            <w:tcBorders>
              <w:bottom w:val="single" w:sz="8" w:color="auto"/>
            </w:tcBorders>
            <w:gridSpan w:val="3"/>
          </w:tcPr>
          <w:p>
            <w:pPr>
              <w:jc w:val="right"/>
              <w:ind w:right="10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720" w:type="dxa"/>
            <w:vAlign w:val="bottom"/>
            <w:gridSpan w:val="2"/>
          </w:tcPr>
          <w:p>
            <w:pPr>
              <w:ind w:left="380"/>
              <w:spacing w:after="0"/>
              <w:rPr>
                <w:sz w:val="20"/>
                <w:szCs w:val="20"/>
                <w:color w:val="auto"/>
              </w:rPr>
            </w:pPr>
            <w:r>
              <w:rPr>
                <w:rFonts w:ascii="Arial" w:cs="Arial" w:eastAsia="Arial" w:hAnsi="Arial"/>
                <w:sz w:val="13"/>
                <w:szCs w:val="13"/>
                <w:b w:val="1"/>
                <w:bCs w:val="1"/>
                <w:color w:val="auto"/>
              </w:rPr>
              <w:t>June 30, 2018</w:t>
            </w:r>
          </w:p>
        </w:tc>
        <w:tc>
          <w:tcPr>
            <w:tcW w:w="1740" w:type="dxa"/>
            <w:vAlign w:val="bottom"/>
            <w:gridSpan w:val="2"/>
          </w:tcPr>
          <w:p>
            <w:pPr>
              <w:ind w:left="400"/>
              <w:spacing w:after="0"/>
              <w:rPr>
                <w:sz w:val="20"/>
                <w:szCs w:val="20"/>
                <w:color w:val="auto"/>
              </w:rPr>
            </w:pPr>
            <w:r>
              <w:rPr>
                <w:rFonts w:ascii="Arial" w:cs="Arial" w:eastAsia="Arial" w:hAnsi="Arial"/>
                <w:sz w:val="13"/>
                <w:szCs w:val="13"/>
                <w:b w:val="1"/>
                <w:bCs w:val="1"/>
                <w:color w:val="auto"/>
              </w:rPr>
              <w:t>June 30, 2017</w:t>
            </w:r>
          </w:p>
        </w:tc>
        <w:tc>
          <w:tcPr>
            <w:tcW w:w="1680" w:type="dxa"/>
            <w:vAlign w:val="bottom"/>
            <w:gridSpan w:val="2"/>
          </w:tcPr>
          <w:p>
            <w:pPr>
              <w:ind w:left="380"/>
              <w:spacing w:after="0"/>
              <w:rPr>
                <w:sz w:val="20"/>
                <w:szCs w:val="20"/>
                <w:color w:val="auto"/>
              </w:rPr>
            </w:pPr>
            <w:r>
              <w:rPr>
                <w:rFonts w:ascii="Arial" w:cs="Arial" w:eastAsia="Arial" w:hAnsi="Arial"/>
                <w:sz w:val="13"/>
                <w:szCs w:val="13"/>
                <w:b w:val="1"/>
                <w:bCs w:val="1"/>
                <w:color w:val="auto"/>
              </w:rPr>
              <w:t>June 30, 2018</w:t>
            </w:r>
          </w:p>
        </w:tc>
        <w:tc>
          <w:tcPr>
            <w:tcW w:w="1580" w:type="dxa"/>
            <w:vAlign w:val="bottom"/>
          </w:tcPr>
          <w:p>
            <w:pPr>
              <w:jc w:val="right"/>
              <w:ind w:right="300"/>
              <w:spacing w:after="0"/>
              <w:rPr>
                <w:sz w:val="20"/>
                <w:szCs w:val="20"/>
                <w:color w:val="auto"/>
              </w:rPr>
            </w:pPr>
            <w:r>
              <w:rPr>
                <w:rFonts w:ascii="Arial" w:cs="Arial" w:eastAsia="Arial" w:hAnsi="Arial"/>
                <w:sz w:val="13"/>
                <w:szCs w:val="13"/>
                <w:b w:val="1"/>
                <w:bCs w:val="1"/>
                <w:color w:val="auto"/>
              </w:rPr>
              <w:t>June 30, 2017</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Cars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Chevrolet – Trucks</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2"/>
                <w:szCs w:val="22"/>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2"/>
                <w:szCs w:val="22"/>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Crossovers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2"/>
                <w:szCs w:val="22"/>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2"/>
                <w:szCs w:val="22"/>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GMC</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United States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758</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725</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1,474</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Canada, Mexico and Other</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North America(a)</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1,739</w:t>
            </w:r>
          </w:p>
        </w:tc>
        <w:tc>
          <w:tcPr>
            <w:tcW w:w="1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Asia/Pacific, Middle East and Africa</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Wuling</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2"/>
                <w:szCs w:val="22"/>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2"/>
                <w:szCs w:val="22"/>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Baojun</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2"/>
                <w:szCs w:val="22"/>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2"/>
                <w:szCs w:val="22"/>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Asia/Pacific, Middle East and Africa(a)(b)</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986</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1,014</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2,084</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South America(a)(c)</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in GM markets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2,062</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2,053</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4,155</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4,087</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Europe</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Worldwide</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2,063</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2,343</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4,157</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4,688</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70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Sales of Opel/Vauxhall outside of Europe were insignificant in the three and six months ended June 30, 2018 and 2017.</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Industry and GM sales in India and South Africa. As of December 31, 2017 we have ceased sales of Chevrolet for the domestic markets in India and South Africa.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Chevrolet.</w:t>
      </w:r>
    </w:p>
    <w:p>
      <w:pPr>
        <w:spacing w:after="0" w:line="241"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5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64" w:lineRule="exact"/>
        <w:rPr>
          <w:sz w:val="20"/>
          <w:szCs w:val="20"/>
          <w:color w:val="auto"/>
        </w:rPr>
      </w:pPr>
    </w:p>
    <w:p>
      <w:pPr>
        <w:ind w:right="20" w:firstLine="162"/>
        <w:spacing w:after="0" w:line="260" w:lineRule="auto"/>
        <w:rPr>
          <w:sz w:val="20"/>
          <w:szCs w:val="20"/>
          <w:color w:val="auto"/>
        </w:rPr>
      </w:pPr>
      <w:r>
        <w:rPr>
          <w:rFonts w:ascii="Arial" w:cs="Arial" w:eastAsia="Arial" w:hAnsi="Arial"/>
          <w:sz w:val="16"/>
          <w:szCs w:val="16"/>
          <w:color w:val="auto"/>
        </w:rPr>
        <w:t>The vehicle sales at GM's China joint ventures presented in the following table are included in GM's retail vehicle sales on the preceding page (vehicles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tcBorders>
              <w:bottom w:val="single" w:sz="8" w:color="auto"/>
            </w:tcBorders>
            <w:gridSpan w:val="5"/>
          </w:tcPr>
          <w:p>
            <w:pPr>
              <w:ind w:left="82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gridSpan w:val="2"/>
          </w:tcPr>
          <w:p>
            <w:pPr>
              <w:spacing w:after="0"/>
              <w:rPr>
                <w:sz w:val="15"/>
                <w:szCs w:val="15"/>
                <w:color w:val="auto"/>
              </w:rPr>
            </w:pPr>
          </w:p>
        </w:tc>
        <w:tc>
          <w:tcPr>
            <w:tcW w:w="2800" w:type="dxa"/>
            <w:vAlign w:val="bottom"/>
            <w:tcBorders>
              <w:bottom w:val="single" w:sz="8" w:color="auto"/>
            </w:tcBorders>
            <w:gridSpan w:val="5"/>
          </w:tcPr>
          <w:p>
            <w:pPr>
              <w:jc w:val="right"/>
              <w:ind w:right="761"/>
              <w:spacing w:after="0"/>
              <w:rPr>
                <w:sz w:val="20"/>
                <w:szCs w:val="20"/>
                <w:color w:val="auto"/>
              </w:rPr>
            </w:pPr>
            <w:r>
              <w:rPr>
                <w:rFonts w:ascii="Arial" w:cs="Arial" w:eastAsia="Arial" w:hAnsi="Arial"/>
                <w:sz w:val="13"/>
                <w:szCs w:val="13"/>
                <w:b w:val="1"/>
                <w:bCs w:val="1"/>
                <w:color w:val="auto"/>
              </w:rPr>
              <w:t>Six Months Ended</w:t>
            </w:r>
          </w:p>
        </w:tc>
      </w:tr>
      <w:tr>
        <w:trPr>
          <w:trHeight w:val="264"/>
        </w:trPr>
        <w:tc>
          <w:tcPr>
            <w:tcW w:w="5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3"/>
          </w:tcPr>
          <w:p>
            <w:pPr>
              <w:ind w:left="280"/>
              <w:spacing w:after="0"/>
              <w:rPr>
                <w:sz w:val="20"/>
                <w:szCs w:val="20"/>
                <w:color w:val="auto"/>
              </w:rPr>
            </w:pPr>
            <w:r>
              <w:rPr>
                <w:rFonts w:ascii="Arial" w:cs="Arial" w:eastAsia="Arial" w:hAnsi="Arial"/>
                <w:sz w:val="13"/>
                <w:szCs w:val="13"/>
                <w:b w:val="1"/>
                <w:bCs w:val="1"/>
                <w:color w:val="auto"/>
              </w:rPr>
              <w:t>June 30, 2018</w:t>
            </w:r>
          </w:p>
        </w:tc>
        <w:tc>
          <w:tcPr>
            <w:tcW w:w="1500" w:type="dxa"/>
            <w:vAlign w:val="bottom"/>
            <w:gridSpan w:val="4"/>
          </w:tcPr>
          <w:p>
            <w:pPr>
              <w:ind w:left="280"/>
              <w:spacing w:after="0"/>
              <w:rPr>
                <w:sz w:val="20"/>
                <w:szCs w:val="20"/>
                <w:color w:val="auto"/>
              </w:rPr>
            </w:pPr>
            <w:r>
              <w:rPr>
                <w:rFonts w:ascii="Arial" w:cs="Arial" w:eastAsia="Arial" w:hAnsi="Arial"/>
                <w:sz w:val="13"/>
                <w:szCs w:val="13"/>
                <w:b w:val="1"/>
                <w:bCs w:val="1"/>
                <w:color w:val="auto"/>
              </w:rPr>
              <w:t>June 30, 2017</w:t>
            </w:r>
          </w:p>
        </w:tc>
        <w:tc>
          <w:tcPr>
            <w:tcW w:w="1440" w:type="dxa"/>
            <w:vAlign w:val="bottom"/>
            <w:gridSpan w:val="4"/>
          </w:tcPr>
          <w:p>
            <w:pPr>
              <w:ind w:left="260"/>
              <w:spacing w:after="0"/>
              <w:rPr>
                <w:sz w:val="20"/>
                <w:szCs w:val="20"/>
                <w:color w:val="auto"/>
              </w:rPr>
            </w:pPr>
            <w:r>
              <w:rPr>
                <w:rFonts w:ascii="Arial" w:cs="Arial" w:eastAsia="Arial" w:hAnsi="Arial"/>
                <w:sz w:val="13"/>
                <w:szCs w:val="13"/>
                <w:b w:val="1"/>
                <w:bCs w:val="1"/>
                <w:color w:val="auto"/>
              </w:rPr>
              <w:t>June 30, 2018</w:t>
            </w:r>
          </w:p>
        </w:tc>
        <w:tc>
          <w:tcPr>
            <w:tcW w:w="1360" w:type="dxa"/>
            <w:vAlign w:val="bottom"/>
          </w:tcPr>
          <w:p>
            <w:pPr>
              <w:jc w:val="right"/>
              <w:ind w:right="181"/>
              <w:spacing w:after="0"/>
              <w:rPr>
                <w:sz w:val="20"/>
                <w:szCs w:val="20"/>
                <w:color w:val="auto"/>
              </w:rPr>
            </w:pPr>
            <w:r>
              <w:rPr>
                <w:rFonts w:ascii="Arial" w:cs="Arial" w:eastAsia="Arial" w:hAnsi="Arial"/>
                <w:sz w:val="13"/>
                <w:szCs w:val="13"/>
                <w:b w:val="1"/>
                <w:bCs w:val="1"/>
                <w:color w:val="auto"/>
              </w:rPr>
              <w:t>June 30, 2017</w:t>
            </w:r>
          </w:p>
        </w:tc>
      </w:tr>
      <w:tr>
        <w:trPr>
          <w:trHeight w:val="243"/>
        </w:trPr>
        <w:tc>
          <w:tcPr>
            <w:tcW w:w="56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SAIC General Motors Sales Co., Ltd.</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810</w:t>
            </w:r>
          </w:p>
        </w:tc>
      </w:tr>
      <w:tr>
        <w:trPr>
          <w:trHeight w:val="218"/>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SAIC GM Wuling Automobile Co., Ltd. and FAW-GM Light Duty Commercial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5"/>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Vehicle Co., Ltd.</w:t>
            </w:r>
          </w:p>
        </w:tc>
        <w:tc>
          <w:tcPr>
            <w:tcW w:w="1260" w:type="dxa"/>
            <w:vAlign w:val="bottom"/>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956</w:t>
            </w:r>
          </w:p>
        </w:tc>
      </w:tr>
      <w:tr>
        <w:trPr>
          <w:trHeight w:val="634"/>
        </w:trPr>
        <w:tc>
          <w:tcPr>
            <w:tcW w:w="5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right"/>
              <w:ind w:right="821"/>
              <w:spacing w:after="0"/>
              <w:rPr>
                <w:sz w:val="20"/>
                <w:szCs w:val="20"/>
                <w:color w:val="auto"/>
              </w:rPr>
            </w:pPr>
            <w:r>
              <w:rPr>
                <w:rFonts w:ascii="Arial" w:cs="Arial" w:eastAsia="Arial" w:hAnsi="Arial"/>
                <w:sz w:val="13"/>
                <w:szCs w:val="13"/>
                <w:b w:val="1"/>
                <w:bCs w:val="1"/>
                <w:color w:val="auto"/>
              </w:rPr>
              <w:t>Six Months Ended</w:t>
            </w:r>
          </w:p>
        </w:tc>
      </w:tr>
      <w:tr>
        <w:trPr>
          <w:trHeight w:val="264"/>
        </w:trPr>
        <w:tc>
          <w:tcPr>
            <w:tcW w:w="54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June 30, 2018</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June 30, 2017</w:t>
            </w:r>
          </w:p>
        </w:tc>
        <w:tc>
          <w:tcPr>
            <w:tcW w:w="100" w:type="dxa"/>
            <w:vAlign w:val="bottom"/>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June 30, 2018</w:t>
            </w:r>
          </w:p>
        </w:tc>
        <w:tc>
          <w:tcPr>
            <w:tcW w:w="120" w:type="dxa"/>
            <w:vAlign w:val="bottom"/>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June 30, 2017</w:t>
            </w: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Market Share</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United States – Cars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60"/>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United States – Trucks</w:t>
            </w:r>
          </w:p>
        </w:tc>
        <w:tc>
          <w:tcPr>
            <w:tcW w:w="126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80"/>
        </w:trPr>
        <w:tc>
          <w:tcPr>
            <w:tcW w:w="5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United States – Crossovers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33"/>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Total United States</w:t>
            </w:r>
          </w:p>
        </w:tc>
        <w:tc>
          <w:tcPr>
            <w:tcW w:w="126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53"/>
        </w:trPr>
        <w:tc>
          <w:tcPr>
            <w:tcW w:w="5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North America</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33"/>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Total Asia/Pacific, Middle East and Africa</w:t>
            </w:r>
          </w:p>
        </w:tc>
        <w:tc>
          <w:tcPr>
            <w:tcW w:w="126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53"/>
        </w:trPr>
        <w:tc>
          <w:tcPr>
            <w:tcW w:w="5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South America</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33"/>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Total GM Market</w:t>
            </w:r>
          </w:p>
        </w:tc>
        <w:tc>
          <w:tcPr>
            <w:tcW w:w="126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53"/>
        </w:trPr>
        <w:tc>
          <w:tcPr>
            <w:tcW w:w="5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Europe</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33"/>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Total Worldwide</w:t>
            </w:r>
          </w:p>
        </w:tc>
        <w:tc>
          <w:tcPr>
            <w:tcW w:w="12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172"/>
        </w:trPr>
        <w:tc>
          <w:tcPr>
            <w:tcW w:w="5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United States fleet sales as a percentage of retail vehicle sales</w:t>
            </w:r>
          </w:p>
        </w:tc>
        <w:tc>
          <w:tcPr>
            <w:tcW w:w="126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172"/>
        </w:trPr>
        <w:tc>
          <w:tcPr>
            <w:tcW w:w="5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51"/>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North America capacity two shift utilization</w:t>
            </w:r>
          </w:p>
        </w:tc>
        <w:tc>
          <w:tcPr>
            <w:tcW w:w="1260" w:type="dxa"/>
            <w:vAlign w:val="bottom"/>
          </w:tcPr>
          <w:p>
            <w:pPr>
              <w:jc w:val="right"/>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5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gridSpan w:val="11"/>
          </w:tcPr>
          <w:p>
            <w:pPr>
              <w:jc w:val="center"/>
              <w:ind w:right="133"/>
              <w:spacing w:after="0"/>
              <w:rPr>
                <w:sz w:val="20"/>
                <w:szCs w:val="20"/>
                <w:color w:val="auto"/>
              </w:rPr>
            </w:pPr>
            <w:r>
              <w:rPr>
                <w:rFonts w:ascii="Arial" w:cs="Arial" w:eastAsia="Arial" w:hAnsi="Arial"/>
                <w:sz w:val="11"/>
                <w:szCs w:val="11"/>
                <w:b w:val="1"/>
                <w:bCs w:val="1"/>
                <w:color w:val="auto"/>
                <w:w w:val="98"/>
              </w:rPr>
              <w:t>Three Months Ended June 30, 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14"/>
          </w:tcPr>
          <w:p>
            <w:pPr>
              <w:ind w:left="300"/>
              <w:spacing w:after="0"/>
              <w:rPr>
                <w:sz w:val="20"/>
                <w:szCs w:val="20"/>
                <w:color w:val="auto"/>
              </w:rPr>
            </w:pPr>
            <w:r>
              <w:rPr>
                <w:rFonts w:ascii="Arial" w:cs="Arial" w:eastAsia="Arial" w:hAnsi="Arial"/>
                <w:sz w:val="11"/>
                <w:szCs w:val="11"/>
                <w:b w:val="1"/>
                <w:bCs w:val="1"/>
                <w:color w:val="auto"/>
              </w:rPr>
              <w:t>Three Months Ended June 30, 2017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w w:val="99"/>
              </w:rPr>
              <w:t>Automotive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ind w:right="31"/>
              <w:spacing w:after="0"/>
              <w:rPr>
                <w:sz w:val="20"/>
                <w:szCs w:val="20"/>
                <w:color w:val="auto"/>
              </w:rPr>
            </w:pPr>
            <w:r>
              <w:rPr>
                <w:rFonts w:ascii="Arial" w:cs="Arial" w:eastAsia="Arial" w:hAnsi="Arial"/>
                <w:sz w:val="11"/>
                <w:szCs w:val="11"/>
                <w:b w:val="1"/>
                <w:bCs w:val="1"/>
                <w:color w:val="auto"/>
              </w:rPr>
              <w:t>GM Cruise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99"/>
              </w:rPr>
              <w:t>GM Financial</w:t>
            </w:r>
          </w:p>
        </w:tc>
        <w:tc>
          <w:tcPr>
            <w:tcW w:w="100" w:type="dxa"/>
            <w:vAlign w:val="bottom"/>
          </w:tcPr>
          <w:p>
            <w:pPr>
              <w:spacing w:after="0"/>
              <w:rPr>
                <w:sz w:val="21"/>
                <w:szCs w:val="21"/>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97"/>
              </w:rPr>
              <w:t>Eliminations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Combined</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1"/>
                <w:szCs w:val="11"/>
                <w:b w:val="1"/>
                <w:bCs w:val="1"/>
                <w:color w:val="auto"/>
                <w:w w:val="99"/>
              </w:rPr>
              <w:t>Automotive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98"/>
              </w:rPr>
              <w:t>GM Cruise</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GM Financial</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1"/>
                <w:szCs w:val="11"/>
                <w:b w:val="1"/>
                <w:bCs w:val="1"/>
                <w:color w:val="auto"/>
              </w:rPr>
              <w:t>Eliminations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22"/>
        </w:trPr>
        <w:tc>
          <w:tcPr>
            <w:tcW w:w="16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Net sales and revenue</w:t>
            </w: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16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Automotive</w:t>
            </w:r>
          </w:p>
        </w:tc>
        <w:tc>
          <w:tcPr>
            <w:tcW w:w="2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33,309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3"/>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w w:val="85"/>
              </w:rPr>
              <w:t>—</w:t>
            </w:r>
          </w:p>
        </w:tc>
        <w:tc>
          <w:tcPr>
            <w:tcW w:w="500" w:type="dxa"/>
            <w:vAlign w:val="bottom"/>
            <w:gridSpan w:val="3"/>
            <w:vMerge w:val="restart"/>
            <w:shd w:val="clear" w:color="auto" w:fill="CCEEFF"/>
          </w:tcPr>
          <w:p>
            <w:pPr>
              <w:jc w:val="right"/>
              <w:ind w:right="157"/>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4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33,275</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34,001</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60" w:type="dxa"/>
            <w:vAlign w:val="bottom"/>
            <w:gridSpan w:val="3"/>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33,998</w:t>
            </w:r>
          </w:p>
        </w:tc>
        <w:tc>
          <w:tcPr>
            <w:tcW w:w="0" w:type="dxa"/>
            <w:vAlign w:val="bottom"/>
          </w:tcPr>
          <w:p>
            <w:pPr>
              <w:spacing w:after="0"/>
              <w:rPr>
                <w:sz w:val="1"/>
                <w:szCs w:val="1"/>
                <w:color w:val="auto"/>
              </w:rPr>
            </w:pPr>
          </w:p>
        </w:tc>
      </w:tr>
      <w:tr>
        <w:trPr>
          <w:trHeight w:val="97"/>
        </w:trPr>
        <w:tc>
          <w:tcPr>
            <w:tcW w:w="16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60" w:type="dxa"/>
            <w:vAlign w:val="bottom"/>
            <w:gridSpan w:val="3"/>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500" w:type="dxa"/>
            <w:vAlign w:val="bottom"/>
            <w:gridSpan w:val="3"/>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gridSpan w:val="3"/>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20" w:type="dxa"/>
            <w:vAlign w:val="bottom"/>
            <w:gridSpan w:val="2"/>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580" w:type="dxa"/>
            <w:vAlign w:val="bottom"/>
            <w:gridSpan w:val="3"/>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260" w:type="dxa"/>
            <w:vAlign w:val="bottom"/>
            <w:gridSpan w:val="3"/>
            <w:vMerge w:val="continue"/>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gridSpan w:val="3"/>
            <w:vMerge w:val="continue"/>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260" w:type="dxa"/>
            <w:vAlign w:val="bottom"/>
            <w:gridSpan w:val="3"/>
            <w:vMerge w:val="continue"/>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gridSpan w:val="2"/>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680" w:type="dxa"/>
            <w:vAlign w:val="bottom"/>
          </w:tcPr>
          <w:p>
            <w:pPr>
              <w:ind w:left="180"/>
              <w:spacing w:after="0"/>
              <w:rPr>
                <w:sz w:val="20"/>
                <w:szCs w:val="20"/>
                <w:color w:val="auto"/>
              </w:rPr>
            </w:pPr>
            <w:r>
              <w:rPr>
                <w:rFonts w:ascii="Arial" w:cs="Arial" w:eastAsia="Arial" w:hAnsi="Arial"/>
                <w:sz w:val="13"/>
                <w:szCs w:val="13"/>
                <w:color w:val="auto"/>
              </w:rPr>
              <w:t>GM Financial</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3,488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3,485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2,990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2,986</w:t>
            </w:r>
          </w:p>
        </w:tc>
        <w:tc>
          <w:tcPr>
            <w:tcW w:w="0" w:type="dxa"/>
            <w:vAlign w:val="bottom"/>
          </w:tcPr>
          <w:p>
            <w:pPr>
              <w:spacing w:after="0"/>
              <w:rPr>
                <w:sz w:val="1"/>
                <w:szCs w:val="1"/>
                <w:color w:val="auto"/>
              </w:rPr>
            </w:pPr>
          </w:p>
        </w:tc>
      </w:tr>
      <w:tr>
        <w:trPr>
          <w:trHeight w:val="91"/>
        </w:trPr>
        <w:tc>
          <w:tcPr>
            <w:tcW w:w="1680" w:type="dxa"/>
            <w:vAlign w:val="bottom"/>
            <w:tcBorders>
              <w:bottom w:val="single" w:sz="8" w:color="CCEEFF"/>
            </w:tcBorders>
          </w:tcPr>
          <w:p>
            <w:pPr>
              <w:spacing w:after="0"/>
              <w:rPr>
                <w:sz w:val="7"/>
                <w:szCs w:val="7"/>
                <w:color w:val="auto"/>
              </w:rPr>
            </w:pPr>
          </w:p>
        </w:tc>
        <w:tc>
          <w:tcPr>
            <w:tcW w:w="2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gridSpan w:val="2"/>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2"/>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gridSpan w:val="2"/>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2"/>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gridSpan w:val="2"/>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9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net sales and revenue</w:t>
            </w:r>
          </w:p>
        </w:tc>
        <w:tc>
          <w:tcPr>
            <w:tcW w:w="140" w:type="dxa"/>
            <w:vAlign w:val="bottom"/>
            <w:shd w:val="clear" w:color="auto" w:fill="CCEEFF"/>
          </w:tcPr>
          <w:p>
            <w:pPr>
              <w:spacing w:after="0"/>
              <w:rPr>
                <w:sz w:val="13"/>
                <w:szCs w:val="13"/>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33,309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3,488</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36,760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34,001</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2,990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36,984</w:t>
            </w:r>
          </w:p>
        </w:tc>
        <w:tc>
          <w:tcPr>
            <w:tcW w:w="0" w:type="dxa"/>
            <w:vAlign w:val="bottom"/>
          </w:tcPr>
          <w:p>
            <w:pPr>
              <w:spacing w:after="0"/>
              <w:rPr>
                <w:sz w:val="1"/>
                <w:szCs w:val="1"/>
                <w:color w:val="auto"/>
              </w:rPr>
            </w:pPr>
          </w:p>
        </w:tc>
      </w:tr>
      <w:tr>
        <w:trPr>
          <w:trHeight w:val="97"/>
        </w:trPr>
        <w:tc>
          <w:tcPr>
            <w:tcW w:w="16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gridSpan w:val="3"/>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2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3"/>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680" w:type="dxa"/>
            <w:vAlign w:val="bottom"/>
          </w:tcPr>
          <w:p>
            <w:pPr>
              <w:ind w:left="40"/>
              <w:spacing w:after="0"/>
              <w:rPr>
                <w:sz w:val="20"/>
                <w:szCs w:val="20"/>
                <w:color w:val="auto"/>
              </w:rPr>
            </w:pPr>
            <w:r>
              <w:rPr>
                <w:rFonts w:ascii="Arial" w:cs="Arial" w:eastAsia="Arial" w:hAnsi="Arial"/>
                <w:sz w:val="13"/>
                <w:szCs w:val="13"/>
                <w:b w:val="1"/>
                <w:bCs w:val="1"/>
                <w:color w:val="auto"/>
              </w:rPr>
              <w:t>Costs and expenses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96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9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Automotive and other cost of</w:t>
            </w:r>
          </w:p>
        </w:tc>
        <w:tc>
          <w:tcPr>
            <w:tcW w:w="140" w:type="dxa"/>
            <w:vAlign w:val="bottom"/>
            <w:shd w:val="clear" w:color="auto" w:fill="CCEEFF"/>
          </w:tcPr>
          <w:p>
            <w:pPr>
              <w:spacing w:after="0"/>
              <w:rPr>
                <w:sz w:val="13"/>
                <w:szCs w:val="13"/>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29,948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gridSpan w:val="3"/>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157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30,071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29,387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29,535</w:t>
            </w:r>
          </w:p>
        </w:tc>
        <w:tc>
          <w:tcPr>
            <w:tcW w:w="0" w:type="dxa"/>
            <w:vAlign w:val="bottom"/>
          </w:tcPr>
          <w:p>
            <w:pPr>
              <w:spacing w:after="0"/>
              <w:rPr>
                <w:sz w:val="1"/>
                <w:szCs w:val="1"/>
                <w:color w:val="auto"/>
              </w:rPr>
            </w:pPr>
          </w:p>
        </w:tc>
      </w:tr>
      <w:tr>
        <w:trPr>
          <w:trHeight w:val="168"/>
        </w:trPr>
        <w:tc>
          <w:tcPr>
            <w:tcW w:w="16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sales</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80" w:type="dxa"/>
            <w:vAlign w:val="bottom"/>
          </w:tcPr>
          <w:p>
            <w:pPr>
              <w:ind w:left="180"/>
              <w:spacing w:after="0"/>
              <w:rPr>
                <w:sz w:val="20"/>
                <w:szCs w:val="20"/>
                <w:color w:val="auto"/>
              </w:rPr>
            </w:pPr>
            <w:r>
              <w:rPr>
                <w:rFonts w:ascii="Arial" w:cs="Arial" w:eastAsia="Arial" w:hAnsi="Arial"/>
                <w:sz w:val="13"/>
                <w:szCs w:val="13"/>
                <w:color w:val="auto"/>
              </w:rPr>
              <w:t>GM Financial interest,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340"/>
              <w:spacing w:after="0" w:line="135" w:lineRule="exact"/>
              <w:rPr>
                <w:sz w:val="20"/>
                <w:szCs w:val="20"/>
                <w:color w:val="auto"/>
              </w:rPr>
            </w:pPr>
            <w:r>
              <w:rPr>
                <w:rFonts w:ascii="Arial" w:cs="Arial" w:eastAsia="Arial" w:hAnsi="Arial"/>
                <w:sz w:val="13"/>
                <w:szCs w:val="13"/>
                <w:color w:val="auto"/>
              </w:rPr>
              <w:t>operating and other</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restart"/>
          </w:tcPr>
          <w:p>
            <w:pPr>
              <w:jc w:val="right"/>
              <w:ind w:right="11"/>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2,997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2,996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2,675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2,675</w:t>
            </w:r>
          </w:p>
        </w:tc>
        <w:tc>
          <w:tcPr>
            <w:tcW w:w="0" w:type="dxa"/>
            <w:vAlign w:val="bottom"/>
          </w:tcPr>
          <w:p>
            <w:pPr>
              <w:spacing w:after="0"/>
              <w:rPr>
                <w:sz w:val="1"/>
                <w:szCs w:val="1"/>
                <w:color w:val="auto"/>
              </w:rPr>
            </w:pPr>
          </w:p>
        </w:tc>
      </w:tr>
      <w:tr>
        <w:trPr>
          <w:trHeight w:val="162"/>
        </w:trPr>
        <w:tc>
          <w:tcPr>
            <w:tcW w:w="1680" w:type="dxa"/>
            <w:vAlign w:val="bottom"/>
          </w:tcPr>
          <w:p>
            <w:pPr>
              <w:ind w:left="340"/>
              <w:spacing w:after="0"/>
              <w:rPr>
                <w:sz w:val="20"/>
                <w:szCs w:val="20"/>
                <w:color w:val="auto"/>
              </w:rPr>
            </w:pPr>
            <w:r>
              <w:rPr>
                <w:rFonts w:ascii="Arial" w:cs="Arial" w:eastAsia="Arial" w:hAnsi="Arial"/>
                <w:sz w:val="13"/>
                <w:szCs w:val="13"/>
                <w:color w:val="auto"/>
              </w:rPr>
              <w:t>expenses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Automotive and other selling,</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general and administrative</w:t>
            </w:r>
          </w:p>
        </w:tc>
        <w:tc>
          <w:tcPr>
            <w:tcW w:w="140" w:type="dxa"/>
            <w:vAlign w:val="bottom"/>
            <w:shd w:val="clear" w:color="auto" w:fill="CCEEFF"/>
          </w:tcPr>
          <w:p>
            <w:pPr>
              <w:spacing w:after="0"/>
              <w:rPr>
                <w:sz w:val="11"/>
                <w:szCs w:val="11"/>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2,219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2,216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2,472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2,477</w:t>
            </w:r>
          </w:p>
        </w:tc>
        <w:tc>
          <w:tcPr>
            <w:tcW w:w="0" w:type="dxa"/>
            <w:vAlign w:val="bottom"/>
          </w:tcPr>
          <w:p>
            <w:pPr>
              <w:spacing w:after="0"/>
              <w:rPr>
                <w:sz w:val="1"/>
                <w:szCs w:val="1"/>
                <w:color w:val="auto"/>
              </w:rPr>
            </w:pPr>
          </w:p>
        </w:tc>
      </w:tr>
      <w:tr>
        <w:trPr>
          <w:trHeight w:val="168"/>
        </w:trPr>
        <w:tc>
          <w:tcPr>
            <w:tcW w:w="16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expense</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80" w:type="dxa"/>
            <w:vAlign w:val="bottom"/>
          </w:tcPr>
          <w:p>
            <w:pPr>
              <w:ind w:left="180"/>
              <w:spacing w:after="0"/>
              <w:rPr>
                <w:sz w:val="20"/>
                <w:szCs w:val="20"/>
                <w:color w:val="auto"/>
              </w:rPr>
            </w:pPr>
            <w:r>
              <w:rPr>
                <w:rFonts w:ascii="Arial" w:cs="Arial" w:eastAsia="Arial" w:hAnsi="Arial"/>
                <w:sz w:val="13"/>
                <w:szCs w:val="13"/>
                <w:color w:val="auto"/>
              </w:rPr>
              <w:t>Total costs and expenses</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4"/>
                <w:szCs w:val="14"/>
                <w:color w:val="auto"/>
              </w:rPr>
              <w:t>32,167</w:t>
            </w:r>
          </w:p>
        </w:tc>
        <w:tc>
          <w:tcPr>
            <w:tcW w:w="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gridSpan w:val="3"/>
            <w:vMerge w:val="restart"/>
          </w:tcPr>
          <w:p>
            <w:pPr>
              <w:jc w:val="right"/>
              <w:ind w:right="11"/>
              <w:spacing w:after="0"/>
              <w:rPr>
                <w:sz w:val="20"/>
                <w:szCs w:val="20"/>
                <w:color w:val="auto"/>
              </w:rPr>
            </w:pPr>
            <w:r>
              <w:rPr>
                <w:rFonts w:ascii="Arial" w:cs="Arial" w:eastAsia="Arial" w:hAnsi="Arial"/>
                <w:sz w:val="14"/>
                <w:szCs w:val="14"/>
                <w:color w:val="auto"/>
              </w:rPr>
              <w:t>154</w:t>
            </w: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vMerge w:val="restart"/>
          </w:tcPr>
          <w:p>
            <w:pPr>
              <w:jc w:val="right"/>
              <w:ind w:right="51"/>
              <w:spacing w:after="0"/>
              <w:rPr>
                <w:sz w:val="20"/>
                <w:szCs w:val="20"/>
                <w:color w:val="auto"/>
              </w:rPr>
            </w:pPr>
            <w:r>
              <w:rPr>
                <w:rFonts w:ascii="Arial" w:cs="Arial" w:eastAsia="Arial" w:hAnsi="Arial"/>
                <w:sz w:val="14"/>
                <w:szCs w:val="14"/>
                <w:color w:val="auto"/>
              </w:rPr>
              <w:t>2,997</w:t>
            </w: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4"/>
                <w:szCs w:val="14"/>
                <w:color w:val="auto"/>
              </w:rPr>
              <w:t>(35)</w:t>
            </w:r>
          </w:p>
        </w:tc>
        <w:tc>
          <w:tcPr>
            <w:tcW w:w="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3"/>
            <w:vMerge w:val="restart"/>
          </w:tcPr>
          <w:p>
            <w:pPr>
              <w:jc w:val="right"/>
              <w:ind w:right="20"/>
              <w:spacing w:after="0"/>
              <w:rPr>
                <w:sz w:val="20"/>
                <w:szCs w:val="20"/>
                <w:color w:val="auto"/>
              </w:rPr>
            </w:pPr>
            <w:r>
              <w:rPr>
                <w:rFonts w:ascii="Arial" w:cs="Arial" w:eastAsia="Arial" w:hAnsi="Arial"/>
                <w:sz w:val="14"/>
                <w:szCs w:val="14"/>
                <w:color w:val="auto"/>
              </w:rPr>
              <w:t>35,283</w:t>
            </w: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31,859</w:t>
            </w: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157</w:t>
            </w: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4"/>
                <w:szCs w:val="14"/>
                <w:color w:val="auto"/>
              </w:rPr>
              <w:t>2,675</w:t>
            </w: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34,687</w:t>
            </w:r>
          </w:p>
        </w:tc>
        <w:tc>
          <w:tcPr>
            <w:tcW w:w="0" w:type="dxa"/>
            <w:vAlign w:val="bottom"/>
          </w:tcPr>
          <w:p>
            <w:pPr>
              <w:spacing w:after="0"/>
              <w:rPr>
                <w:sz w:val="1"/>
                <w:szCs w:val="1"/>
                <w:color w:val="auto"/>
              </w:rPr>
            </w:pPr>
          </w:p>
        </w:tc>
      </w:tr>
      <w:tr>
        <w:trPr>
          <w:trHeight w:val="91"/>
        </w:trPr>
        <w:tc>
          <w:tcPr>
            <w:tcW w:w="1680" w:type="dxa"/>
            <w:vAlign w:val="bottom"/>
            <w:tcBorders>
              <w:bottom w:val="single" w:sz="8" w:color="CCEEFF"/>
            </w:tcBorders>
          </w:tcPr>
          <w:p>
            <w:pPr>
              <w:spacing w:after="0"/>
              <w:rPr>
                <w:sz w:val="7"/>
                <w:szCs w:val="7"/>
                <w:color w:val="auto"/>
              </w:rPr>
            </w:pPr>
          </w:p>
        </w:tc>
        <w:tc>
          <w:tcPr>
            <w:tcW w:w="2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gridSpan w:val="3"/>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3"/>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2"/>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gridSpan w:val="2"/>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2"/>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gridSpan w:val="2"/>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9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Operating income (loss)</w:t>
            </w:r>
          </w:p>
        </w:tc>
        <w:tc>
          <w:tcPr>
            <w:tcW w:w="140" w:type="dxa"/>
            <w:vAlign w:val="bottom"/>
            <w:shd w:val="clear" w:color="auto" w:fill="CCEEFF"/>
          </w:tcPr>
          <w:p>
            <w:pPr>
              <w:spacing w:after="0"/>
              <w:rPr>
                <w:sz w:val="13"/>
                <w:szCs w:val="13"/>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491</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1,477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2,142</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315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2,297</w:t>
            </w:r>
          </w:p>
        </w:tc>
        <w:tc>
          <w:tcPr>
            <w:tcW w:w="0" w:type="dxa"/>
            <w:vAlign w:val="bottom"/>
          </w:tcPr>
          <w:p>
            <w:pPr>
              <w:spacing w:after="0"/>
              <w:rPr>
                <w:sz w:val="1"/>
                <w:szCs w:val="1"/>
                <w:color w:val="auto"/>
              </w:rPr>
            </w:pPr>
          </w:p>
        </w:tc>
      </w:tr>
      <w:tr>
        <w:trPr>
          <w:trHeight w:val="97"/>
        </w:trPr>
        <w:tc>
          <w:tcPr>
            <w:tcW w:w="16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gridSpan w:val="3"/>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80" w:type="dxa"/>
            <w:vAlign w:val="bottom"/>
            <w:gridSpan w:val="3"/>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2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3"/>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gridSpan w:val="3"/>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680" w:type="dxa"/>
            <w:vAlign w:val="bottom"/>
          </w:tcPr>
          <w:p>
            <w:pPr>
              <w:ind w:left="40"/>
              <w:spacing w:after="0"/>
              <w:rPr>
                <w:sz w:val="20"/>
                <w:szCs w:val="20"/>
                <w:color w:val="auto"/>
              </w:rPr>
            </w:pPr>
            <w:r>
              <w:rPr>
                <w:rFonts w:ascii="Arial" w:cs="Arial" w:eastAsia="Arial" w:hAnsi="Arial"/>
                <w:sz w:val="13"/>
                <w:szCs w:val="13"/>
                <w:color w:val="auto"/>
                <w:w w:val="98"/>
              </w:rPr>
              <w:t>Automotive interest expense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gridSpan w:val="3"/>
            <w:vMerge w:val="restart"/>
          </w:tcPr>
          <w:p>
            <w:pPr>
              <w:jc w:val="right"/>
              <w:ind w:right="11"/>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135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91"/>
        </w:trPr>
        <w:tc>
          <w:tcPr>
            <w:tcW w:w="1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 income and other non-</w:t>
            </w:r>
          </w:p>
        </w:tc>
        <w:tc>
          <w:tcPr>
            <w:tcW w:w="14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930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68"/>
        </w:trPr>
        <w:tc>
          <w:tcPr>
            <w:tcW w:w="1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operating income, net</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8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1"/>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637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488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91"/>
        </w:trPr>
        <w:tc>
          <w:tcPr>
            <w:tcW w:w="1680" w:type="dxa"/>
            <w:vAlign w:val="bottom"/>
            <w:tcBorders>
              <w:bottom w:val="single" w:sz="8" w:color="CCEEFF"/>
            </w:tcBorders>
          </w:tcPr>
          <w:p>
            <w:pPr>
              <w:spacing w:after="0"/>
              <w:rPr>
                <w:sz w:val="7"/>
                <w:szCs w:val="7"/>
                <w:color w:val="auto"/>
              </w:rPr>
            </w:pPr>
          </w:p>
        </w:tc>
        <w:tc>
          <w:tcPr>
            <w:tcW w:w="2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gridSpan w:val="3"/>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2"/>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gridSpan w:val="2"/>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2"/>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gridSpan w:val="2"/>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680" w:type="dxa"/>
            <w:vAlign w:val="bottom"/>
            <w:shd w:val="clear" w:color="auto" w:fill="CCEEFF"/>
          </w:tcPr>
          <w:p>
            <w:pPr>
              <w:ind w:left="40"/>
              <w:spacing w:after="0" w:line="143" w:lineRule="exact"/>
              <w:rPr>
                <w:sz w:val="20"/>
                <w:szCs w:val="20"/>
                <w:color w:val="auto"/>
              </w:rPr>
            </w:pPr>
            <w:r>
              <w:rPr>
                <w:rFonts w:ascii="Arial" w:cs="Arial" w:eastAsia="Arial" w:hAnsi="Arial"/>
                <w:sz w:val="13"/>
                <w:szCs w:val="13"/>
                <w:color w:val="auto"/>
                <w:w w:val="98"/>
              </w:rPr>
              <w:t>Income (loss) before income</w:t>
            </w:r>
          </w:p>
        </w:tc>
        <w:tc>
          <w:tcPr>
            <w:tcW w:w="2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2,504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3"/>
              <w:spacing w:after="0"/>
              <w:rPr>
                <w:sz w:val="20"/>
                <w:szCs w:val="20"/>
                <w:color w:val="auto"/>
              </w:rPr>
            </w:pPr>
            <w:r>
              <w:rPr>
                <w:rFonts w:ascii="Arial" w:cs="Arial" w:eastAsia="Arial" w:hAnsi="Arial"/>
                <w:sz w:val="14"/>
                <w:szCs w:val="14"/>
                <w:color w:val="auto"/>
              </w:rPr>
              <w:t>$</w:t>
            </w: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500" w:type="dxa"/>
            <w:vAlign w:val="bottom"/>
            <w:gridSpan w:val="3"/>
            <w:vMerge w:val="restart"/>
            <w:shd w:val="clear" w:color="auto" w:fill="CCEEFF"/>
          </w:tcPr>
          <w:p>
            <w:pPr>
              <w:jc w:val="right"/>
              <w:ind w:right="157"/>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2,885</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2,767</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360" w:type="dxa"/>
            <w:vAlign w:val="bottom"/>
            <w:gridSpan w:val="3"/>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357</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2,967</w:t>
            </w:r>
          </w:p>
        </w:tc>
        <w:tc>
          <w:tcPr>
            <w:tcW w:w="0" w:type="dxa"/>
            <w:vAlign w:val="bottom"/>
          </w:tcPr>
          <w:p>
            <w:pPr>
              <w:spacing w:after="0"/>
              <w:rPr>
                <w:sz w:val="1"/>
                <w:szCs w:val="1"/>
                <w:color w:val="auto"/>
              </w:rPr>
            </w:pPr>
          </w:p>
        </w:tc>
      </w:tr>
      <w:tr>
        <w:trPr>
          <w:trHeight w:val="168"/>
        </w:trPr>
        <w:tc>
          <w:tcPr>
            <w:tcW w:w="1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taxes</w:t>
            </w:r>
          </w:p>
        </w:tc>
        <w:tc>
          <w:tcPr>
            <w:tcW w:w="2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360" w:type="dxa"/>
            <w:vAlign w:val="bottom"/>
            <w:gridSpan w:val="3"/>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8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519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91"/>
        </w:trPr>
        <w:tc>
          <w:tcPr>
            <w:tcW w:w="1680" w:type="dxa"/>
            <w:vAlign w:val="bottom"/>
            <w:tcBorders>
              <w:bottom w:val="single" w:sz="8" w:color="CCEEFF"/>
            </w:tcBorders>
          </w:tcPr>
          <w:p>
            <w:pPr>
              <w:spacing w:after="0"/>
              <w:rPr>
                <w:sz w:val="7"/>
                <w:szCs w:val="7"/>
                <w:color w:val="auto"/>
              </w:rPr>
            </w:pPr>
          </w:p>
        </w:tc>
        <w:tc>
          <w:tcPr>
            <w:tcW w:w="28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42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2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4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0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680" w:type="dxa"/>
            <w:vAlign w:val="bottom"/>
            <w:shd w:val="clear" w:color="auto" w:fill="CCEEFF"/>
          </w:tcPr>
          <w:p>
            <w:pPr>
              <w:ind w:left="40"/>
              <w:spacing w:after="0" w:line="143" w:lineRule="exact"/>
              <w:rPr>
                <w:sz w:val="20"/>
                <w:szCs w:val="20"/>
                <w:color w:val="auto"/>
              </w:rPr>
            </w:pPr>
            <w:r>
              <w:rPr>
                <w:rFonts w:ascii="Arial" w:cs="Arial" w:eastAsia="Arial" w:hAnsi="Arial"/>
                <w:sz w:val="13"/>
                <w:szCs w:val="13"/>
                <w:color w:val="auto"/>
              </w:rPr>
              <w:t>Income from continuing</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2,366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2,433</w:t>
            </w:r>
          </w:p>
        </w:tc>
        <w:tc>
          <w:tcPr>
            <w:tcW w:w="0" w:type="dxa"/>
            <w:vAlign w:val="bottom"/>
          </w:tcPr>
          <w:p>
            <w:pPr>
              <w:spacing w:after="0"/>
              <w:rPr>
                <w:sz w:val="1"/>
                <w:szCs w:val="1"/>
                <w:color w:val="auto"/>
              </w:rPr>
            </w:pPr>
          </w:p>
        </w:tc>
      </w:tr>
      <w:tr>
        <w:trPr>
          <w:trHeight w:val="168"/>
        </w:trPr>
        <w:tc>
          <w:tcPr>
            <w:tcW w:w="1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operations</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80" w:type="dxa"/>
            <w:vAlign w:val="bottom"/>
          </w:tcPr>
          <w:p>
            <w:pPr>
              <w:ind w:left="40"/>
              <w:spacing w:after="0"/>
              <w:rPr>
                <w:sz w:val="20"/>
                <w:szCs w:val="20"/>
                <w:color w:val="auto"/>
              </w:rPr>
            </w:pPr>
            <w:r>
              <w:rPr>
                <w:rFonts w:ascii="Arial" w:cs="Arial" w:eastAsia="Arial" w:hAnsi="Arial"/>
                <w:sz w:val="13"/>
                <w:szCs w:val="13"/>
                <w:color w:val="auto"/>
              </w:rPr>
              <w:t>Loss from discontinued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62"/>
        </w:trPr>
        <w:tc>
          <w:tcPr>
            <w:tcW w:w="16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operations, net of tax</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Net income</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2,366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97"/>
        </w:trPr>
        <w:tc>
          <w:tcPr>
            <w:tcW w:w="16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3"/>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960" w:type="dxa"/>
            <w:vAlign w:val="bottom"/>
            <w:gridSpan w:val="2"/>
          </w:tcPr>
          <w:p>
            <w:pPr>
              <w:ind w:left="40"/>
              <w:spacing w:after="0"/>
              <w:rPr>
                <w:sz w:val="20"/>
                <w:szCs w:val="20"/>
                <w:color w:val="auto"/>
              </w:rPr>
            </w:pPr>
            <w:r>
              <w:rPr>
                <w:rFonts w:ascii="Arial" w:cs="Arial" w:eastAsia="Arial" w:hAnsi="Arial"/>
                <w:sz w:val="13"/>
                <w:szCs w:val="13"/>
                <w:color w:val="auto"/>
              </w:rPr>
              <w:t>Net (income) loss attributable to</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16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noncontrolling interests</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80" w:type="dxa"/>
            <w:vAlign w:val="bottom"/>
            <w:shd w:val="clear" w:color="auto" w:fill="CCEEFF"/>
          </w:tcPr>
          <w:p>
            <w:pPr>
              <w:ind w:left="40"/>
              <w:spacing w:after="0" w:line="126" w:lineRule="exact"/>
              <w:rPr>
                <w:sz w:val="20"/>
                <w:szCs w:val="20"/>
                <w:color w:val="auto"/>
              </w:rPr>
            </w:pPr>
            <w:r>
              <w:rPr>
                <w:rFonts w:ascii="Arial" w:cs="Arial" w:eastAsia="Arial" w:hAnsi="Arial"/>
                <w:sz w:val="13"/>
                <w:szCs w:val="13"/>
                <w:b w:val="1"/>
                <w:bCs w:val="1"/>
                <w:color w:val="auto"/>
              </w:rPr>
              <w:t>Net income attributable to</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2,390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169"/>
        </w:trPr>
        <w:tc>
          <w:tcPr>
            <w:tcW w:w="168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stockholders</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gridSpan w:val="3"/>
            <w:vMerge w:val="continue"/>
            <w:shd w:val="clear" w:color="auto" w:fill="CCEEFF"/>
          </w:tcPr>
          <w:p>
            <w:pPr>
              <w:spacing w:after="0"/>
              <w:rPr>
                <w:sz w:val="14"/>
                <w:szCs w:val="14"/>
                <w:color w:val="auto"/>
              </w:rPr>
            </w:pPr>
          </w:p>
        </w:tc>
        <w:tc>
          <w:tcPr>
            <w:tcW w:w="5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168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rPr>
              <w:t>Net income attributable to</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2,375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184"/>
        </w:trPr>
        <w:tc>
          <w:tcPr>
            <w:tcW w:w="168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common stockholders</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gridSpan w:val="3"/>
            <w:vMerge w:val="continue"/>
            <w:shd w:val="clear" w:color="auto" w:fill="CCEEFF"/>
          </w:tcPr>
          <w:p>
            <w:pPr>
              <w:spacing w:after="0"/>
              <w:rPr>
                <w:sz w:val="16"/>
                <w:szCs w:val="16"/>
                <w:color w:val="auto"/>
              </w:rPr>
            </w:pPr>
          </w:p>
        </w:tc>
        <w:tc>
          <w:tcPr>
            <w:tcW w:w="58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11"/>
          </w:tcPr>
          <w:p>
            <w:pPr>
              <w:ind w:left="240"/>
              <w:spacing w:after="0"/>
              <w:rPr>
                <w:sz w:val="20"/>
                <w:szCs w:val="20"/>
                <w:color w:val="auto"/>
              </w:rPr>
            </w:pPr>
            <w:r>
              <w:rPr>
                <w:rFonts w:ascii="Arial" w:cs="Arial" w:eastAsia="Arial" w:hAnsi="Arial"/>
                <w:sz w:val="11"/>
                <w:szCs w:val="11"/>
                <w:b w:val="1"/>
                <w:bCs w:val="1"/>
                <w:color w:val="auto"/>
                <w:w w:val="97"/>
              </w:rPr>
              <w:t>Six Months Ended June 30, 2018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14"/>
          </w:tcPr>
          <w:p>
            <w:pPr>
              <w:ind w:left="240"/>
              <w:spacing w:after="0"/>
              <w:rPr>
                <w:sz w:val="20"/>
                <w:szCs w:val="20"/>
                <w:color w:val="auto"/>
              </w:rPr>
            </w:pPr>
            <w:r>
              <w:rPr>
                <w:rFonts w:ascii="Arial" w:cs="Arial" w:eastAsia="Arial" w:hAnsi="Arial"/>
                <w:sz w:val="11"/>
                <w:szCs w:val="11"/>
                <w:b w:val="1"/>
                <w:bCs w:val="1"/>
                <w:color w:val="auto"/>
              </w:rPr>
              <w:t>Six Months Ended June 30, 2017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080" w:type="dxa"/>
            <w:vAlign w:val="bottom"/>
            <w:tcBorders>
              <w:bottom w:val="single" w:sz="8" w:color="auto"/>
            </w:tcBorders>
            <w:gridSpan w:val="5"/>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5"/>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680" w:type="dxa"/>
            <w:vAlign w:val="bottom"/>
          </w:tcPr>
          <w:p>
            <w:pPr>
              <w:spacing w:after="0"/>
              <w:rPr>
                <w:sz w:val="21"/>
                <w:szCs w:val="21"/>
                <w:color w:val="auto"/>
              </w:rPr>
            </w:pPr>
          </w:p>
        </w:tc>
        <w:tc>
          <w:tcPr>
            <w:tcW w:w="1080" w:type="dxa"/>
            <w:vAlign w:val="bottom"/>
            <w:gridSpan w:val="5"/>
          </w:tcPr>
          <w:p>
            <w:pPr>
              <w:jc w:val="right"/>
              <w:ind w:right="360"/>
              <w:spacing w:after="0"/>
              <w:rPr>
                <w:sz w:val="20"/>
                <w:szCs w:val="20"/>
                <w:color w:val="auto"/>
              </w:rPr>
            </w:pPr>
            <w:r>
              <w:rPr>
                <w:rFonts w:ascii="Arial" w:cs="Arial" w:eastAsia="Arial" w:hAnsi="Arial"/>
                <w:sz w:val="11"/>
                <w:szCs w:val="11"/>
                <w:b w:val="1"/>
                <w:bCs w:val="1"/>
                <w:color w:val="auto"/>
              </w:rPr>
              <w:t>Automotive</w:t>
            </w:r>
          </w:p>
        </w:tc>
        <w:tc>
          <w:tcPr>
            <w:tcW w:w="640" w:type="dxa"/>
            <w:vAlign w:val="bottom"/>
            <w:gridSpan w:val="3"/>
          </w:tcPr>
          <w:p>
            <w:pPr>
              <w:jc w:val="right"/>
              <w:spacing w:after="0"/>
              <w:rPr>
                <w:sz w:val="20"/>
                <w:szCs w:val="20"/>
                <w:color w:val="auto"/>
              </w:rPr>
            </w:pPr>
            <w:r>
              <w:rPr>
                <w:rFonts w:ascii="Arial" w:cs="Arial" w:eastAsia="Arial" w:hAnsi="Arial"/>
                <w:sz w:val="11"/>
                <w:szCs w:val="11"/>
                <w:b w:val="1"/>
                <w:bCs w:val="1"/>
                <w:color w:val="auto"/>
              </w:rPr>
              <w:t>GM Cruise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w w:val="99"/>
              </w:rPr>
              <w:t>GM Financial</w:t>
            </w:r>
          </w:p>
        </w:tc>
        <w:tc>
          <w:tcPr>
            <w:tcW w:w="220" w:type="dxa"/>
            <w:vAlign w:val="bottom"/>
          </w:tcPr>
          <w:p>
            <w:pPr>
              <w:spacing w:after="0"/>
              <w:rPr>
                <w:sz w:val="21"/>
                <w:szCs w:val="21"/>
                <w:color w:val="auto"/>
              </w:rPr>
            </w:pPr>
          </w:p>
        </w:tc>
        <w:tc>
          <w:tcPr>
            <w:tcW w:w="960" w:type="dxa"/>
            <w:vAlign w:val="bottom"/>
            <w:gridSpan w:val="5"/>
          </w:tcPr>
          <w:p>
            <w:pPr>
              <w:jc w:val="center"/>
              <w:spacing w:after="0"/>
              <w:rPr>
                <w:sz w:val="20"/>
                <w:szCs w:val="20"/>
                <w:color w:val="auto"/>
              </w:rPr>
            </w:pPr>
            <w:r>
              <w:rPr>
                <w:rFonts w:ascii="Arial" w:cs="Arial" w:eastAsia="Arial" w:hAnsi="Arial"/>
                <w:sz w:val="11"/>
                <w:szCs w:val="11"/>
                <w:b w:val="1"/>
                <w:bCs w:val="1"/>
                <w:color w:val="auto"/>
                <w:w w:val="97"/>
              </w:rPr>
              <w:t>Eliminations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6"/>
          </w:tcPr>
          <w:p>
            <w:pPr>
              <w:spacing w:after="0"/>
              <w:rPr>
                <w:sz w:val="20"/>
                <w:szCs w:val="20"/>
                <w:color w:val="auto"/>
              </w:rPr>
            </w:pPr>
            <w:r>
              <w:rPr>
                <w:rFonts w:ascii="Arial" w:cs="Arial" w:eastAsia="Arial" w:hAnsi="Arial"/>
                <w:sz w:val="11"/>
                <w:szCs w:val="11"/>
                <w:b w:val="1"/>
                <w:bCs w:val="1"/>
                <w:color w:val="auto"/>
              </w:rPr>
              <w:t>Combined</w:t>
            </w:r>
          </w:p>
        </w:tc>
        <w:tc>
          <w:tcPr>
            <w:tcW w:w="80" w:type="dxa"/>
            <w:vAlign w:val="bottom"/>
          </w:tcPr>
          <w:p>
            <w:pPr>
              <w:spacing w:after="0"/>
              <w:rPr>
                <w:sz w:val="21"/>
                <w:szCs w:val="21"/>
                <w:color w:val="auto"/>
              </w:rPr>
            </w:pPr>
          </w:p>
        </w:tc>
        <w:tc>
          <w:tcPr>
            <w:tcW w:w="960" w:type="dxa"/>
            <w:vAlign w:val="bottom"/>
            <w:gridSpan w:val="4"/>
          </w:tcPr>
          <w:p>
            <w:pPr>
              <w:jc w:val="right"/>
              <w:ind w:right="268"/>
              <w:spacing w:after="0"/>
              <w:rPr>
                <w:sz w:val="20"/>
                <w:szCs w:val="20"/>
                <w:color w:val="auto"/>
              </w:rPr>
            </w:pPr>
            <w:r>
              <w:rPr>
                <w:rFonts w:ascii="Arial" w:cs="Arial" w:eastAsia="Arial" w:hAnsi="Arial"/>
                <w:sz w:val="11"/>
                <w:szCs w:val="11"/>
                <w:b w:val="1"/>
                <w:bCs w:val="1"/>
                <w:color w:val="auto"/>
                <w:w w:val="99"/>
              </w:rPr>
              <w:t>Automotive</w:t>
            </w:r>
          </w:p>
        </w:tc>
        <w:tc>
          <w:tcPr>
            <w:tcW w:w="40" w:type="dxa"/>
            <w:vAlign w:val="bottom"/>
          </w:tcPr>
          <w:p>
            <w:pPr>
              <w:spacing w:after="0"/>
              <w:rPr>
                <w:sz w:val="21"/>
                <w:szCs w:val="21"/>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rPr>
              <w:t>GM Cruise</w:t>
            </w:r>
          </w:p>
        </w:tc>
        <w:tc>
          <w:tcPr>
            <w:tcW w:w="40" w:type="dxa"/>
            <w:vAlign w:val="bottom"/>
          </w:tcPr>
          <w:p>
            <w:pPr>
              <w:spacing w:after="0"/>
              <w:rPr>
                <w:sz w:val="21"/>
                <w:szCs w:val="21"/>
                <w:color w:val="auto"/>
              </w:rPr>
            </w:pPr>
          </w:p>
        </w:tc>
        <w:tc>
          <w:tcPr>
            <w:tcW w:w="920" w:type="dxa"/>
            <w:vAlign w:val="bottom"/>
            <w:gridSpan w:val="5"/>
          </w:tcPr>
          <w:p>
            <w:pPr>
              <w:spacing w:after="0"/>
              <w:rPr>
                <w:sz w:val="20"/>
                <w:szCs w:val="20"/>
                <w:color w:val="auto"/>
              </w:rPr>
            </w:pPr>
            <w:r>
              <w:rPr>
                <w:rFonts w:ascii="Arial" w:cs="Arial" w:eastAsia="Arial" w:hAnsi="Arial"/>
                <w:sz w:val="11"/>
                <w:szCs w:val="11"/>
                <w:b w:val="1"/>
                <w:bCs w:val="1"/>
                <w:color w:val="auto"/>
              </w:rPr>
              <w:t>GM Financial</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ind w:left="20"/>
              <w:spacing w:after="0"/>
              <w:rPr>
                <w:sz w:val="20"/>
                <w:szCs w:val="20"/>
                <w:color w:val="auto"/>
              </w:rPr>
            </w:pPr>
            <w:r>
              <w:rPr>
                <w:rFonts w:ascii="Arial" w:cs="Arial" w:eastAsia="Arial" w:hAnsi="Arial"/>
                <w:sz w:val="11"/>
                <w:szCs w:val="11"/>
                <w:b w:val="1"/>
                <w:bCs w:val="1"/>
                <w:color w:val="auto"/>
              </w:rPr>
              <w:t>Eliminations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22"/>
        </w:trPr>
        <w:tc>
          <w:tcPr>
            <w:tcW w:w="16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Net sales and revenue</w:t>
            </w: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16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Automotive</w:t>
            </w:r>
          </w:p>
        </w:tc>
        <w:tc>
          <w:tcPr>
            <w:tcW w:w="280" w:type="dxa"/>
            <w:vAlign w:val="bottom"/>
            <w:vMerge w:val="restart"/>
            <w:shd w:val="clear" w:color="auto" w:fill="CCEEFF"/>
          </w:tcPr>
          <w:p>
            <w:pPr>
              <w:jc w:val="right"/>
              <w:ind w:right="117"/>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66,024</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80" w:type="dxa"/>
            <w:vAlign w:val="bottom"/>
            <w:gridSpan w:val="3"/>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37"/>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93"/>
              <w:spacing w:after="0"/>
              <w:rPr>
                <w:sz w:val="20"/>
                <w:szCs w:val="20"/>
                <w:color w:val="auto"/>
              </w:rPr>
            </w:pPr>
            <w:r>
              <w:rPr>
                <w:rFonts w:ascii="Arial" w:cs="Arial" w:eastAsia="Arial" w:hAnsi="Arial"/>
                <w:sz w:val="14"/>
                <w:szCs w:val="14"/>
                <w:color w:val="auto"/>
              </w:rPr>
              <w:t>(58)</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4"/>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65,966</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gridSpan w:val="4"/>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   68,651</w:t>
            </w:r>
          </w:p>
        </w:tc>
        <w:tc>
          <w:tcPr>
            <w:tcW w:w="22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  68,517</w:t>
            </w:r>
          </w:p>
        </w:tc>
        <w:tc>
          <w:tcPr>
            <w:tcW w:w="0" w:type="dxa"/>
            <w:vAlign w:val="bottom"/>
          </w:tcPr>
          <w:p>
            <w:pPr>
              <w:spacing w:after="0"/>
              <w:rPr>
                <w:sz w:val="1"/>
                <w:szCs w:val="1"/>
                <w:color w:val="auto"/>
              </w:rPr>
            </w:pPr>
          </w:p>
        </w:tc>
      </w:tr>
      <w:tr>
        <w:trPr>
          <w:trHeight w:val="97"/>
        </w:trPr>
        <w:tc>
          <w:tcPr>
            <w:tcW w:w="1680" w:type="dxa"/>
            <w:vAlign w:val="bottom"/>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vMerge w:val="continue"/>
            <w:shd w:val="clear" w:color="auto" w:fill="CCEEFF"/>
          </w:tcPr>
          <w:p>
            <w:pPr>
              <w:spacing w:after="0"/>
              <w:rPr>
                <w:sz w:val="8"/>
                <w:szCs w:val="8"/>
                <w:color w:val="auto"/>
              </w:rPr>
            </w:pPr>
          </w:p>
        </w:tc>
        <w:tc>
          <w:tcPr>
            <w:tcW w:w="380" w:type="dxa"/>
            <w:vAlign w:val="bottom"/>
            <w:gridSpan w:val="3"/>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vMerge w:val="continue"/>
            <w:shd w:val="clear" w:color="auto" w:fill="CCEEFF"/>
          </w:tcPr>
          <w:p>
            <w:pPr>
              <w:spacing w:after="0"/>
              <w:rPr>
                <w:sz w:val="8"/>
                <w:szCs w:val="8"/>
                <w:color w:val="auto"/>
              </w:rPr>
            </w:pPr>
          </w:p>
        </w:tc>
        <w:tc>
          <w:tcPr>
            <w:tcW w:w="5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320" w:type="dxa"/>
            <w:vAlign w:val="bottom"/>
            <w:gridSpan w:val="2"/>
            <w:vMerge w:val="continue"/>
            <w:shd w:val="clear" w:color="auto" w:fill="CCEEFF"/>
          </w:tcPr>
          <w:p>
            <w:pPr>
              <w:spacing w:after="0"/>
              <w:rPr>
                <w:sz w:val="8"/>
                <w:szCs w:val="8"/>
                <w:color w:val="auto"/>
              </w:rPr>
            </w:pPr>
          </w:p>
        </w:tc>
        <w:tc>
          <w:tcPr>
            <w:tcW w:w="640" w:type="dxa"/>
            <w:vAlign w:val="bottom"/>
            <w:gridSpan w:val="4"/>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20" w:type="dxa"/>
            <w:vAlign w:val="bottom"/>
            <w:gridSpan w:val="4"/>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200" w:type="dxa"/>
            <w:vAlign w:val="bottom"/>
            <w:gridSpan w:val="3"/>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1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3"/>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680" w:type="dxa"/>
            <w:vAlign w:val="bottom"/>
          </w:tcPr>
          <w:p>
            <w:pPr>
              <w:ind w:left="180"/>
              <w:spacing w:after="0"/>
              <w:rPr>
                <w:sz w:val="20"/>
                <w:szCs w:val="20"/>
                <w:color w:val="auto"/>
              </w:rPr>
            </w:pPr>
            <w:r>
              <w:rPr>
                <w:rFonts w:ascii="Arial" w:cs="Arial" w:eastAsia="Arial" w:hAnsi="Arial"/>
                <w:sz w:val="13"/>
                <w:szCs w:val="13"/>
                <w:color w:val="auto"/>
              </w:rPr>
              <w:t>GM Financial</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3"/>
            <w:vMerge w:val="restart"/>
          </w:tcPr>
          <w:p>
            <w:pPr>
              <w:jc w:val="right"/>
              <w:ind w:right="37"/>
              <w:spacing w:after="0"/>
              <w:rPr>
                <w:sz w:val="20"/>
                <w:szCs w:val="20"/>
                <w:color w:val="auto"/>
              </w:rPr>
            </w:pPr>
            <w:r>
              <w:rPr>
                <w:rFonts w:ascii="Arial" w:cs="Arial" w:eastAsia="Arial" w:hAnsi="Arial"/>
                <w:sz w:val="14"/>
                <w:szCs w:val="14"/>
                <w:color w:val="auto"/>
              </w:rPr>
              <w:t>6,899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restart"/>
          </w:tcPr>
          <w:p>
            <w:pPr>
              <w:jc w:val="right"/>
              <w:ind w:right="93"/>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4"/>
            <w:vMerge w:val="restart"/>
          </w:tcPr>
          <w:p>
            <w:pPr>
              <w:jc w:val="right"/>
              <w:ind w:right="29"/>
              <w:spacing w:after="0"/>
              <w:rPr>
                <w:sz w:val="20"/>
                <w:szCs w:val="20"/>
                <w:color w:val="auto"/>
              </w:rPr>
            </w:pPr>
            <w:r>
              <w:rPr>
                <w:rFonts w:ascii="Arial" w:cs="Arial" w:eastAsia="Arial" w:hAnsi="Arial"/>
                <w:sz w:val="14"/>
                <w:szCs w:val="14"/>
                <w:color w:val="auto"/>
              </w:rPr>
              <w:t>6,893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4"/>
            <w:vMerge w:val="restart"/>
          </w:tcPr>
          <w:p>
            <w:pPr>
              <w:jc w:val="right"/>
              <w:ind w:right="28"/>
              <w:spacing w:after="0"/>
              <w:rPr>
                <w:sz w:val="20"/>
                <w:szCs w:val="20"/>
                <w:color w:val="auto"/>
              </w:rPr>
            </w:pPr>
            <w:r>
              <w:rPr>
                <w:rFonts w:ascii="Arial" w:cs="Arial" w:eastAsia="Arial" w:hAnsi="Arial"/>
                <w:sz w:val="14"/>
                <w:szCs w:val="14"/>
                <w:color w:val="auto"/>
              </w:rPr>
              <w:t>5,738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69"/>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5,733</w:t>
            </w:r>
          </w:p>
        </w:tc>
        <w:tc>
          <w:tcPr>
            <w:tcW w:w="0" w:type="dxa"/>
            <w:vAlign w:val="bottom"/>
          </w:tcPr>
          <w:p>
            <w:pPr>
              <w:spacing w:after="0"/>
              <w:rPr>
                <w:sz w:val="1"/>
                <w:szCs w:val="1"/>
                <w:color w:val="auto"/>
              </w:rPr>
            </w:pPr>
          </w:p>
        </w:tc>
      </w:tr>
      <w:tr>
        <w:trPr>
          <w:trHeight w:val="91"/>
        </w:trPr>
        <w:tc>
          <w:tcPr>
            <w:tcW w:w="168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CCEEFF"/>
            </w:tcBorders>
            <w:vMerge w:val="continue"/>
          </w:tcPr>
          <w:p>
            <w:pPr>
              <w:spacing w:after="0"/>
              <w:rPr>
                <w:sz w:val="7"/>
                <w:szCs w:val="7"/>
                <w:color w:val="auto"/>
              </w:rPr>
            </w:pPr>
          </w:p>
        </w:tc>
        <w:tc>
          <w:tcPr>
            <w:tcW w:w="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3"/>
            <w:vMerge w:val="continue"/>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gridSpan w:val="4"/>
            <w:vMerge w:val="continue"/>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CCEEFF"/>
            </w:tcBorders>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gridSpan w:val="4"/>
            <w:vMerge w:val="continue"/>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680" w:type="dxa"/>
            <w:vAlign w:val="bottom"/>
            <w:shd w:val="clear" w:color="auto" w:fill="CCEEFF"/>
          </w:tcPr>
          <w:p>
            <w:pPr>
              <w:ind w:left="180"/>
              <w:spacing w:after="0" w:line="143" w:lineRule="exact"/>
              <w:rPr>
                <w:sz w:val="20"/>
                <w:szCs w:val="20"/>
                <w:color w:val="auto"/>
              </w:rPr>
            </w:pPr>
            <w:r>
              <w:rPr>
                <w:rFonts w:ascii="Arial" w:cs="Arial" w:eastAsia="Arial" w:hAnsi="Arial"/>
                <w:sz w:val="13"/>
                <w:szCs w:val="13"/>
                <w:color w:val="auto"/>
              </w:rPr>
              <w:t>Total net sales and</w:t>
            </w:r>
          </w:p>
        </w:tc>
        <w:tc>
          <w:tcPr>
            <w:tcW w:w="2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66,024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gridSpan w:val="3"/>
            <w:vMerge w:val="restart"/>
            <w:shd w:val="clear" w:color="auto" w:fill="CCEEFF"/>
          </w:tcPr>
          <w:p>
            <w:pPr>
              <w:jc w:val="right"/>
              <w:ind w:right="37"/>
              <w:spacing w:after="0"/>
              <w:rPr>
                <w:sz w:val="20"/>
                <w:szCs w:val="20"/>
                <w:color w:val="auto"/>
              </w:rPr>
            </w:pPr>
            <w:r>
              <w:rPr>
                <w:rFonts w:ascii="Arial" w:cs="Arial" w:eastAsia="Arial" w:hAnsi="Arial"/>
                <w:sz w:val="14"/>
                <w:szCs w:val="14"/>
                <w:color w:val="auto"/>
              </w:rPr>
              <w:t>6,899</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93"/>
              <w:spacing w:after="0"/>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4"/>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72,859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4"/>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68,651</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gridSpan w:val="4"/>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5,738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74,250</w:t>
            </w:r>
          </w:p>
        </w:tc>
        <w:tc>
          <w:tcPr>
            <w:tcW w:w="0" w:type="dxa"/>
            <w:vAlign w:val="bottom"/>
          </w:tcPr>
          <w:p>
            <w:pPr>
              <w:spacing w:after="0"/>
              <w:rPr>
                <w:sz w:val="1"/>
                <w:szCs w:val="1"/>
                <w:color w:val="auto"/>
              </w:rPr>
            </w:pPr>
          </w:p>
        </w:tc>
      </w:tr>
      <w:tr>
        <w:trPr>
          <w:trHeight w:val="168"/>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revenue</w:t>
            </w:r>
          </w:p>
        </w:tc>
        <w:tc>
          <w:tcPr>
            <w:tcW w:w="2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4"/>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4"/>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gridSpan w:val="4"/>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p>
      <w:pPr>
        <w:spacing w:after="0" w:line="137" w:lineRule="exact"/>
        <w:rPr>
          <w:sz w:val="20"/>
          <w:szCs w:val="20"/>
          <w:color w:val="auto"/>
        </w:rPr>
      </w:pPr>
    </w:p>
    <w:p>
      <w:pPr>
        <w:ind w:left="340" w:hanging="161"/>
        <w:spacing w:after="0" w:line="230" w:lineRule="auto"/>
        <w:rPr>
          <w:sz w:val="20"/>
          <w:szCs w:val="20"/>
          <w:color w:val="auto"/>
        </w:rPr>
      </w:pPr>
      <w:r>
        <w:rPr>
          <w:rFonts w:ascii="Arial" w:cs="Arial" w:eastAsia="Arial" w:hAnsi="Arial"/>
          <w:sz w:val="13"/>
          <w:szCs w:val="13"/>
          <w:color w:val="auto"/>
        </w:rPr>
        <w:t>Automotive and other cost of sales</w:t>
      </w:r>
    </w:p>
    <w:p>
      <w:pPr>
        <w:spacing w:after="0" w:line="38" w:lineRule="exact"/>
        <w:rPr>
          <w:sz w:val="20"/>
          <w:szCs w:val="20"/>
          <w:color w:val="auto"/>
        </w:rPr>
      </w:pPr>
    </w:p>
    <w:p>
      <w:pPr>
        <w:jc w:val="both"/>
        <w:ind w:left="340" w:right="220" w:hanging="161"/>
        <w:spacing w:after="0" w:line="247" w:lineRule="auto"/>
        <w:rPr>
          <w:sz w:val="20"/>
          <w:szCs w:val="20"/>
          <w:color w:val="auto"/>
        </w:rPr>
      </w:pPr>
      <w:r>
        <w:rPr>
          <w:rFonts w:ascii="Arial" w:cs="Arial" w:eastAsia="Arial" w:hAnsi="Arial"/>
          <w:sz w:val="12"/>
          <w:szCs w:val="12"/>
          <w:color w:val="auto"/>
        </w:rPr>
        <w:t>GM Financial interest, operating and other expenses</w:t>
      </w:r>
    </w:p>
    <w:p>
      <w:pPr>
        <w:spacing w:after="0" w:line="33" w:lineRule="exact"/>
        <w:rPr>
          <w:sz w:val="20"/>
          <w:szCs w:val="20"/>
          <w:color w:val="auto"/>
        </w:rPr>
      </w:pPr>
    </w:p>
    <w:p>
      <w:pPr>
        <w:ind w:left="340" w:right="20" w:hanging="161"/>
        <w:spacing w:after="0" w:line="247" w:lineRule="auto"/>
        <w:rPr>
          <w:sz w:val="20"/>
          <w:szCs w:val="20"/>
          <w:color w:val="auto"/>
        </w:rPr>
      </w:pPr>
      <w:r>
        <w:rPr>
          <w:rFonts w:ascii="Arial" w:cs="Arial" w:eastAsia="Arial" w:hAnsi="Arial"/>
          <w:sz w:val="12"/>
          <w:szCs w:val="12"/>
          <w:color w:val="auto"/>
        </w:rPr>
        <w:t>Automotive and other selling, general and administrative expense</w:t>
      </w:r>
    </w:p>
    <w:p>
      <w:pPr>
        <w:spacing w:after="0" w:line="33" w:lineRule="exact"/>
        <w:rPr>
          <w:sz w:val="20"/>
          <w:szCs w:val="20"/>
          <w:color w:val="auto"/>
        </w:rPr>
      </w:pPr>
    </w:p>
    <w:p>
      <w:pPr>
        <w:jc w:val="center"/>
        <w:ind w:left="120"/>
        <w:spacing w:after="0"/>
        <w:rPr>
          <w:sz w:val="20"/>
          <w:szCs w:val="20"/>
          <w:color w:val="auto"/>
        </w:rPr>
      </w:pPr>
      <w:r>
        <w:rPr>
          <w:rFonts w:ascii="Arial" w:cs="Arial" w:eastAsia="Arial" w:hAnsi="Arial"/>
          <w:sz w:val="13"/>
          <w:szCs w:val="13"/>
          <w:color w:val="auto"/>
        </w:rPr>
        <w:t>Total costs and expenses</w:t>
      </w:r>
    </w:p>
    <w:p>
      <w:pPr>
        <w:spacing w:after="0" w:line="121" w:lineRule="exact"/>
        <w:rPr>
          <w:sz w:val="20"/>
          <w:szCs w:val="20"/>
          <w:color w:val="auto"/>
        </w:rPr>
      </w:pPr>
    </w:p>
    <w:p>
      <w:pPr>
        <w:ind w:left="380" w:right="260"/>
        <w:spacing w:after="0" w:line="230" w:lineRule="auto"/>
        <w:rPr>
          <w:sz w:val="20"/>
          <w:szCs w:val="20"/>
          <w:color w:val="auto"/>
        </w:rPr>
      </w:pPr>
      <w:r>
        <w:rPr>
          <w:rFonts w:ascii="Arial" w:cs="Arial" w:eastAsia="Arial" w:hAnsi="Arial"/>
          <w:sz w:val="13"/>
          <w:szCs w:val="13"/>
          <w:color w:val="auto"/>
        </w:rPr>
        <w:t>Operating income (loss)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Automotive interest expense</w:t>
      </w:r>
    </w:p>
    <w:p>
      <w:pPr>
        <w:spacing w:after="0" w:line="132" w:lineRule="exact"/>
        <w:rPr>
          <w:sz w:val="20"/>
          <w:szCs w:val="20"/>
          <w:color w:val="auto"/>
        </w:rPr>
      </w:pPr>
    </w:p>
    <w:p>
      <w:pPr>
        <w:jc w:val="both"/>
        <w:ind w:left="200" w:right="180" w:hanging="161"/>
        <w:spacing w:after="0" w:line="225" w:lineRule="auto"/>
        <w:rPr>
          <w:sz w:val="20"/>
          <w:szCs w:val="20"/>
          <w:color w:val="auto"/>
        </w:rPr>
      </w:pPr>
      <w:r>
        <w:rPr>
          <w:rFonts w:ascii="Arial" w:cs="Arial" w:eastAsia="Arial" w:hAnsi="Arial"/>
          <w:sz w:val="13"/>
          <w:szCs w:val="13"/>
          <w:color w:val="auto"/>
        </w:rPr>
        <w:t>Interest income and other non-operating income, net</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Equity income</w:t>
      </w:r>
    </w:p>
    <w:p>
      <w:pPr>
        <w:spacing w:after="0" w:line="121" w:lineRule="exact"/>
        <w:rPr>
          <w:sz w:val="20"/>
          <w:szCs w:val="20"/>
          <w:color w:val="auto"/>
        </w:rPr>
      </w:pPr>
    </w:p>
    <w:p>
      <w:pPr>
        <w:ind w:left="200" w:right="20" w:hanging="161"/>
        <w:spacing w:after="0" w:line="230" w:lineRule="auto"/>
        <w:rPr>
          <w:sz w:val="20"/>
          <w:szCs w:val="20"/>
          <w:color w:val="auto"/>
        </w:rPr>
      </w:pPr>
      <w:r>
        <w:rPr>
          <w:rFonts w:ascii="Arial" w:cs="Arial" w:eastAsia="Arial" w:hAnsi="Arial"/>
          <w:sz w:val="13"/>
          <w:szCs w:val="13"/>
          <w:color w:val="auto"/>
        </w:rPr>
        <w:t>Income (loss) before income taxes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Income tax expense</w:t>
      </w:r>
    </w:p>
    <w:p>
      <w:pPr>
        <w:spacing w:after="0" w:line="121" w:lineRule="exact"/>
        <w:rPr>
          <w:sz w:val="20"/>
          <w:szCs w:val="20"/>
          <w:color w:val="auto"/>
        </w:rPr>
      </w:pPr>
    </w:p>
    <w:p>
      <w:pPr>
        <w:ind w:left="200" w:right="300" w:hanging="161"/>
        <w:spacing w:after="0" w:line="259" w:lineRule="auto"/>
        <w:rPr>
          <w:sz w:val="20"/>
          <w:szCs w:val="20"/>
          <w:color w:val="auto"/>
        </w:rPr>
      </w:pPr>
      <w:r>
        <w:rPr>
          <w:rFonts w:ascii="Arial" w:cs="Arial" w:eastAsia="Arial" w:hAnsi="Arial"/>
          <w:sz w:val="12"/>
          <w:szCs w:val="12"/>
          <w:color w:val="auto"/>
        </w:rPr>
        <w:t>Income from continuing operations</w:t>
      </w:r>
    </w:p>
    <w:p>
      <w:pPr>
        <w:spacing w:after="0" w:line="26" w:lineRule="exact"/>
        <w:rPr>
          <w:sz w:val="20"/>
          <w:szCs w:val="20"/>
          <w:color w:val="auto"/>
        </w:rPr>
      </w:pPr>
    </w:p>
    <w:p>
      <w:pPr>
        <w:jc w:val="right"/>
        <w:ind w:left="40" w:right="260"/>
        <w:spacing w:after="0" w:line="230" w:lineRule="auto"/>
        <w:rPr>
          <w:sz w:val="20"/>
          <w:szCs w:val="20"/>
          <w:color w:val="auto"/>
        </w:rPr>
      </w:pPr>
      <w:r>
        <w:rPr>
          <w:rFonts w:ascii="Arial" w:cs="Arial" w:eastAsia="Arial" w:hAnsi="Arial"/>
          <w:sz w:val="13"/>
          <w:szCs w:val="13"/>
          <w:color w:val="auto"/>
        </w:rPr>
        <w:t>Loss from discontinued operations, net of tax</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w:t>
      </w:r>
    </w:p>
    <w:p>
      <w:pPr>
        <w:spacing w:after="0" w:line="137" w:lineRule="exact"/>
        <w:rPr>
          <w:sz w:val="20"/>
          <w:szCs w:val="20"/>
          <w:color w:val="auto"/>
        </w:rPr>
      </w:pPr>
    </w:p>
    <w:p>
      <w:pPr>
        <w:ind w:left="200" w:right="140" w:hanging="161"/>
        <w:spacing w:after="0" w:line="247" w:lineRule="auto"/>
        <w:rPr>
          <w:sz w:val="20"/>
          <w:szCs w:val="20"/>
          <w:color w:val="auto"/>
        </w:rPr>
      </w:pPr>
      <w:r>
        <w:rPr>
          <w:rFonts w:ascii="Arial" w:cs="Arial" w:eastAsia="Arial" w:hAnsi="Arial"/>
          <w:sz w:val="12"/>
          <w:szCs w:val="12"/>
          <w:color w:val="auto"/>
        </w:rPr>
        <w:t>Net (income) loss attributable to noncontrolling interests</w:t>
      </w:r>
    </w:p>
    <w:p>
      <w:pPr>
        <w:spacing w:after="0" w:line="17" w:lineRule="exact"/>
        <w:rPr>
          <w:sz w:val="20"/>
          <w:szCs w:val="20"/>
          <w:color w:val="auto"/>
        </w:rPr>
      </w:pPr>
    </w:p>
    <w:p>
      <w:pPr>
        <w:ind w:left="200" w:right="60" w:hanging="161"/>
        <w:spacing w:after="0" w:line="246" w:lineRule="auto"/>
        <w:rPr>
          <w:sz w:val="20"/>
          <w:szCs w:val="20"/>
          <w:color w:val="auto"/>
        </w:rPr>
      </w:pPr>
      <w:r>
        <w:rPr>
          <w:rFonts w:ascii="Arial" w:cs="Arial" w:eastAsia="Arial" w:hAnsi="Arial"/>
          <w:sz w:val="13"/>
          <w:szCs w:val="13"/>
          <w:b w:val="1"/>
          <w:bCs w:val="1"/>
          <w:color w:val="auto"/>
        </w:rPr>
        <w:t>Net income attributable to stockholders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60,009</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60,255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59,152</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(136)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59,296</w:t>
            </w:r>
          </w:p>
        </w:tc>
      </w:tr>
      <w:tr>
        <w:trPr>
          <w:trHeight w:val="459"/>
        </w:trPr>
        <w:tc>
          <w:tcPr>
            <w:tcW w:w="20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6,017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6,010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5,241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5,241</w:t>
            </w:r>
          </w:p>
        </w:tc>
      </w:tr>
      <w:tr>
        <w:trPr>
          <w:trHeight w:val="465"/>
        </w:trPr>
        <w:tc>
          <w:tcPr>
            <w:tcW w:w="2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4,573</w:t>
            </w:r>
          </w:p>
        </w:tc>
        <w:tc>
          <w:tcPr>
            <w:tcW w:w="22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4,588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4,823</w:t>
            </w:r>
          </w:p>
        </w:tc>
        <w:tc>
          <w:tcPr>
            <w:tcW w:w="22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4,833</w:t>
            </w:r>
          </w:p>
        </w:tc>
      </w:tr>
      <w:tr>
        <w:trPr>
          <w:trHeight w:val="250"/>
        </w:trPr>
        <w:tc>
          <w:tcPr>
            <w:tcW w:w="2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64,582</w:t>
            </w:r>
          </w:p>
        </w:tc>
        <w:tc>
          <w:tcPr>
            <w:tcW w:w="22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6,017</w:t>
            </w:r>
          </w:p>
        </w:tc>
        <w:tc>
          <w:tcPr>
            <w:tcW w:w="2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(66)</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70,853</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63,975</w:t>
            </w:r>
          </w:p>
        </w:tc>
        <w:tc>
          <w:tcPr>
            <w:tcW w:w="22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5,241</w:t>
            </w:r>
          </w:p>
        </w:tc>
        <w:tc>
          <w:tcPr>
            <w:tcW w:w="2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(136)</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69,370</w:t>
            </w:r>
          </w:p>
        </w:tc>
      </w:tr>
      <w:tr>
        <w:trPr>
          <w:trHeight w:val="298"/>
        </w:trPr>
        <w:tc>
          <w:tcPr>
            <w:tcW w:w="2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1,442</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882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2,006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4,676</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497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4,880</w:t>
            </w:r>
          </w:p>
        </w:tc>
      </w:tr>
      <w:tr>
        <w:trPr>
          <w:trHeight w:val="270"/>
        </w:trPr>
        <w:tc>
          <w:tcPr>
            <w:tcW w:w="2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2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2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279</w:t>
            </w:r>
          </w:p>
        </w:tc>
      </w:tr>
      <w:tr>
        <w:trPr>
          <w:trHeight w:val="459"/>
        </w:trPr>
        <w:tc>
          <w:tcPr>
            <w:tcW w:w="2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1,480</w:t>
            </w:r>
          </w:p>
        </w:tc>
        <w:tc>
          <w:tcPr>
            <w:tcW w:w="2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1,479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754</w:t>
            </w:r>
          </w:p>
        </w:tc>
        <w:tc>
          <w:tcPr>
            <w:tcW w:w="2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754</w:t>
            </w:r>
          </w:p>
        </w:tc>
      </w:tr>
      <w:tr>
        <w:trPr>
          <w:trHeight w:val="276"/>
        </w:trPr>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1,188</w:t>
            </w:r>
          </w:p>
        </w:tc>
        <w:tc>
          <w:tcPr>
            <w:tcW w:w="220" w:type="dxa"/>
            <w:vAlign w:val="bottom"/>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1,285</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997</w:t>
            </w:r>
          </w:p>
        </w:tc>
        <w:tc>
          <w:tcPr>
            <w:tcW w:w="220" w:type="dxa"/>
            <w:vAlign w:val="bottom"/>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1,085</w:t>
            </w:r>
          </w:p>
        </w:tc>
      </w:tr>
      <w:tr>
        <w:trPr>
          <w:trHeight w:val="298"/>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3,797</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   (321)</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979</w:t>
            </w:r>
          </w:p>
        </w:tc>
        <w:tc>
          <w:tcPr>
            <w:tcW w:w="220" w:type="dxa"/>
            <w:vAlign w:val="bottom"/>
          </w:tcPr>
          <w:p>
            <w:pPr>
              <w:spacing w:after="0"/>
              <w:rPr>
                <w:sz w:val="24"/>
                <w:szCs w:val="24"/>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4,461</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6,145</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   (290)</w:t>
            </w:r>
          </w:p>
        </w:tc>
        <w:tc>
          <w:tcPr>
            <w:tcW w:w="100" w:type="dxa"/>
            <w:vAlign w:val="bottom"/>
          </w:tcPr>
          <w:p>
            <w:pPr>
              <w:spacing w:after="0"/>
              <w:rPr>
                <w:sz w:val="24"/>
                <w:szCs w:val="24"/>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585</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6,440</w:t>
            </w:r>
          </w:p>
        </w:tc>
      </w:tr>
      <w:tr>
        <w:trPr>
          <w:trHeight w:val="276"/>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1,321</w:t>
            </w:r>
          </w:p>
        </w:tc>
      </w:tr>
      <w:tr>
        <w:trPr>
          <w:trHeight w:val="298"/>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3,476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5,119</w:t>
            </w:r>
          </w:p>
        </w:tc>
      </w:tr>
      <w:tr>
        <w:trPr>
          <w:trHeight w:val="330"/>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w:t>
            </w:r>
          </w:p>
        </w:tc>
      </w:tr>
      <w:tr>
        <w:trPr>
          <w:trHeight w:val="244"/>
        </w:trPr>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3,406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4,280</w:t>
            </w:r>
          </w:p>
        </w:tc>
      </w:tr>
      <w:tr>
        <w:trPr>
          <w:trHeight w:val="465"/>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91"/>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3,436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4,268</w:t>
            </w:r>
          </w:p>
        </w:tc>
      </w:tr>
      <w:tr>
        <w:trPr>
          <w:trHeight w:val="20"/>
        </w:trPr>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-2778125</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-2314575</wp:posOffset>
            </wp:positionV>
            <wp:extent cx="724662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-1937385</wp:posOffset>
            </wp:positionV>
            <wp:extent cx="724662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-1474470</wp:posOffset>
            </wp:positionV>
            <wp:extent cx="724662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-1097280</wp:posOffset>
            </wp:positionV>
            <wp:extent cx="724662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-685165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-222250</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154305</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0" w:space="40"/>
            <w:col w:w="9740"/>
          </w:cols>
          <w:pgMar w:left="240" w:top="337" w:right="239" w:bottom="0" w:gutter="0" w:footer="0" w:header="0"/>
          <w:type w:val="continuous"/>
        </w:sectPr>
      </w:pP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600" w:type="dxa"/>
            <w:vAlign w:val="bottom"/>
          </w:tcPr>
          <w:p>
            <w:pPr>
              <w:spacing w:after="0"/>
              <w:rPr>
                <w:sz w:val="20"/>
                <w:szCs w:val="20"/>
                <w:color w:val="auto"/>
              </w:rPr>
            </w:pPr>
            <w:r>
              <w:rPr>
                <w:rFonts w:ascii="Arial" w:cs="Arial" w:eastAsia="Arial" w:hAnsi="Arial"/>
                <w:sz w:val="13"/>
                <w:szCs w:val="13"/>
                <w:b w:val="1"/>
                <w:bCs w:val="1"/>
                <w:color w:val="auto"/>
              </w:rPr>
              <w:t>Net income attributable to</w:t>
            </w:r>
          </w:p>
        </w:tc>
        <w:tc>
          <w:tcPr>
            <w:tcW w:w="4860" w:type="dxa"/>
            <w:vAlign w:val="bottom"/>
            <w:vMerge w:val="restart"/>
          </w:tcPr>
          <w:p>
            <w:pPr>
              <w:jc w:val="right"/>
              <w:ind w:right="2108"/>
              <w:spacing w:after="0"/>
              <w:rPr>
                <w:sz w:val="20"/>
                <w:szCs w:val="20"/>
                <w:color w:val="auto"/>
              </w:rPr>
            </w:pPr>
            <w:r>
              <w:rPr>
                <w:rFonts w:ascii="Arial" w:cs="Arial" w:eastAsia="Arial" w:hAnsi="Arial"/>
                <w:sz w:val="14"/>
                <w:szCs w:val="14"/>
                <w:color w:val="auto"/>
              </w:rPr>
              <w:t>$   3,407</w:t>
            </w:r>
          </w:p>
        </w:tc>
        <w:tc>
          <w:tcPr>
            <w:tcW w:w="2820" w:type="dxa"/>
            <w:vAlign w:val="bottom"/>
            <w:vMerge w:val="restart"/>
          </w:tcPr>
          <w:p>
            <w:pPr>
              <w:jc w:val="right"/>
              <w:spacing w:after="0"/>
              <w:rPr>
                <w:sz w:val="20"/>
                <w:szCs w:val="20"/>
                <w:color w:val="auto"/>
              </w:rPr>
            </w:pPr>
            <w:r>
              <w:rPr>
                <w:rFonts w:ascii="Arial" w:cs="Arial" w:eastAsia="Arial" w:hAnsi="Arial"/>
                <w:sz w:val="14"/>
                <w:szCs w:val="14"/>
                <w:color w:val="auto"/>
              </w:rPr>
              <w:t>$   4,268</w:t>
            </w:r>
          </w:p>
        </w:tc>
        <w:tc>
          <w:tcPr>
            <w:tcW w:w="0" w:type="dxa"/>
            <w:vAlign w:val="bottom"/>
          </w:tcPr>
          <w:p>
            <w:pPr>
              <w:spacing w:after="0"/>
              <w:rPr>
                <w:sz w:val="1"/>
                <w:szCs w:val="1"/>
                <w:color w:val="auto"/>
              </w:rPr>
            </w:pPr>
          </w:p>
        </w:tc>
      </w:tr>
      <w:tr>
        <w:trPr>
          <w:trHeight w:val="172"/>
        </w:trPr>
        <w:tc>
          <w:tcPr>
            <w:tcW w:w="3600" w:type="dxa"/>
            <w:vAlign w:val="bottom"/>
          </w:tcPr>
          <w:p>
            <w:pPr>
              <w:ind w:left="160"/>
              <w:spacing w:after="0"/>
              <w:rPr>
                <w:sz w:val="20"/>
                <w:szCs w:val="20"/>
                <w:color w:val="auto"/>
              </w:rPr>
            </w:pPr>
            <w:r>
              <w:rPr>
                <w:rFonts w:ascii="Arial" w:cs="Arial" w:eastAsia="Arial" w:hAnsi="Arial"/>
                <w:sz w:val="13"/>
                <w:szCs w:val="13"/>
                <w:b w:val="1"/>
                <w:bCs w:val="1"/>
                <w:color w:val="auto"/>
              </w:rPr>
              <w:t>common stockholders</w:t>
            </w:r>
          </w:p>
        </w:tc>
        <w:tc>
          <w:tcPr>
            <w:tcW w:w="486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0" w:gutter="0" w:footer="0" w:header="0"/>
          <w:type w:val="continuous"/>
        </w:sectPr>
      </w:pPr>
    </w:p>
    <w:bookmarkStart w:id="17" w:name="page18"/>
    <w:bookmarkEnd w:id="17"/>
    <w:p>
      <w:pPr>
        <w:ind w:left="51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141"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basic and diluted earnings (loss) per share (in millions,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3"/>
                <w:szCs w:val="13"/>
                <w:b w:val="1"/>
                <w:bCs w:val="1"/>
                <w:color w:val="auto"/>
              </w:rPr>
              <w:t>Six Months Ended</w:t>
            </w:r>
          </w:p>
        </w:tc>
      </w:tr>
      <w:tr>
        <w:trPr>
          <w:trHeight w:val="183"/>
        </w:trPr>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2018</w:t>
            </w: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2017</w:t>
            </w:r>
          </w:p>
        </w:tc>
        <w:tc>
          <w:tcPr>
            <w:tcW w:w="2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2018</w:t>
            </w:r>
          </w:p>
        </w:tc>
        <w:tc>
          <w:tcPr>
            <w:tcW w:w="200" w:type="dxa"/>
            <w:vAlign w:val="bottom"/>
          </w:tcPr>
          <w:p>
            <w:pPr>
              <w:spacing w:after="0"/>
              <w:rPr>
                <w:sz w:val="15"/>
                <w:szCs w:val="15"/>
                <w:color w:val="auto"/>
              </w:rPr>
            </w:pPr>
          </w:p>
        </w:tc>
        <w:tc>
          <w:tcPr>
            <w:tcW w:w="1160" w:type="dxa"/>
            <w:vAlign w:val="bottom"/>
          </w:tcPr>
          <w:p>
            <w:pPr>
              <w:jc w:val="right"/>
              <w:ind w:right="202"/>
              <w:spacing w:after="0"/>
              <w:rPr>
                <w:sz w:val="20"/>
                <w:szCs w:val="20"/>
                <w:color w:val="auto"/>
              </w:rPr>
            </w:pPr>
            <w:r>
              <w:rPr>
                <w:rFonts w:ascii="Arial" w:cs="Arial" w:eastAsia="Arial" w:hAnsi="Arial"/>
                <w:sz w:val="13"/>
                <w:szCs w:val="13"/>
                <w:b w:val="1"/>
                <w:bCs w:val="1"/>
                <w:color w:val="auto"/>
              </w:rPr>
              <w:t>June 30, 2017</w:t>
            </w:r>
          </w:p>
        </w:tc>
      </w:tr>
      <w:tr>
        <w:trPr>
          <w:trHeight w:val="23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Basic earnings per share</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49"/>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continuing operations(a)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2,390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3,506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5,107</w:t>
            </w:r>
          </w:p>
        </w:tc>
      </w:tr>
      <w:tr>
        <w:trPr>
          <w:trHeight w:val="237"/>
        </w:trPr>
        <w:tc>
          <w:tcPr>
            <w:tcW w:w="5620" w:type="dxa"/>
            <w:vAlign w:val="bottom"/>
          </w:tcPr>
          <w:p>
            <w:pPr>
              <w:ind w:left="180"/>
              <w:spacing w:after="0"/>
              <w:rPr>
                <w:sz w:val="20"/>
                <w:szCs w:val="20"/>
                <w:color w:val="auto"/>
              </w:rPr>
            </w:pPr>
            <w:r>
              <w:rPr>
                <w:rFonts w:ascii="Arial" w:cs="Arial" w:eastAsia="Arial" w:hAnsi="Arial"/>
                <w:sz w:val="14"/>
                <w:szCs w:val="14"/>
                <w:color w:val="auto"/>
              </w:rPr>
              <w:t>Less: cumulative dividends on subsidiary preferred stock</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43"/>
        </w:trPr>
        <w:tc>
          <w:tcPr>
            <w:tcW w:w="5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Income from continuing operations attributable to common stockholders</w:t>
            </w:r>
          </w:p>
        </w:tc>
        <w:tc>
          <w:tcPr>
            <w:tcW w:w="2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2,375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2,430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3,477</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5,107</w:t>
            </w:r>
          </w:p>
        </w:tc>
      </w:tr>
      <w:tr>
        <w:trPr>
          <w:trHeight w:val="237"/>
        </w:trPr>
        <w:tc>
          <w:tcPr>
            <w:tcW w:w="5620" w:type="dxa"/>
            <w:vAlign w:val="bottom"/>
          </w:tcPr>
          <w:p>
            <w:pPr>
              <w:ind w:left="180"/>
              <w:spacing w:after="0"/>
              <w:rPr>
                <w:sz w:val="20"/>
                <w:szCs w:val="20"/>
                <w:color w:val="auto"/>
              </w:rPr>
            </w:pPr>
            <w:r>
              <w:rPr>
                <w:rFonts w:ascii="Arial" w:cs="Arial" w:eastAsia="Arial" w:hAnsi="Arial"/>
                <w:sz w:val="14"/>
                <w:szCs w:val="14"/>
                <w:color w:val="auto"/>
              </w:rPr>
              <w:t>Loss from discontinued operations, net of tax</w:t>
            </w: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839</w:t>
            </w:r>
          </w:p>
        </w:tc>
      </w:tr>
      <w:tr>
        <w:trPr>
          <w:trHeight w:val="243"/>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 attributable to common stockholders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2,375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3,407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4,268</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32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Weighted-average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75"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4"/>
          <w:szCs w:val="14"/>
          <w:color w:val="auto"/>
        </w:rPr>
        <w:t>Basic earnings per common share – continuing operations</w:t>
      </w:r>
      <w:r>
        <w:rPr>
          <w:sz w:val="20"/>
          <w:szCs w:val="20"/>
          <w:color w:val="auto"/>
        </w:rPr>
        <w:tab/>
      </w:r>
      <w:r>
        <w:rPr>
          <w:rFonts w:ascii="Arial" w:cs="Arial" w:eastAsia="Arial" w:hAnsi="Arial"/>
          <w:sz w:val="14"/>
          <w:szCs w:val="14"/>
          <w:color w:val="auto"/>
        </w:rPr>
        <w:t>$</w:t>
      </w:r>
    </w:p>
    <w:p>
      <w:pPr>
        <w:spacing w:after="0" w:line="82"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4"/>
          <w:szCs w:val="14"/>
          <w:color w:val="auto"/>
        </w:rPr>
        <w:t>Basic loss per common share – discontinued operations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4"/>
          <w:szCs w:val="14"/>
          <w:color w:val="auto"/>
        </w:rPr>
        <w:t>Basic earnings per common share</w:t>
      </w:r>
      <w:r>
        <w:rPr>
          <w:sz w:val="20"/>
          <w:szCs w:val="20"/>
          <w:color w:val="auto"/>
        </w:rPr>
        <w:tab/>
      </w:r>
      <w:r>
        <w:rPr>
          <w:rFonts w:ascii="Arial" w:cs="Arial" w:eastAsia="Arial" w:hAnsi="Arial"/>
          <w:sz w:val="14"/>
          <w:szCs w:val="14"/>
          <w:color w:val="auto"/>
        </w:rPr>
        <w:t>$</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0"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4"/>
          <w:szCs w:val="14"/>
          <w:color w:val="auto"/>
        </w:rPr>
        <w:t>Income from continuing operations attributable to common stockholders – diluted(a)</w:t>
      </w:r>
      <w:r>
        <w:rPr>
          <w:sz w:val="20"/>
          <w:szCs w:val="20"/>
          <w:color w:val="auto"/>
        </w:rPr>
        <w:tab/>
      </w:r>
      <w:r>
        <w:rPr>
          <w:rFonts w:ascii="Arial" w:cs="Arial" w:eastAsia="Arial" w:hAnsi="Arial"/>
          <w:sz w:val="14"/>
          <w:szCs w:val="14"/>
          <w:color w:val="auto"/>
        </w:rPr>
        <w:t>$</w:t>
      </w:r>
    </w:p>
    <w:p>
      <w:pPr>
        <w:spacing w:after="0" w:line="82"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4"/>
          <w:szCs w:val="14"/>
          <w:color w:val="auto"/>
        </w:rPr>
        <w:t>Loss from discontinued operations, net of tax – 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4"/>
          <w:szCs w:val="14"/>
          <w:color w:val="auto"/>
        </w:rPr>
        <w:t>Net income attributable to common stockholders – 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1,410</w:t>
            </w:r>
          </w:p>
        </w:tc>
        <w:tc>
          <w:tcPr>
            <w:tcW w:w="5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1,497</w:t>
            </w:r>
          </w:p>
        </w:tc>
        <w:tc>
          <w:tcPr>
            <w:tcW w:w="58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1,409</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1,501</w:t>
            </w:r>
          </w:p>
        </w:tc>
      </w:tr>
      <w:tr>
        <w:trPr>
          <w:trHeight w:val="486"/>
        </w:trPr>
        <w:tc>
          <w:tcPr>
            <w:tcW w:w="520" w:type="dxa"/>
            <w:vAlign w:val="bottom"/>
          </w:tcPr>
          <w:p>
            <w:pPr>
              <w:jc w:val="right"/>
              <w:ind w:right="39"/>
              <w:spacing w:after="0"/>
              <w:rPr>
                <w:sz w:val="20"/>
                <w:szCs w:val="20"/>
                <w:color w:val="auto"/>
              </w:rPr>
            </w:pPr>
            <w:r>
              <w:rPr>
                <w:rFonts w:ascii="Arial" w:cs="Arial" w:eastAsia="Arial" w:hAnsi="Arial"/>
                <w:sz w:val="16"/>
                <w:szCs w:val="16"/>
                <w:color w:val="auto"/>
              </w:rPr>
              <w:t>1.68</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43"/>
        </w:trPr>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0.51</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0.56</w:t>
            </w:r>
          </w:p>
        </w:tc>
      </w:tr>
      <w:tr>
        <w:trPr>
          <w:trHeight w:val="243"/>
        </w:trPr>
        <w:tc>
          <w:tcPr>
            <w:tcW w:w="520" w:type="dxa"/>
            <w:vAlign w:val="bottom"/>
          </w:tcPr>
          <w:p>
            <w:pPr>
              <w:jc w:val="right"/>
              <w:ind w:right="39"/>
              <w:spacing w:after="0"/>
              <w:rPr>
                <w:sz w:val="20"/>
                <w:szCs w:val="20"/>
                <w:color w:val="auto"/>
              </w:rPr>
            </w:pPr>
            <w:r>
              <w:rPr>
                <w:rFonts w:ascii="Arial" w:cs="Arial" w:eastAsia="Arial" w:hAnsi="Arial"/>
                <w:sz w:val="16"/>
                <w:szCs w:val="16"/>
                <w:color w:val="auto"/>
              </w:rPr>
              <w:t>1.68</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486"/>
        </w:trPr>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2,375</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2,430</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3,477</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5,107</w:t>
            </w:r>
          </w:p>
        </w:tc>
      </w:tr>
      <w:tr>
        <w:trPr>
          <w:trHeight w:val="243"/>
        </w:trPr>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770</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839</w:t>
            </w:r>
          </w:p>
        </w:tc>
      </w:tr>
      <w:tr>
        <w:trPr>
          <w:trHeight w:val="243"/>
        </w:trPr>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2,375</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1,660</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3,407</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4,268</w:t>
            </w:r>
          </w:p>
        </w:tc>
      </w:tr>
    </w:tbl>
    <w:p>
      <w:pPr>
        <w:spacing w:after="0" w:line="200" w:lineRule="exact"/>
        <w:rPr>
          <w:sz w:val="20"/>
          <w:szCs w:val="20"/>
          <w:color w:val="auto"/>
        </w:rPr>
      </w:pPr>
    </w:p>
    <w:p>
      <w:pPr>
        <w:sectPr>
          <w:pgSz w:w="11900" w:h="16838" w:orient="portrait"/>
          <w:cols w:equalWidth="0" w:num="2">
            <w:col w:w="5780" w:space="720"/>
            <w:col w:w="4920"/>
          </w:cols>
          <w:pgMar w:left="240" w:top="337" w:right="239" w:bottom="1440" w:gutter="0" w:footer="0" w:header="0"/>
          <w:type w:val="continuous"/>
        </w:sectPr>
      </w:pP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 – diluted</w:t>
            </w:r>
          </w:p>
        </w:tc>
        <w:tc>
          <w:tcPr>
            <w:tcW w:w="1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1,431</w:t>
            </w: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1,519</w:t>
            </w: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1,430</w:t>
            </w: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1,525</w:t>
            </w:r>
          </w:p>
        </w:tc>
      </w:tr>
      <w:tr>
        <w:trPr>
          <w:trHeight w:val="243"/>
        </w:trPr>
        <w:tc>
          <w:tcPr>
            <w:tcW w:w="4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 earnings per common share – continuing operations</w:t>
            </w:r>
          </w:p>
        </w:tc>
        <w:tc>
          <w:tcPr>
            <w:tcW w:w="13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r>
      <w:tr>
        <w:trPr>
          <w:trHeight w:val="237"/>
        </w:trPr>
        <w:tc>
          <w:tcPr>
            <w:tcW w:w="4800" w:type="dxa"/>
            <w:vAlign w:val="bottom"/>
          </w:tcPr>
          <w:p>
            <w:pPr>
              <w:ind w:left="180"/>
              <w:spacing w:after="0"/>
              <w:rPr>
                <w:sz w:val="20"/>
                <w:szCs w:val="20"/>
                <w:color w:val="auto"/>
              </w:rPr>
            </w:pPr>
            <w:r>
              <w:rPr>
                <w:rFonts w:ascii="Arial" w:cs="Arial" w:eastAsia="Arial" w:hAnsi="Arial"/>
                <w:sz w:val="14"/>
                <w:szCs w:val="14"/>
                <w:color w:val="auto"/>
              </w:rPr>
              <w:t>Diluted loss per common share – discontinued operations</w:t>
            </w:r>
          </w:p>
        </w:tc>
        <w:tc>
          <w:tcPr>
            <w:tcW w:w="13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0.51</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0.55</w:t>
            </w:r>
          </w:p>
        </w:tc>
      </w:tr>
      <w:tr>
        <w:trPr>
          <w:trHeight w:val="249"/>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 earnings per common share</w:t>
            </w:r>
          </w:p>
        </w:tc>
        <w:tc>
          <w:tcPr>
            <w:tcW w:w="13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31"/>
        </w:trPr>
        <w:tc>
          <w:tcPr>
            <w:tcW w:w="4800" w:type="dxa"/>
            <w:vAlign w:val="bottom"/>
          </w:tcPr>
          <w:p>
            <w:pPr>
              <w:ind w:left="180"/>
              <w:spacing w:after="0"/>
              <w:rPr>
                <w:sz w:val="20"/>
                <w:szCs w:val="20"/>
                <w:color w:val="auto"/>
              </w:rPr>
            </w:pPr>
            <w:r>
              <w:rPr>
                <w:rFonts w:ascii="Arial" w:cs="Arial" w:eastAsia="Arial" w:hAnsi="Arial"/>
                <w:sz w:val="14"/>
                <w:szCs w:val="14"/>
                <w:color w:val="auto"/>
              </w:rPr>
              <w:t>Potentially dilutive securities(b)</w:t>
            </w:r>
          </w:p>
        </w:tc>
        <w:tc>
          <w:tcPr>
            <w:tcW w:w="13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5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5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5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of Net (income) loss attributable to noncontrolling interests.</w:t>
      </w:r>
    </w:p>
    <w:p>
      <w:pPr>
        <w:spacing w:after="0" w:line="1" w:lineRule="exact"/>
        <w:rPr>
          <w:rFonts w:ascii="Arial" w:cs="Arial" w:eastAsia="Arial" w:hAnsi="Arial"/>
          <w:sz w:val="14"/>
          <w:szCs w:val="14"/>
          <w:color w:val="auto"/>
        </w:rPr>
      </w:pPr>
    </w:p>
    <w:p>
      <w:pPr>
        <w:ind w:left="340" w:right="200" w:hanging="332"/>
        <w:spacing w:after="0" w:line="258"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Potentially dilutive securities attributable to outstanding stock options and Restricted Stock Units were excluded from the computation of diluted EPS because the securities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37"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Combining Balance Sheet Information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except per share amounts)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ind w:left="400"/>
              <w:spacing w:after="0"/>
              <w:rPr>
                <w:sz w:val="20"/>
                <w:szCs w:val="20"/>
                <w:color w:val="auto"/>
              </w:rPr>
            </w:pPr>
            <w:r>
              <w:rPr>
                <w:rFonts w:ascii="Arial" w:cs="Arial" w:eastAsia="Arial" w:hAnsi="Arial"/>
                <w:sz w:val="11"/>
                <w:szCs w:val="11"/>
                <w:b w:val="1"/>
                <w:bCs w:val="1"/>
                <w:color w:val="auto"/>
              </w:rPr>
              <w:t>June 30, 2018</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ind w:left="180"/>
              <w:spacing w:after="0"/>
              <w:rPr>
                <w:sz w:val="20"/>
                <w:szCs w:val="20"/>
                <w:color w:val="auto"/>
              </w:rPr>
            </w:pPr>
            <w:r>
              <w:rPr>
                <w:rFonts w:ascii="Arial" w:cs="Arial" w:eastAsia="Arial" w:hAnsi="Arial"/>
                <w:sz w:val="11"/>
                <w:szCs w:val="11"/>
                <w:b w:val="1"/>
                <w:bCs w:val="1"/>
                <w:color w:val="auto"/>
              </w:rPr>
              <w:t>December 31, 2017</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9"/>
                <w:szCs w:val="9"/>
                <w:b w:val="1"/>
                <w:bCs w:val="1"/>
                <w:color w:val="auto"/>
              </w:rPr>
              <w:t>Automotive</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GM Cruise</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GM Financial</w:t>
            </w:r>
          </w:p>
        </w:tc>
        <w:tc>
          <w:tcPr>
            <w:tcW w:w="1460" w:type="dxa"/>
            <w:vAlign w:val="bottom"/>
            <w:gridSpan w:val="3"/>
          </w:tcPr>
          <w:p>
            <w:pPr>
              <w:ind w:left="40"/>
              <w:spacing w:after="0"/>
              <w:rPr>
                <w:sz w:val="20"/>
                <w:szCs w:val="20"/>
                <w:color w:val="auto"/>
              </w:rPr>
            </w:pPr>
            <w:r>
              <w:rPr>
                <w:rFonts w:ascii="Arial" w:cs="Arial" w:eastAsia="Arial" w:hAnsi="Arial"/>
                <w:sz w:val="9"/>
                <w:szCs w:val="9"/>
                <w:b w:val="1"/>
                <w:bCs w:val="1"/>
                <w:color w:val="auto"/>
              </w:rPr>
              <w:t>Reclassifications/Eliminations</w:t>
            </w:r>
          </w:p>
        </w:tc>
        <w:tc>
          <w:tcPr>
            <w:tcW w:w="860" w:type="dxa"/>
            <w:vAlign w:val="bottom"/>
            <w:gridSpan w:val="2"/>
          </w:tcPr>
          <w:p>
            <w:pPr>
              <w:ind w:left="160"/>
              <w:spacing w:after="0"/>
              <w:rPr>
                <w:sz w:val="20"/>
                <w:szCs w:val="20"/>
                <w:color w:val="auto"/>
              </w:rPr>
            </w:pPr>
            <w:r>
              <w:rPr>
                <w:rFonts w:ascii="Arial" w:cs="Arial" w:eastAsia="Arial" w:hAnsi="Arial"/>
                <w:sz w:val="9"/>
                <w:szCs w:val="9"/>
                <w:b w:val="1"/>
                <w:bCs w:val="1"/>
                <w:color w:val="auto"/>
              </w:rPr>
              <w:t>Combined</w:t>
            </w:r>
          </w:p>
        </w:tc>
        <w:tc>
          <w:tcPr>
            <w:tcW w:w="880" w:type="dxa"/>
            <w:vAlign w:val="bottom"/>
            <w:gridSpan w:val="2"/>
          </w:tcPr>
          <w:p>
            <w:pPr>
              <w:ind w:left="140"/>
              <w:spacing w:after="0"/>
              <w:rPr>
                <w:sz w:val="20"/>
                <w:szCs w:val="20"/>
                <w:color w:val="auto"/>
              </w:rPr>
            </w:pPr>
            <w:r>
              <w:rPr>
                <w:rFonts w:ascii="Arial" w:cs="Arial" w:eastAsia="Arial" w:hAnsi="Arial"/>
                <w:sz w:val="9"/>
                <w:szCs w:val="9"/>
                <w:b w:val="1"/>
                <w:bCs w:val="1"/>
                <w:color w:val="auto"/>
              </w:rPr>
              <w:t>Automotive</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GM Cruise</w:t>
            </w:r>
          </w:p>
        </w:tc>
        <w:tc>
          <w:tcPr>
            <w:tcW w:w="12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9"/>
                <w:szCs w:val="9"/>
                <w:b w:val="1"/>
                <w:bCs w:val="1"/>
                <w:color w:val="auto"/>
              </w:rPr>
              <w:t>GM Financial</w:t>
            </w:r>
          </w:p>
        </w:tc>
        <w:tc>
          <w:tcPr>
            <w:tcW w:w="1440" w:type="dxa"/>
            <w:vAlign w:val="bottom"/>
            <w:gridSpan w:val="3"/>
          </w:tcPr>
          <w:p>
            <w:pPr>
              <w:ind w:left="20"/>
              <w:spacing w:after="0"/>
              <w:rPr>
                <w:sz w:val="20"/>
                <w:szCs w:val="20"/>
                <w:color w:val="auto"/>
              </w:rPr>
            </w:pPr>
            <w:r>
              <w:rPr>
                <w:rFonts w:ascii="Arial" w:cs="Arial" w:eastAsia="Arial" w:hAnsi="Arial"/>
                <w:sz w:val="9"/>
                <w:szCs w:val="9"/>
                <w:b w:val="1"/>
                <w:bCs w:val="1"/>
                <w:color w:val="auto"/>
              </w:rPr>
              <w:t>Reclassifications/Eliminations</w:t>
            </w:r>
          </w:p>
        </w:tc>
        <w:tc>
          <w:tcPr>
            <w:tcW w:w="680" w:type="dxa"/>
            <w:vAlign w:val="bottom"/>
          </w:tcPr>
          <w:p>
            <w:pPr>
              <w:jc w:val="right"/>
              <w:ind w:right="59"/>
              <w:spacing w:after="0"/>
              <w:rPr>
                <w:sz w:val="20"/>
                <w:szCs w:val="20"/>
                <w:color w:val="auto"/>
              </w:rPr>
            </w:pPr>
            <w:r>
              <w:rPr>
                <w:rFonts w:ascii="Arial" w:cs="Arial" w:eastAsia="Arial" w:hAnsi="Arial"/>
                <w:sz w:val="9"/>
                <w:szCs w:val="9"/>
                <w:b w:val="1"/>
                <w:bCs w:val="1"/>
                <w:color w:val="auto"/>
              </w:rPr>
              <w:t>Combined</w:t>
            </w:r>
          </w:p>
        </w:tc>
        <w:tc>
          <w:tcPr>
            <w:tcW w:w="0" w:type="dxa"/>
            <w:vAlign w:val="bottom"/>
          </w:tcPr>
          <w:p>
            <w:pPr>
              <w:spacing w:after="0"/>
              <w:rPr>
                <w:sz w:val="1"/>
                <w:szCs w:val="1"/>
                <w:color w:val="auto"/>
              </w:rPr>
            </w:pPr>
          </w:p>
        </w:tc>
      </w:tr>
      <w:tr>
        <w:trPr>
          <w:trHeight w:val="160"/>
        </w:trPr>
        <w:tc>
          <w:tcPr>
            <w:tcW w:w="2200" w:type="dxa"/>
            <w:vAlign w:val="bottom"/>
          </w:tcPr>
          <w:p>
            <w:pPr>
              <w:ind w:left="86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200" w:type="dxa"/>
            <w:vAlign w:val="bottom"/>
          </w:tcPr>
          <w:p>
            <w:pPr>
              <w:ind w:left="40"/>
              <w:spacing w:after="0"/>
              <w:rPr>
                <w:sz w:val="20"/>
                <w:szCs w:val="20"/>
                <w:color w:val="auto"/>
              </w:rPr>
            </w:pPr>
            <w:r>
              <w:rPr>
                <w:rFonts w:ascii="Arial" w:cs="Arial" w:eastAsia="Arial" w:hAnsi="Arial"/>
                <w:sz w:val="13"/>
                <w:szCs w:val="13"/>
                <w:b w:val="1"/>
                <w:bCs w:val="1"/>
                <w:color w:val="auto"/>
              </w:rPr>
              <w:t>Current Assets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9,074</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w w:val="96"/>
              </w:rPr>
              <w:t>$ 2,001</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   4,012</w:t>
            </w: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   15,087</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   11,224</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   23</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4,265</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  15,512</w:t>
            </w: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00" w:type="dxa"/>
            <w:vAlign w:val="bottom"/>
          </w:tcPr>
          <w:p>
            <w:pPr>
              <w:ind w:left="180"/>
              <w:spacing w:after="0"/>
              <w:rPr>
                <w:sz w:val="20"/>
                <w:szCs w:val="20"/>
                <w:color w:val="auto"/>
              </w:rPr>
            </w:pPr>
            <w:r>
              <w:rPr>
                <w:rFonts w:ascii="Arial" w:cs="Arial" w:eastAsia="Arial" w:hAnsi="Arial"/>
                <w:sz w:val="13"/>
                <w:szCs w:val="13"/>
                <w:color w:val="auto"/>
              </w:rPr>
              <w:t>Marketable securities</w:t>
            </w:r>
          </w:p>
        </w:tc>
        <w:tc>
          <w:tcPr>
            <w:tcW w:w="100" w:type="dxa"/>
            <w:vAlign w:val="bottom"/>
          </w:tcPr>
          <w:p>
            <w:pPr>
              <w:spacing w:after="0"/>
              <w:rPr>
                <w:sz w:val="15"/>
                <w:szCs w:val="15"/>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3"/>
                <w:szCs w:val="13"/>
                <w:color w:val="auto"/>
              </w:rPr>
              <w:t>6,924</w:t>
            </w:r>
          </w:p>
        </w:tc>
        <w:tc>
          <w:tcPr>
            <w:tcW w:w="100" w:type="dxa"/>
            <w:vAlign w:val="bottom"/>
          </w:tcPr>
          <w:p>
            <w:pPr>
              <w:spacing w:after="0"/>
              <w:rPr>
                <w:sz w:val="15"/>
                <w:szCs w:val="15"/>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5"/>
                <w:szCs w:val="15"/>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9"/>
              <w:spacing w:after="0"/>
              <w:rPr>
                <w:sz w:val="20"/>
                <w:szCs w:val="20"/>
                <w:color w:val="auto"/>
              </w:rPr>
            </w:pPr>
            <w:r>
              <w:rPr>
                <w:rFonts w:ascii="Arial" w:cs="Arial" w:eastAsia="Arial" w:hAnsi="Arial"/>
                <w:sz w:val="13"/>
                <w:szCs w:val="13"/>
                <w:color w:val="auto"/>
              </w:rPr>
              <w:t>6,924</w:t>
            </w:r>
          </w:p>
        </w:tc>
        <w:tc>
          <w:tcPr>
            <w:tcW w:w="100" w:type="dxa"/>
            <w:vAlign w:val="bottom"/>
          </w:tcPr>
          <w:p>
            <w:pPr>
              <w:spacing w:after="0"/>
              <w:rPr>
                <w:sz w:val="15"/>
                <w:szCs w:val="15"/>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3"/>
                <w:szCs w:val="13"/>
                <w:color w:val="auto"/>
              </w:rPr>
              <w:t>8,313</w:t>
            </w:r>
          </w:p>
        </w:tc>
        <w:tc>
          <w:tcPr>
            <w:tcW w:w="100" w:type="dxa"/>
            <w:vAlign w:val="bottom"/>
          </w:tcPr>
          <w:p>
            <w:pPr>
              <w:spacing w:after="0"/>
              <w:rPr>
                <w:sz w:val="15"/>
                <w:szCs w:val="15"/>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39"/>
              <w:spacing w:after="0"/>
              <w:rPr>
                <w:sz w:val="20"/>
                <w:szCs w:val="20"/>
                <w:color w:val="auto"/>
              </w:rPr>
            </w:pPr>
            <w:r>
              <w:rPr>
                <w:rFonts w:ascii="Arial" w:cs="Arial" w:eastAsia="Arial" w:hAnsi="Arial"/>
                <w:sz w:val="13"/>
                <w:szCs w:val="13"/>
                <w:color w:val="auto"/>
              </w:rPr>
              <w:t>8,313</w:t>
            </w: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2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and notes receivable,</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net(a)</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8,937</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1,540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(814)</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9,663</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7,759</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806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(401)</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8,164</w:t>
            </w:r>
          </w:p>
        </w:tc>
        <w:tc>
          <w:tcPr>
            <w:tcW w:w="0" w:type="dxa"/>
            <w:vAlign w:val="bottom"/>
          </w:tcPr>
          <w:p>
            <w:pPr>
              <w:spacing w:after="0"/>
              <w:rPr>
                <w:sz w:val="1"/>
                <w:szCs w:val="1"/>
                <w:color w:val="auto"/>
              </w:rPr>
            </w:pPr>
          </w:p>
        </w:tc>
      </w:tr>
      <w:tr>
        <w:trPr>
          <w:trHeight w:val="173"/>
        </w:trPr>
        <w:tc>
          <w:tcPr>
            <w:tcW w:w="2200" w:type="dxa"/>
            <w:vAlign w:val="bottom"/>
          </w:tcPr>
          <w:p>
            <w:pPr>
              <w:ind w:left="180"/>
              <w:spacing w:after="0"/>
              <w:rPr>
                <w:sz w:val="20"/>
                <w:szCs w:val="20"/>
                <w:color w:val="auto"/>
              </w:rPr>
            </w:pPr>
            <w:r>
              <w:rPr>
                <w:rFonts w:ascii="Arial" w:cs="Arial" w:eastAsia="Arial" w:hAnsi="Arial"/>
                <w:sz w:val="13"/>
                <w:szCs w:val="13"/>
                <w:color w:val="auto"/>
              </w:rPr>
              <w:t>GM Financial receivables, net(b)</w:t>
            </w: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60"/>
              <w:spacing w:after="0"/>
              <w:rPr>
                <w:sz w:val="20"/>
                <w:szCs w:val="20"/>
                <w:color w:val="auto"/>
              </w:rPr>
            </w:pPr>
            <w:r>
              <w:rPr>
                <w:rFonts w:ascii="Arial" w:cs="Arial" w:eastAsia="Arial" w:hAnsi="Arial"/>
                <w:sz w:val="13"/>
                <w:szCs w:val="13"/>
                <w:color w:val="auto"/>
              </w:rPr>
              <w:t>22,446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(441)</w:t>
            </w:r>
          </w:p>
        </w:tc>
        <w:tc>
          <w:tcPr>
            <w:tcW w:w="120" w:type="dxa"/>
            <w:vAlign w:val="bottom"/>
          </w:tcPr>
          <w:p>
            <w:pPr>
              <w:spacing w:after="0"/>
              <w:rPr>
                <w:sz w:val="15"/>
                <w:szCs w:val="15"/>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13"/>
                <w:szCs w:val="13"/>
                <w:color w:val="auto"/>
              </w:rPr>
              <w:t>22,005</w:t>
            </w:r>
          </w:p>
        </w:tc>
        <w:tc>
          <w:tcPr>
            <w:tcW w:w="100" w:type="dxa"/>
            <w:vAlign w:val="bottom"/>
          </w:tcPr>
          <w:p>
            <w:pPr>
              <w:spacing w:after="0"/>
              <w:rPr>
                <w:sz w:val="15"/>
                <w:szCs w:val="15"/>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vMerge w:val="restart"/>
          </w:tcPr>
          <w:p>
            <w:pPr>
              <w:jc w:val="right"/>
              <w:ind w:right="60"/>
              <w:spacing w:after="0"/>
              <w:rPr>
                <w:sz w:val="20"/>
                <w:szCs w:val="20"/>
                <w:color w:val="auto"/>
              </w:rPr>
            </w:pPr>
            <w:r>
              <w:rPr>
                <w:rFonts w:ascii="Arial" w:cs="Arial" w:eastAsia="Arial" w:hAnsi="Arial"/>
                <w:sz w:val="13"/>
                <w:szCs w:val="13"/>
                <w:color w:val="auto"/>
              </w:rPr>
              <w:t>20,901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5"/>
                <w:szCs w:val="15"/>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3"/>
                <w:szCs w:val="13"/>
                <w:color w:val="auto"/>
              </w:rPr>
              <w:t>20,521</w:t>
            </w: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Inventories</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10,833</w:t>
            </w: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10,833</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10,663</w:t>
            </w: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10,663</w:t>
            </w: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00" w:type="dxa"/>
            <w:vAlign w:val="bottom"/>
          </w:tcPr>
          <w:p>
            <w:pPr>
              <w:ind w:left="180"/>
              <w:spacing w:after="0"/>
              <w:rPr>
                <w:sz w:val="20"/>
                <w:szCs w:val="20"/>
                <w:color w:val="auto"/>
              </w:rPr>
            </w:pPr>
            <w:r>
              <w:rPr>
                <w:rFonts w:ascii="Arial" w:cs="Arial" w:eastAsia="Arial" w:hAnsi="Arial"/>
                <w:sz w:val="13"/>
                <w:szCs w:val="13"/>
                <w:color w:val="auto"/>
                <w:w w:val="97"/>
              </w:rPr>
              <w:t>Equipment on operating leases, net</w:t>
            </w:r>
          </w:p>
        </w:tc>
        <w:tc>
          <w:tcPr>
            <w:tcW w:w="100" w:type="dxa"/>
            <w:vAlign w:val="bottom"/>
          </w:tcPr>
          <w:p>
            <w:pPr>
              <w:spacing w:after="0"/>
              <w:rPr>
                <w:sz w:val="15"/>
                <w:szCs w:val="15"/>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3"/>
                <w:szCs w:val="13"/>
                <w:color w:val="auto"/>
              </w:rPr>
              <w:t>690</w:t>
            </w:r>
          </w:p>
        </w:tc>
        <w:tc>
          <w:tcPr>
            <w:tcW w:w="100" w:type="dxa"/>
            <w:vAlign w:val="bottom"/>
          </w:tcPr>
          <w:p>
            <w:pPr>
              <w:spacing w:after="0"/>
              <w:rPr>
                <w:sz w:val="15"/>
                <w:szCs w:val="15"/>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5"/>
                <w:szCs w:val="15"/>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9"/>
              <w:spacing w:after="0"/>
              <w:rPr>
                <w:sz w:val="20"/>
                <w:szCs w:val="20"/>
                <w:color w:val="auto"/>
              </w:rPr>
            </w:pPr>
            <w:r>
              <w:rPr>
                <w:rFonts w:ascii="Arial" w:cs="Arial" w:eastAsia="Arial" w:hAnsi="Arial"/>
                <w:sz w:val="13"/>
                <w:szCs w:val="13"/>
                <w:color w:val="auto"/>
              </w:rPr>
              <w:t>690</w:t>
            </w:r>
          </w:p>
        </w:tc>
        <w:tc>
          <w:tcPr>
            <w:tcW w:w="100" w:type="dxa"/>
            <w:vAlign w:val="bottom"/>
          </w:tcPr>
          <w:p>
            <w:pPr>
              <w:spacing w:after="0"/>
              <w:rPr>
                <w:sz w:val="15"/>
                <w:szCs w:val="15"/>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3"/>
                <w:szCs w:val="13"/>
                <w:color w:val="auto"/>
              </w:rPr>
              <w:t>1,106</w:t>
            </w:r>
          </w:p>
        </w:tc>
        <w:tc>
          <w:tcPr>
            <w:tcW w:w="100" w:type="dxa"/>
            <w:vAlign w:val="bottom"/>
          </w:tcPr>
          <w:p>
            <w:pPr>
              <w:spacing w:after="0"/>
              <w:rPr>
                <w:sz w:val="15"/>
                <w:szCs w:val="15"/>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39"/>
              <w:spacing w:after="0"/>
              <w:rPr>
                <w:sz w:val="20"/>
                <w:szCs w:val="20"/>
                <w:color w:val="auto"/>
              </w:rPr>
            </w:pPr>
            <w:r>
              <w:rPr>
                <w:rFonts w:ascii="Arial" w:cs="Arial" w:eastAsia="Arial" w:hAnsi="Arial"/>
                <w:sz w:val="13"/>
                <w:szCs w:val="13"/>
                <w:color w:val="auto"/>
              </w:rPr>
              <w:t>1,106</w:t>
            </w: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current assets</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1,613</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3,632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5,249</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1,394</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3,069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4,465</w:t>
            </w: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180"/>
              <w:spacing w:after="0"/>
              <w:rPr>
                <w:sz w:val="20"/>
                <w:szCs w:val="20"/>
                <w:color w:val="auto"/>
              </w:rPr>
            </w:pPr>
            <w:r>
              <w:rPr>
                <w:rFonts w:ascii="Arial" w:cs="Arial" w:eastAsia="Arial" w:hAnsi="Arial"/>
                <w:sz w:val="13"/>
                <w:szCs w:val="13"/>
                <w:color w:val="auto"/>
              </w:rPr>
              <w:t>Total current assets</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3"/>
                <w:szCs w:val="13"/>
                <w:color w:val="auto"/>
              </w:rPr>
              <w:t>38,071</w:t>
            </w:r>
          </w:p>
        </w:tc>
        <w:tc>
          <w:tcPr>
            <w:tcW w:w="100" w:type="dxa"/>
            <w:vAlign w:val="bottom"/>
          </w:tcPr>
          <w:p>
            <w:pPr>
              <w:spacing w:after="0"/>
              <w:rPr>
                <w:sz w:val="13"/>
                <w:szCs w:val="13"/>
                <w:color w:val="auto"/>
              </w:rPr>
            </w:pPr>
          </w:p>
        </w:tc>
        <w:tc>
          <w:tcPr>
            <w:tcW w:w="5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c>
          <w:tcPr>
            <w:tcW w:w="68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3"/>
                <w:szCs w:val="13"/>
                <w:color w:val="auto"/>
              </w:rPr>
              <w:t>31,630</w:t>
            </w: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(1,255)</w:t>
            </w:r>
          </w:p>
        </w:tc>
        <w:tc>
          <w:tcPr>
            <w:tcW w:w="12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3"/>
                <w:szCs w:val="13"/>
                <w:color w:val="auto"/>
              </w:rPr>
              <w:t>70,451</w:t>
            </w:r>
          </w:p>
        </w:tc>
        <w:tc>
          <w:tcPr>
            <w:tcW w:w="100" w:type="dxa"/>
            <w:vAlign w:val="bottom"/>
          </w:tcPr>
          <w:p>
            <w:pPr>
              <w:spacing w:after="0"/>
              <w:rPr>
                <w:sz w:val="13"/>
                <w:szCs w:val="13"/>
                <w:color w:val="auto"/>
              </w:rPr>
            </w:pPr>
          </w:p>
        </w:tc>
        <w:tc>
          <w:tcPr>
            <w:tcW w:w="7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3"/>
                <w:szCs w:val="13"/>
                <w:color w:val="auto"/>
              </w:rPr>
              <w:t>40,459</w:t>
            </w:r>
          </w:p>
        </w:tc>
        <w:tc>
          <w:tcPr>
            <w:tcW w:w="100" w:type="dxa"/>
            <w:vAlign w:val="bottom"/>
          </w:tcPr>
          <w:p>
            <w:pPr>
              <w:spacing w:after="0"/>
              <w:rPr>
                <w:sz w:val="13"/>
                <w:szCs w:val="13"/>
                <w:color w:val="auto"/>
              </w:rPr>
            </w:pPr>
          </w:p>
        </w:tc>
        <w:tc>
          <w:tcPr>
            <w:tcW w:w="5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3"/>
                <w:szCs w:val="13"/>
                <w:color w:val="auto"/>
              </w:rPr>
              <w:t>29,041</w:t>
            </w: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(781)</w:t>
            </w:r>
          </w:p>
        </w:tc>
        <w:tc>
          <w:tcPr>
            <w:tcW w:w="100" w:type="dxa"/>
            <w:vAlign w:val="bottom"/>
          </w:tcPr>
          <w:p>
            <w:pPr>
              <w:spacing w:after="0"/>
              <w:rPr>
                <w:sz w:val="13"/>
                <w:szCs w:val="13"/>
                <w:color w:val="auto"/>
              </w:rPr>
            </w:pPr>
          </w:p>
        </w:tc>
        <w:tc>
          <w:tcPr>
            <w:tcW w:w="6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3"/>
                <w:szCs w:val="13"/>
                <w:color w:val="auto"/>
              </w:rPr>
              <w:t>68,744</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ectPr>
          <w:pgSz w:w="11900" w:h="16838" w:orient="portrait"/>
          <w:cols w:equalWidth="0" w:num="1">
            <w:col w:w="11420"/>
          </w:cols>
          <w:pgMar w:left="240" w:top="337" w:right="239" w:bottom="453" w:gutter="0" w:footer="0" w:header="0"/>
        </w:sectPr>
      </w:pP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receivables, net(b)</w:t>
      </w:r>
    </w:p>
    <w:p>
      <w:pPr>
        <w:spacing w:after="0" w:line="121" w:lineRule="exact"/>
        <w:rPr>
          <w:sz w:val="20"/>
          <w:szCs w:val="20"/>
          <w:color w:val="auto"/>
        </w:rPr>
      </w:pPr>
    </w:p>
    <w:p>
      <w:pPr>
        <w:ind w:left="340" w:right="420" w:hanging="161"/>
        <w:spacing w:after="0" w:line="259" w:lineRule="auto"/>
        <w:rPr>
          <w:sz w:val="20"/>
          <w:szCs w:val="20"/>
          <w:color w:val="auto"/>
        </w:rPr>
      </w:pPr>
      <w:r>
        <w:rPr>
          <w:rFonts w:ascii="Arial" w:cs="Arial" w:eastAsia="Arial" w:hAnsi="Arial"/>
          <w:sz w:val="12"/>
          <w:szCs w:val="12"/>
          <w:color w:val="auto"/>
        </w:rPr>
        <w:t>Equity in net assets of nonconsolidated affiliates</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Goodwill and intangible assets, net</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Equipment on operating leases, net</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assets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Assets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LIABILITIES AND EQUITY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23,054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3"/>
                <w:szCs w:val="1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22,996</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21,271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3"/>
                <w:szCs w:val="1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21,208</w:t>
            </w:r>
          </w:p>
        </w:tc>
      </w:tr>
      <w:tr>
        <w:trPr>
          <w:trHeight w:val="324"/>
        </w:trPr>
        <w:tc>
          <w:tcPr>
            <w:tcW w:w="760" w:type="dxa"/>
            <w:vAlign w:val="bottom"/>
          </w:tcPr>
          <w:p>
            <w:pPr>
              <w:jc w:val="right"/>
              <w:ind w:right="57"/>
              <w:spacing w:after="0"/>
              <w:rPr>
                <w:sz w:val="20"/>
                <w:szCs w:val="20"/>
                <w:color w:val="auto"/>
              </w:rPr>
            </w:pPr>
            <w:r>
              <w:rPr>
                <w:rFonts w:ascii="Arial" w:cs="Arial" w:eastAsia="Arial" w:hAnsi="Arial"/>
                <w:sz w:val="13"/>
                <w:szCs w:val="13"/>
                <w:color w:val="auto"/>
              </w:rPr>
              <w:t>7,528</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1,260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8,788</w:t>
            </w:r>
          </w:p>
        </w:tc>
        <w:tc>
          <w:tcPr>
            <w:tcW w:w="1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7,886</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1,187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9,073</w:t>
            </w:r>
          </w:p>
        </w:tc>
      </w:tr>
      <w:tr>
        <w:trPr>
          <w:trHeight w:val="270"/>
        </w:trPr>
        <w:tc>
          <w:tcPr>
            <w:tcW w:w="760" w:type="dxa"/>
            <w:vAlign w:val="bottom"/>
          </w:tcPr>
          <w:p>
            <w:pPr>
              <w:jc w:val="right"/>
              <w:ind w:right="57"/>
              <w:spacing w:after="0"/>
              <w:rPr>
                <w:sz w:val="20"/>
                <w:szCs w:val="20"/>
                <w:color w:val="auto"/>
              </w:rPr>
            </w:pPr>
            <w:r>
              <w:rPr>
                <w:rFonts w:ascii="Arial" w:cs="Arial" w:eastAsia="Arial" w:hAnsi="Arial"/>
                <w:sz w:val="13"/>
                <w:szCs w:val="13"/>
                <w:color w:val="auto"/>
              </w:rPr>
              <w:t>37,698</w:t>
            </w:r>
          </w:p>
        </w:tc>
        <w:tc>
          <w:tcPr>
            <w:tcW w:w="1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38,003</w:t>
            </w:r>
          </w:p>
        </w:tc>
        <w:tc>
          <w:tcPr>
            <w:tcW w:w="10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35,960</w:t>
            </w:r>
          </w:p>
        </w:tc>
        <w:tc>
          <w:tcPr>
            <w:tcW w:w="10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36,253</w:t>
            </w:r>
          </w:p>
        </w:tc>
      </w:tr>
      <w:tr>
        <w:trPr>
          <w:trHeight w:val="270"/>
        </w:trPr>
        <w:tc>
          <w:tcPr>
            <w:tcW w:w="760" w:type="dxa"/>
            <w:vAlign w:val="bottom"/>
          </w:tcPr>
          <w:p>
            <w:pPr>
              <w:jc w:val="right"/>
              <w:ind w:right="57"/>
              <w:spacing w:after="0"/>
              <w:rPr>
                <w:sz w:val="20"/>
                <w:szCs w:val="20"/>
                <w:color w:val="auto"/>
              </w:rPr>
            </w:pPr>
            <w:r>
              <w:rPr>
                <w:rFonts w:ascii="Arial" w:cs="Arial" w:eastAsia="Arial" w:hAnsi="Arial"/>
                <w:sz w:val="13"/>
                <w:szCs w:val="13"/>
                <w:color w:val="auto"/>
              </w:rPr>
              <w:t>3,683</w:t>
            </w:r>
          </w:p>
        </w:tc>
        <w:tc>
          <w:tcPr>
            <w:tcW w:w="1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1,358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5,720</w:t>
            </w:r>
          </w:p>
        </w:tc>
        <w:tc>
          <w:tcPr>
            <w:tcW w:w="10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3,803</w:t>
            </w:r>
          </w:p>
        </w:tc>
        <w:tc>
          <w:tcPr>
            <w:tcW w:w="10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1,367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5,849</w:t>
            </w:r>
          </w:p>
        </w:tc>
      </w:tr>
      <w:tr>
        <w:trPr>
          <w:trHeight w:val="270"/>
        </w:trPr>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44,054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44,054</w:t>
            </w:r>
          </w:p>
        </w:tc>
        <w:tc>
          <w:tcPr>
            <w:tcW w:w="1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42,882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42,882</w:t>
            </w:r>
          </w:p>
        </w:tc>
      </w:tr>
      <w:tr>
        <w:trPr>
          <w:trHeight w:val="270"/>
        </w:trPr>
        <w:tc>
          <w:tcPr>
            <w:tcW w:w="760" w:type="dxa"/>
            <w:vAlign w:val="bottom"/>
          </w:tcPr>
          <w:p>
            <w:pPr>
              <w:jc w:val="right"/>
              <w:ind w:right="57"/>
              <w:spacing w:after="0"/>
              <w:rPr>
                <w:sz w:val="20"/>
                <w:szCs w:val="20"/>
                <w:color w:val="auto"/>
              </w:rPr>
            </w:pPr>
            <w:r>
              <w:rPr>
                <w:rFonts w:ascii="Arial" w:cs="Arial" w:eastAsia="Arial" w:hAnsi="Arial"/>
                <w:sz w:val="13"/>
                <w:szCs w:val="13"/>
                <w:color w:val="auto"/>
              </w:rPr>
              <w:t>23,182</w:t>
            </w:r>
          </w:p>
        </w:tc>
        <w:tc>
          <w:tcPr>
            <w:tcW w:w="100" w:type="dxa"/>
            <w:vAlign w:val="bottom"/>
          </w:tcPr>
          <w:p>
            <w:pPr>
              <w:spacing w:after="0"/>
              <w:rPr>
                <w:sz w:val="23"/>
                <w:szCs w:val="23"/>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23,285</w:t>
            </w:r>
          </w:p>
        </w:tc>
        <w:tc>
          <w:tcPr>
            <w:tcW w:w="10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23,301</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23,544</w:t>
            </w:r>
          </w:p>
        </w:tc>
      </w:tr>
      <w:tr>
        <w:trPr>
          <w:trHeight w:val="280"/>
        </w:trPr>
        <w:tc>
          <w:tcPr>
            <w:tcW w:w="760" w:type="dxa"/>
            <w:vAlign w:val="bottom"/>
          </w:tcPr>
          <w:p>
            <w:pPr>
              <w:jc w:val="right"/>
              <w:ind w:right="57"/>
              <w:spacing w:after="0"/>
              <w:rPr>
                <w:sz w:val="20"/>
                <w:szCs w:val="20"/>
                <w:color w:val="auto"/>
              </w:rPr>
            </w:pPr>
            <w:r>
              <w:rPr>
                <w:rFonts w:ascii="Arial" w:cs="Arial" w:eastAsia="Arial" w:hAnsi="Arial"/>
                <w:sz w:val="13"/>
                <w:szCs w:val="13"/>
                <w:color w:val="auto"/>
              </w:rPr>
              <w:t>4,451</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893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5,344</w:t>
            </w:r>
          </w:p>
        </w:tc>
        <w:tc>
          <w:tcPr>
            <w:tcW w:w="1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4,000</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929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4,929</w:t>
            </w:r>
          </w:p>
        </w:tc>
      </w:tr>
      <w:tr>
        <w:trPr>
          <w:trHeight w:val="250"/>
        </w:trPr>
        <w:tc>
          <w:tcPr>
            <w:tcW w:w="7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76,542</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71,027</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148,190</w:t>
            </w:r>
          </w:p>
        </w:tc>
        <w:tc>
          <w:tcPr>
            <w:tcW w:w="1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74,950</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641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68,210</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143,738</w:t>
            </w:r>
          </w:p>
        </w:tc>
      </w:tr>
      <w:tr>
        <w:trPr>
          <w:trHeight w:val="237"/>
        </w:trPr>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  114,613</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6"/>
              </w:rPr>
              <w:t>$ 2,684</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$ 102,657</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(1,313)</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  218,641</w:t>
            </w:r>
          </w:p>
        </w:tc>
        <w:tc>
          <w:tcPr>
            <w:tcW w:w="100" w:type="dxa"/>
            <w:vAlign w:val="bottom"/>
          </w:tcPr>
          <w:p>
            <w:pPr>
              <w:spacing w:after="0"/>
              <w:rPr>
                <w:sz w:val="20"/>
                <w:szCs w:val="20"/>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  115,409</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  666</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97,251</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(844)</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6"/>
              </w:rPr>
              <w:t>$ 212,482</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-1423035</wp:posOffset>
            </wp:positionV>
            <wp:extent cx="724662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-1045845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-702310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-359410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-16510</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342900</wp:posOffset>
            </wp:positionV>
            <wp:extent cx="724662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558" w:lineRule="exact"/>
        <w:rPr>
          <w:sz w:val="20"/>
          <w:szCs w:val="20"/>
          <w:color w:val="auto"/>
        </w:rPr>
      </w:pPr>
    </w:p>
    <w:p>
      <w:pPr>
        <w:sectPr>
          <w:pgSz w:w="11900" w:h="16838" w:orient="portrait"/>
          <w:cols w:equalWidth="0" w:num="2">
            <w:col w:w="2160" w:space="40"/>
            <w:col w:w="9220"/>
          </w:cols>
          <w:pgMar w:left="240" w:top="337" w:right="239" w:bottom="453" w:gutter="0" w:footer="0" w:header="0"/>
          <w:type w:val="continuous"/>
        </w:sectPr>
      </w:pPr>
    </w:p>
    <w:p>
      <w:pPr>
        <w:ind w:left="180"/>
        <w:spacing w:after="0"/>
        <w:rPr>
          <w:sz w:val="20"/>
          <w:szCs w:val="20"/>
          <w:color w:val="auto"/>
        </w:rPr>
      </w:pPr>
      <w:r>
        <w:rPr>
          <w:rFonts w:ascii="Arial" w:cs="Arial" w:eastAsia="Arial" w:hAnsi="Arial"/>
          <w:sz w:val="12"/>
          <w:szCs w:val="12"/>
          <w:color w:val="auto"/>
        </w:rPr>
        <w:t>Accounts payable (principally trade)</w:t>
      </w:r>
    </w:p>
    <w:p>
      <w:pPr>
        <w:ind w:left="340"/>
        <w:spacing w:after="0"/>
        <w:rPr>
          <w:sz w:val="20"/>
          <w:szCs w:val="20"/>
          <w:color w:val="auto"/>
        </w:rPr>
      </w:pPr>
      <w:r>
        <w:rPr>
          <w:rFonts w:ascii="Arial" w:cs="Arial" w:eastAsia="Arial" w:hAnsi="Arial"/>
          <w:sz w:val="13"/>
          <w:szCs w:val="13"/>
          <w:color w:val="auto"/>
        </w:rPr>
        <w:t>(a)</w:t>
      </w:r>
    </w:p>
    <w:p>
      <w:pPr>
        <w:spacing w:after="0" w:line="40" w:lineRule="exact"/>
        <w:rPr>
          <w:sz w:val="20"/>
          <w:szCs w:val="20"/>
          <w:color w:val="auto"/>
        </w:rPr>
      </w:pPr>
    </w:p>
    <w:p>
      <w:pPr>
        <w:ind w:left="340" w:right="20" w:hanging="161"/>
        <w:spacing w:after="0" w:line="230" w:lineRule="auto"/>
        <w:rPr>
          <w:sz w:val="20"/>
          <w:szCs w:val="20"/>
          <w:color w:val="auto"/>
        </w:rPr>
      </w:pPr>
      <w:r>
        <w:rPr>
          <w:rFonts w:ascii="Arial" w:cs="Arial" w:eastAsia="Arial" w:hAnsi="Arial"/>
          <w:sz w:val="13"/>
          <w:szCs w:val="13"/>
          <w:color w:val="auto"/>
        </w:rPr>
        <w:t>Short-term debt and current portion of long-term debt</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Automotive(b)</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liabilities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liabilities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Automotive(b)</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340" w:right="100" w:hanging="161"/>
        <w:spacing w:after="0" w:line="230" w:lineRule="auto"/>
        <w:rPr>
          <w:sz w:val="20"/>
          <w:szCs w:val="20"/>
          <w:color w:val="auto"/>
        </w:rPr>
      </w:pPr>
      <w:r>
        <w:rPr>
          <w:rFonts w:ascii="Arial" w:cs="Arial" w:eastAsia="Arial" w:hAnsi="Arial"/>
          <w:sz w:val="13"/>
          <w:szCs w:val="13"/>
          <w:color w:val="auto"/>
        </w:rPr>
        <w:t>Postretirement benefits other than pensions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liabilities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Commitments and contingencies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Equity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760" w:type="dxa"/>
            <w:vAlign w:val="bottom"/>
          </w:tcPr>
          <w:p>
            <w:pPr>
              <w:jc w:val="right"/>
              <w:ind w:right="57"/>
              <w:spacing w:after="0"/>
              <w:rPr>
                <w:sz w:val="20"/>
                <w:szCs w:val="20"/>
                <w:color w:val="auto"/>
              </w:rPr>
            </w:pPr>
            <w:r>
              <w:rPr>
                <w:rFonts w:ascii="Arial" w:cs="Arial" w:eastAsia="Arial" w:hAnsi="Arial"/>
                <w:sz w:val="13"/>
                <w:szCs w:val="13"/>
                <w:color w:val="auto"/>
              </w:rPr>
              <w:t>$   24,870</w:t>
            </w:r>
          </w:p>
        </w:tc>
        <w:tc>
          <w:tcPr>
            <w:tcW w:w="100" w:type="dxa"/>
            <w:vAlign w:val="bottom"/>
          </w:tcPr>
          <w:p>
            <w:pPr>
              <w:spacing w:after="0"/>
              <w:rPr>
                <w:sz w:val="13"/>
                <w:szCs w:val="13"/>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595</w:t>
            </w:r>
          </w:p>
        </w:tc>
        <w:tc>
          <w:tcPr>
            <w:tcW w:w="100" w:type="dxa"/>
            <w:vAlign w:val="bottom"/>
          </w:tcPr>
          <w:p>
            <w:pPr>
              <w:spacing w:after="0"/>
              <w:rPr>
                <w:sz w:val="13"/>
                <w:szCs w:val="13"/>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(814)</w:t>
            </w:r>
          </w:p>
        </w:tc>
        <w:tc>
          <w:tcPr>
            <w:tcW w:w="120" w:type="dxa"/>
            <w:vAlign w:val="bottom"/>
          </w:tcPr>
          <w:p>
            <w:pPr>
              <w:spacing w:after="0"/>
              <w:rPr>
                <w:sz w:val="13"/>
                <w:szCs w:val="1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   24,660</w:t>
            </w:r>
          </w:p>
        </w:tc>
        <w:tc>
          <w:tcPr>
            <w:tcW w:w="100" w:type="dxa"/>
            <w:vAlign w:val="bottom"/>
          </w:tcPr>
          <w:p>
            <w:pPr>
              <w:spacing w:after="0"/>
              <w:rPr>
                <w:sz w:val="13"/>
                <w:szCs w:val="1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   23,692</w:t>
            </w:r>
          </w:p>
        </w:tc>
        <w:tc>
          <w:tcPr>
            <w:tcW w:w="100" w:type="dxa"/>
            <w:vAlign w:val="bottom"/>
          </w:tcPr>
          <w:p>
            <w:pPr>
              <w:spacing w:after="0"/>
              <w:rPr>
                <w:sz w:val="13"/>
                <w:szCs w:val="13"/>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634</w:t>
            </w:r>
          </w:p>
        </w:tc>
        <w:tc>
          <w:tcPr>
            <w:tcW w:w="100" w:type="dxa"/>
            <w:vAlign w:val="bottom"/>
          </w:tcPr>
          <w:p>
            <w:pPr>
              <w:spacing w:after="0"/>
              <w:rPr>
                <w:sz w:val="13"/>
                <w:szCs w:val="13"/>
                <w:color w:val="auto"/>
              </w:rPr>
            </w:pPr>
          </w:p>
        </w:tc>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(401)</w:t>
            </w:r>
          </w:p>
        </w:tc>
        <w:tc>
          <w:tcPr>
            <w:tcW w:w="100" w:type="dxa"/>
            <w:vAlign w:val="bottom"/>
          </w:tcPr>
          <w:p>
            <w:pPr>
              <w:spacing w:after="0"/>
              <w:rPr>
                <w:sz w:val="13"/>
                <w:szCs w:val="1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  23,929</w:t>
            </w:r>
          </w:p>
        </w:tc>
      </w:tr>
      <w:tr>
        <w:trPr>
          <w:trHeight w:val="594"/>
        </w:trPr>
        <w:tc>
          <w:tcPr>
            <w:tcW w:w="760" w:type="dxa"/>
            <w:vAlign w:val="bottom"/>
          </w:tcPr>
          <w:p>
            <w:pPr>
              <w:jc w:val="right"/>
              <w:ind w:right="57"/>
              <w:spacing w:after="0"/>
              <w:rPr>
                <w:sz w:val="20"/>
                <w:szCs w:val="20"/>
                <w:color w:val="auto"/>
              </w:rPr>
            </w:pPr>
            <w:r>
              <w:rPr>
                <w:rFonts w:ascii="Arial" w:cs="Arial" w:eastAsia="Arial" w:hAnsi="Arial"/>
                <w:sz w:val="13"/>
                <w:szCs w:val="13"/>
                <w:color w:val="auto"/>
              </w:rPr>
              <w:t>3,248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(441)</w:t>
            </w:r>
          </w:p>
        </w:tc>
        <w:tc>
          <w:tcPr>
            <w:tcW w:w="12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2,807</w:t>
            </w:r>
          </w:p>
        </w:tc>
        <w:tc>
          <w:tcPr>
            <w:tcW w:w="1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2,895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2,515</w:t>
            </w:r>
          </w:p>
        </w:tc>
      </w:tr>
      <w:tr>
        <w:trPr>
          <w:trHeight w:val="270"/>
        </w:trPr>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25,457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25,457</w:t>
            </w:r>
          </w:p>
        </w:tc>
        <w:tc>
          <w:tcPr>
            <w:tcW w:w="1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24,450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24,450</w:t>
            </w:r>
          </w:p>
        </w:tc>
      </w:tr>
      <w:tr>
        <w:trPr>
          <w:trHeight w:val="280"/>
        </w:trPr>
        <w:tc>
          <w:tcPr>
            <w:tcW w:w="760" w:type="dxa"/>
            <w:vAlign w:val="bottom"/>
          </w:tcPr>
          <w:p>
            <w:pPr>
              <w:jc w:val="right"/>
              <w:ind w:right="57"/>
              <w:spacing w:after="0"/>
              <w:rPr>
                <w:sz w:val="20"/>
                <w:szCs w:val="20"/>
                <w:color w:val="auto"/>
              </w:rPr>
            </w:pPr>
            <w:r>
              <w:rPr>
                <w:rFonts w:ascii="Arial" w:cs="Arial" w:eastAsia="Arial" w:hAnsi="Arial"/>
                <w:sz w:val="13"/>
                <w:szCs w:val="13"/>
                <w:color w:val="auto"/>
              </w:rPr>
              <w:t>22,940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4,396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27,368</w:t>
            </w:r>
          </w:p>
        </w:tc>
        <w:tc>
          <w:tcPr>
            <w:tcW w:w="1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22,518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3,452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25,996</w:t>
            </w:r>
          </w:p>
        </w:tc>
      </w:tr>
      <w:tr>
        <w:trPr>
          <w:trHeight w:val="241"/>
        </w:trPr>
        <w:tc>
          <w:tcPr>
            <w:tcW w:w="7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51,058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30,448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(1,255)</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80,292</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49,105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28,536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(781)</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76,890</w:t>
            </w:r>
          </w:p>
        </w:tc>
      </w:tr>
      <w:tr>
        <w:trPr>
          <w:trHeight w:val="810"/>
        </w:trPr>
        <w:tc>
          <w:tcPr>
            <w:tcW w:w="760" w:type="dxa"/>
            <w:vAlign w:val="bottom"/>
          </w:tcPr>
          <w:p>
            <w:pPr>
              <w:jc w:val="right"/>
              <w:ind w:right="57"/>
              <w:spacing w:after="0"/>
              <w:rPr>
                <w:sz w:val="20"/>
                <w:szCs w:val="20"/>
                <w:color w:val="auto"/>
              </w:rPr>
            </w:pPr>
            <w:r>
              <w:rPr>
                <w:rFonts w:ascii="Arial" w:cs="Arial" w:eastAsia="Arial" w:hAnsi="Arial"/>
                <w:sz w:val="13"/>
                <w:szCs w:val="13"/>
                <w:color w:val="auto"/>
              </w:rPr>
              <w:t>11,070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11,012</w:t>
            </w:r>
          </w:p>
        </w:tc>
        <w:tc>
          <w:tcPr>
            <w:tcW w:w="1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11,050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10,987</w:t>
            </w:r>
          </w:p>
        </w:tc>
      </w:tr>
      <w:tr>
        <w:trPr>
          <w:trHeight w:val="270"/>
        </w:trPr>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58,983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58,983</w:t>
            </w:r>
          </w:p>
        </w:tc>
        <w:tc>
          <w:tcPr>
            <w:tcW w:w="1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56,267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56,267</w:t>
            </w:r>
          </w:p>
        </w:tc>
      </w:tr>
      <w:tr>
        <w:trPr>
          <w:trHeight w:val="324"/>
        </w:trPr>
        <w:tc>
          <w:tcPr>
            <w:tcW w:w="760" w:type="dxa"/>
            <w:vAlign w:val="bottom"/>
          </w:tcPr>
          <w:p>
            <w:pPr>
              <w:jc w:val="right"/>
              <w:ind w:right="57"/>
              <w:spacing w:after="0"/>
              <w:rPr>
                <w:sz w:val="20"/>
                <w:szCs w:val="20"/>
                <w:color w:val="auto"/>
              </w:rPr>
            </w:pPr>
            <w:r>
              <w:rPr>
                <w:rFonts w:ascii="Arial" w:cs="Arial" w:eastAsia="Arial" w:hAnsi="Arial"/>
                <w:sz w:val="13"/>
                <w:szCs w:val="13"/>
                <w:color w:val="auto"/>
              </w:rPr>
              <w:t>5,853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5,853</w:t>
            </w:r>
          </w:p>
        </w:tc>
        <w:tc>
          <w:tcPr>
            <w:tcW w:w="1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5,998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5,998</w:t>
            </w:r>
          </w:p>
        </w:tc>
      </w:tr>
      <w:tr>
        <w:trPr>
          <w:trHeight w:val="270"/>
        </w:trPr>
        <w:tc>
          <w:tcPr>
            <w:tcW w:w="760" w:type="dxa"/>
            <w:vAlign w:val="bottom"/>
          </w:tcPr>
          <w:p>
            <w:pPr>
              <w:jc w:val="right"/>
              <w:ind w:right="57"/>
              <w:spacing w:after="0"/>
              <w:rPr>
                <w:sz w:val="20"/>
                <w:szCs w:val="20"/>
                <w:color w:val="auto"/>
              </w:rPr>
            </w:pPr>
            <w:r>
              <w:rPr>
                <w:rFonts w:ascii="Arial" w:cs="Arial" w:eastAsia="Arial" w:hAnsi="Arial"/>
                <w:sz w:val="13"/>
                <w:szCs w:val="13"/>
                <w:color w:val="auto"/>
              </w:rPr>
              <w:t>11,986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11,989</w:t>
            </w:r>
          </w:p>
        </w:tc>
        <w:tc>
          <w:tcPr>
            <w:tcW w:w="10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13,743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13,746</w:t>
            </w:r>
          </w:p>
        </w:tc>
      </w:tr>
      <w:tr>
        <w:trPr>
          <w:trHeight w:val="280"/>
        </w:trPr>
        <w:tc>
          <w:tcPr>
            <w:tcW w:w="760" w:type="dxa"/>
            <w:vAlign w:val="bottom"/>
          </w:tcPr>
          <w:p>
            <w:pPr>
              <w:jc w:val="right"/>
              <w:ind w:right="57"/>
              <w:spacing w:after="0"/>
              <w:rPr>
                <w:sz w:val="20"/>
                <w:szCs w:val="20"/>
                <w:color w:val="auto"/>
              </w:rPr>
            </w:pPr>
            <w:r>
              <w:rPr>
                <w:rFonts w:ascii="Arial" w:cs="Arial" w:eastAsia="Arial" w:hAnsi="Arial"/>
                <w:sz w:val="13"/>
                <w:szCs w:val="13"/>
                <w:color w:val="auto"/>
              </w:rPr>
              <w:t>10,037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1,819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11,876</w:t>
            </w:r>
          </w:p>
        </w:tc>
        <w:tc>
          <w:tcPr>
            <w:tcW w:w="1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10,682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1,705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12,394</w:t>
            </w:r>
          </w:p>
        </w:tc>
      </w:tr>
      <w:tr>
        <w:trPr>
          <w:trHeight w:val="250"/>
        </w:trPr>
        <w:tc>
          <w:tcPr>
            <w:tcW w:w="7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38,946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60,805</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99,713</w:t>
            </w:r>
          </w:p>
        </w:tc>
        <w:tc>
          <w:tcPr>
            <w:tcW w:w="1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41,473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57,975</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99,392</w:t>
            </w:r>
          </w:p>
        </w:tc>
      </w:tr>
      <w:tr>
        <w:trPr>
          <w:trHeight w:val="241"/>
        </w:trPr>
        <w:tc>
          <w:tcPr>
            <w:tcW w:w="760" w:type="dxa"/>
            <w:vAlign w:val="bottom"/>
          </w:tcPr>
          <w:p>
            <w:pPr>
              <w:jc w:val="right"/>
              <w:ind w:right="57"/>
              <w:spacing w:after="0"/>
              <w:rPr>
                <w:sz w:val="20"/>
                <w:szCs w:val="20"/>
                <w:color w:val="auto"/>
              </w:rPr>
            </w:pPr>
            <w:r>
              <w:rPr>
                <w:rFonts w:ascii="Arial" w:cs="Arial" w:eastAsia="Arial" w:hAnsi="Arial"/>
                <w:sz w:val="13"/>
                <w:szCs w:val="13"/>
                <w:color w:val="auto"/>
              </w:rPr>
              <w:t>90,004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ind w:right="57"/>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91,253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(1,313)</w:t>
            </w:r>
          </w:p>
        </w:tc>
        <w:tc>
          <w:tcPr>
            <w:tcW w:w="12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180,005</w:t>
            </w:r>
          </w:p>
        </w:tc>
        <w:tc>
          <w:tcPr>
            <w:tcW w:w="10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90,578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86,511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(844)</w:t>
            </w:r>
          </w:p>
        </w:tc>
        <w:tc>
          <w:tcPr>
            <w:tcW w:w="100" w:type="dxa"/>
            <w:vAlign w:val="bottom"/>
          </w:tcPr>
          <w:p>
            <w:pPr>
              <w:spacing w:after="0"/>
              <w:rPr>
                <w:sz w:val="20"/>
                <w:szCs w:val="20"/>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176,282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-2252980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-1910080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-1567180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-1224280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-881380</wp:posOffset>
            </wp:positionV>
            <wp:extent cx="724662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-503555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-160655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181610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40" w:lineRule="exact"/>
        <w:rPr>
          <w:sz w:val="20"/>
          <w:szCs w:val="20"/>
          <w:color w:val="auto"/>
        </w:rPr>
      </w:pPr>
    </w:p>
    <w:p>
      <w:pPr>
        <w:sectPr>
          <w:pgSz w:w="11900" w:h="16838" w:orient="portrait"/>
          <w:cols w:equalWidth="0" w:num="2">
            <w:col w:w="2160" w:space="40"/>
            <w:col w:w="9220"/>
          </w:cols>
          <w:pgMar w:left="240" w:top="337" w:right="239" w:bottom="453" w:gutter="0" w:footer="0" w:header="0"/>
          <w:type w:val="continuous"/>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00" w:type="dxa"/>
            <w:vAlign w:val="bottom"/>
          </w:tcPr>
          <w:p>
            <w:pPr>
              <w:ind w:left="120"/>
              <w:spacing w:after="0"/>
              <w:rPr>
                <w:sz w:val="20"/>
                <w:szCs w:val="20"/>
                <w:color w:val="auto"/>
              </w:rPr>
            </w:pPr>
            <w:r>
              <w:rPr>
                <w:rFonts w:ascii="Arial" w:cs="Arial" w:eastAsia="Arial" w:hAnsi="Arial"/>
                <w:sz w:val="13"/>
                <w:szCs w:val="13"/>
                <w:color w:val="auto"/>
              </w:rPr>
              <w:t>Common stock, $0.01 par value</w:t>
            </w:r>
          </w:p>
        </w:tc>
        <w:tc>
          <w:tcPr>
            <w:tcW w:w="14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78"/>
        </w:trPr>
        <w:tc>
          <w:tcPr>
            <w:tcW w:w="2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Preferred stock, $0.01 par value</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200" w:type="dxa"/>
            <w:vAlign w:val="bottom"/>
          </w:tcPr>
          <w:p>
            <w:pPr>
              <w:ind w:left="120"/>
              <w:spacing w:after="0"/>
              <w:rPr>
                <w:sz w:val="20"/>
                <w:szCs w:val="20"/>
                <w:color w:val="auto"/>
              </w:rPr>
            </w:pPr>
            <w:r>
              <w:rPr>
                <w:rFonts w:ascii="Arial" w:cs="Arial" w:eastAsia="Arial" w:hAnsi="Arial"/>
                <w:sz w:val="13"/>
                <w:szCs w:val="13"/>
                <w:color w:val="auto"/>
              </w:rPr>
              <w:t>Additional paid-in capital(c)</w:t>
            </w:r>
          </w:p>
        </w:tc>
        <w:tc>
          <w:tcPr>
            <w:tcW w:w="140" w:type="dxa"/>
            <w:vAlign w:val="bottom"/>
          </w:tcPr>
          <w:p>
            <w:pPr>
              <w:spacing w:after="0"/>
              <w:rPr>
                <w:sz w:val="15"/>
                <w:szCs w:val="15"/>
                <w:color w:val="auto"/>
              </w:rPr>
            </w:pPr>
          </w:p>
        </w:tc>
        <w:tc>
          <w:tcPr>
            <w:tcW w:w="620" w:type="dxa"/>
            <w:vAlign w:val="bottom"/>
            <w:vMerge w:val="restart"/>
          </w:tcPr>
          <w:p>
            <w:pPr>
              <w:jc w:val="right"/>
              <w:ind w:right="57"/>
              <w:spacing w:after="0"/>
              <w:rPr>
                <w:sz w:val="20"/>
                <w:szCs w:val="20"/>
                <w:color w:val="auto"/>
              </w:rPr>
            </w:pPr>
            <w:r>
              <w:rPr>
                <w:rFonts w:ascii="Arial" w:cs="Arial" w:eastAsia="Arial" w:hAnsi="Arial"/>
                <w:sz w:val="13"/>
                <w:szCs w:val="13"/>
                <w:color w:val="auto"/>
              </w:rPr>
              <w:t>25,465</w:t>
            </w:r>
          </w:p>
        </w:tc>
        <w:tc>
          <w:tcPr>
            <w:tcW w:w="100" w:type="dxa"/>
            <w:vAlign w:val="bottom"/>
          </w:tcPr>
          <w:p>
            <w:pPr>
              <w:spacing w:after="0"/>
              <w:rPr>
                <w:sz w:val="15"/>
                <w:szCs w:val="15"/>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955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vMerge w:val="restart"/>
          </w:tcPr>
          <w:p>
            <w:pPr>
              <w:jc w:val="right"/>
              <w:ind w:right="37"/>
              <w:spacing w:after="0"/>
              <w:rPr>
                <w:sz w:val="20"/>
                <w:szCs w:val="20"/>
                <w:color w:val="auto"/>
              </w:rPr>
            </w:pPr>
            <w:r>
              <w:rPr>
                <w:rFonts w:ascii="Arial" w:cs="Arial" w:eastAsia="Arial" w:hAnsi="Arial"/>
                <w:sz w:val="13"/>
                <w:szCs w:val="13"/>
                <w:color w:val="auto"/>
              </w:rPr>
              <w:t>(955)</w:t>
            </w:r>
          </w:p>
        </w:tc>
        <w:tc>
          <w:tcPr>
            <w:tcW w:w="120" w:type="dxa"/>
            <w:vAlign w:val="bottom"/>
          </w:tcPr>
          <w:p>
            <w:pPr>
              <w:spacing w:after="0"/>
              <w:rPr>
                <w:sz w:val="15"/>
                <w:szCs w:val="15"/>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25,465</w:t>
            </w:r>
          </w:p>
        </w:tc>
        <w:tc>
          <w:tcPr>
            <w:tcW w:w="100" w:type="dxa"/>
            <w:vAlign w:val="bottom"/>
          </w:tcPr>
          <w:p>
            <w:pPr>
              <w:spacing w:after="0"/>
              <w:rPr>
                <w:sz w:val="15"/>
                <w:szCs w:val="15"/>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25,371</w:t>
            </w:r>
          </w:p>
        </w:tc>
        <w:tc>
          <w:tcPr>
            <w:tcW w:w="100" w:type="dxa"/>
            <w:vAlign w:val="bottom"/>
          </w:tcPr>
          <w:p>
            <w:pPr>
              <w:spacing w:after="0"/>
              <w:rPr>
                <w:sz w:val="15"/>
                <w:szCs w:val="15"/>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20" w:type="dxa"/>
            <w:vAlign w:val="bottom"/>
            <w:vMerge w:val="restart"/>
          </w:tcPr>
          <w:p>
            <w:pPr>
              <w:jc w:val="right"/>
              <w:ind w:right="57"/>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25,371</w:t>
            </w: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5,790</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1,723</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11,360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18,873</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6,499</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629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10,499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17,627</w:t>
            </w: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200" w:type="dxa"/>
            <w:vAlign w:val="bottom"/>
          </w:tcPr>
          <w:p>
            <w:pPr>
              <w:ind w:left="180"/>
              <w:spacing w:after="0"/>
              <w:rPr>
                <w:sz w:val="20"/>
                <w:szCs w:val="20"/>
                <w:color w:val="auto"/>
              </w:rPr>
            </w:pPr>
            <w:r>
              <w:rPr>
                <w:rFonts w:ascii="Arial" w:cs="Arial" w:eastAsia="Arial" w:hAnsi="Arial"/>
                <w:sz w:val="13"/>
                <w:szCs w:val="13"/>
                <w:color w:val="auto"/>
                <w:w w:val="99"/>
              </w:rPr>
              <w:t>Accumulated other comprehensive</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340"/>
              <w:spacing w:after="0"/>
              <w:rPr>
                <w:sz w:val="20"/>
                <w:szCs w:val="20"/>
                <w:color w:val="auto"/>
              </w:rPr>
            </w:pPr>
            <w:r>
              <w:rPr>
                <w:rFonts w:ascii="Arial" w:cs="Arial" w:eastAsia="Arial" w:hAnsi="Arial"/>
                <w:sz w:val="13"/>
                <w:szCs w:val="13"/>
                <w:color w:val="auto"/>
              </w:rPr>
              <w:t>loss</w:t>
            </w:r>
          </w:p>
        </w:tc>
        <w:tc>
          <w:tcPr>
            <w:tcW w:w="14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(7,260)</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(911)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(8,171)</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(7,267)</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(744)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(8,011)</w:t>
            </w:r>
          </w:p>
        </w:tc>
        <w:tc>
          <w:tcPr>
            <w:tcW w:w="0" w:type="dxa"/>
            <w:vAlign w:val="bottom"/>
          </w:tcPr>
          <w:p>
            <w:pPr>
              <w:spacing w:after="0"/>
              <w:rPr>
                <w:sz w:val="1"/>
                <w:szCs w:val="1"/>
                <w:color w:val="auto"/>
              </w:rPr>
            </w:pPr>
          </w:p>
        </w:tc>
      </w:tr>
      <w:tr>
        <w:trPr>
          <w:trHeight w:val="160"/>
        </w:trPr>
        <w:tc>
          <w:tcPr>
            <w:tcW w:w="22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stockholders’ equity</w:t>
            </w: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24,009</w:t>
            </w: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1,723</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11,404</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(955)</w:t>
            </w: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36,181</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24,617</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629</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10,740</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(985)</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35,001</w:t>
            </w: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00" w:type="dxa"/>
            <w:vAlign w:val="bottom"/>
          </w:tcPr>
          <w:p>
            <w:pPr>
              <w:ind w:left="120"/>
              <w:spacing w:after="0"/>
              <w:rPr>
                <w:sz w:val="20"/>
                <w:szCs w:val="20"/>
                <w:color w:val="auto"/>
              </w:rPr>
            </w:pPr>
            <w:r>
              <w:rPr>
                <w:rFonts w:ascii="Arial" w:cs="Arial" w:eastAsia="Arial" w:hAnsi="Arial"/>
                <w:sz w:val="13"/>
                <w:szCs w:val="13"/>
                <w:color w:val="auto"/>
              </w:rPr>
              <w:t>Noncontrolling interests(c)</w:t>
            </w:r>
          </w:p>
        </w:tc>
        <w:tc>
          <w:tcPr>
            <w:tcW w:w="140" w:type="dxa"/>
            <w:vAlign w:val="bottom"/>
          </w:tcPr>
          <w:p>
            <w:pPr>
              <w:spacing w:after="0"/>
              <w:rPr>
                <w:sz w:val="15"/>
                <w:szCs w:val="15"/>
                <w:color w:val="auto"/>
              </w:rPr>
            </w:pPr>
          </w:p>
        </w:tc>
        <w:tc>
          <w:tcPr>
            <w:tcW w:w="620" w:type="dxa"/>
            <w:vAlign w:val="bottom"/>
            <w:vMerge w:val="restart"/>
          </w:tcPr>
          <w:p>
            <w:pPr>
              <w:jc w:val="right"/>
              <w:ind w:right="57"/>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5"/>
                <w:szCs w:val="15"/>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5"/>
                <w:szCs w:val="15"/>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vMerge w:val="restart"/>
          </w:tcPr>
          <w:p>
            <w:pPr>
              <w:jc w:val="right"/>
              <w:ind w:right="77"/>
              <w:spacing w:after="0"/>
              <w:rPr>
                <w:sz w:val="20"/>
                <w:szCs w:val="20"/>
                <w:color w:val="auto"/>
              </w:rPr>
            </w:pPr>
            <w:r>
              <w:rPr>
                <w:rFonts w:ascii="Arial" w:cs="Arial" w:eastAsia="Arial" w:hAnsi="Arial"/>
                <w:sz w:val="13"/>
                <w:szCs w:val="13"/>
                <w:color w:val="auto"/>
              </w:rPr>
              <w:t>955</w:t>
            </w:r>
          </w:p>
        </w:tc>
        <w:tc>
          <w:tcPr>
            <w:tcW w:w="120" w:type="dxa"/>
            <w:vAlign w:val="bottom"/>
          </w:tcPr>
          <w:p>
            <w:pPr>
              <w:spacing w:after="0"/>
              <w:rPr>
                <w:sz w:val="15"/>
                <w:szCs w:val="15"/>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2,455</w:t>
            </w:r>
          </w:p>
        </w:tc>
        <w:tc>
          <w:tcPr>
            <w:tcW w:w="100" w:type="dxa"/>
            <w:vAlign w:val="bottom"/>
          </w:tcPr>
          <w:p>
            <w:pPr>
              <w:spacing w:after="0"/>
              <w:rPr>
                <w:sz w:val="15"/>
                <w:szCs w:val="15"/>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15"/>
                <w:szCs w:val="15"/>
                <w:color w:val="auto"/>
              </w:rPr>
            </w:pP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1,199</w:t>
            </w:r>
          </w:p>
        </w:tc>
        <w:tc>
          <w:tcPr>
            <w:tcW w:w="0" w:type="dxa"/>
            <w:vAlign w:val="bottom"/>
          </w:tcPr>
          <w:p>
            <w:pPr>
              <w:spacing w:after="0"/>
              <w:rPr>
                <w:sz w:val="1"/>
                <w:szCs w:val="1"/>
                <w:color w:val="auto"/>
              </w:rPr>
            </w:pPr>
          </w:p>
        </w:tc>
      </w:tr>
      <w:tr>
        <w:trPr>
          <w:trHeight w:val="91"/>
        </w:trPr>
        <w:tc>
          <w:tcPr>
            <w:tcW w:w="22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2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Equity</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24,609</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2,623</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11,404</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38,636</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24,831</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629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10,740</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36,200</w:t>
            </w: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40"/>
              <w:spacing w:after="0"/>
              <w:rPr>
                <w:sz w:val="20"/>
                <w:szCs w:val="20"/>
                <w:color w:val="auto"/>
              </w:rPr>
            </w:pPr>
            <w:r>
              <w:rPr>
                <w:rFonts w:ascii="Arial" w:cs="Arial" w:eastAsia="Arial" w:hAnsi="Arial"/>
                <w:sz w:val="13"/>
                <w:szCs w:val="13"/>
                <w:b w:val="1"/>
                <w:bCs w:val="1"/>
                <w:color w:val="auto"/>
              </w:rPr>
              <w:t>Total Liabilities and Equity</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114,613</w:t>
            </w:r>
          </w:p>
        </w:tc>
        <w:tc>
          <w:tcPr>
            <w:tcW w:w="100" w:type="dxa"/>
            <w:vAlign w:val="bottom"/>
          </w:tcPr>
          <w:p>
            <w:pPr>
              <w:spacing w:after="0"/>
              <w:rPr>
                <w:sz w:val="13"/>
                <w:szCs w:val="13"/>
                <w:color w:val="auto"/>
              </w:rPr>
            </w:pPr>
          </w:p>
        </w:tc>
        <w:tc>
          <w:tcPr>
            <w:tcW w:w="56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w w:val="96"/>
              </w:rPr>
              <w:t>$ 2,684</w:t>
            </w:r>
          </w:p>
        </w:tc>
        <w:tc>
          <w:tcPr>
            <w:tcW w:w="100" w:type="dxa"/>
            <w:vAlign w:val="bottom"/>
          </w:tcPr>
          <w:p>
            <w:pPr>
              <w:spacing w:after="0"/>
              <w:rPr>
                <w:sz w:val="13"/>
                <w:szCs w:val="13"/>
                <w:color w:val="auto"/>
              </w:rPr>
            </w:pPr>
          </w:p>
        </w:tc>
        <w:tc>
          <w:tcPr>
            <w:tcW w:w="68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w w:val="93"/>
              </w:rPr>
              <w:t>$ 102,657</w:t>
            </w:r>
          </w:p>
        </w:tc>
        <w:tc>
          <w:tcPr>
            <w:tcW w:w="100" w:type="dxa"/>
            <w:vAlign w:val="bottom"/>
          </w:tcPr>
          <w:p>
            <w:pPr>
              <w:spacing w:after="0"/>
              <w:rPr>
                <w:sz w:val="13"/>
                <w:szCs w:val="13"/>
                <w:color w:val="auto"/>
              </w:rPr>
            </w:pPr>
          </w:p>
        </w:tc>
        <w:tc>
          <w:tcPr>
            <w:tcW w:w="460" w:type="dxa"/>
            <w:vAlign w:val="bottom"/>
            <w:tcBorders>
              <w:top w:val="single" w:sz="8" w:color="auto"/>
            </w:tcBorders>
            <w:vMerge w:val="restart"/>
          </w:tcPr>
          <w:p>
            <w:pPr>
              <w:jc w:val="right"/>
              <w:ind w:right="29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(1,313)</w:t>
            </w:r>
          </w:p>
        </w:tc>
        <w:tc>
          <w:tcPr>
            <w:tcW w:w="12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  218,641</w:t>
            </w:r>
          </w:p>
        </w:tc>
        <w:tc>
          <w:tcPr>
            <w:tcW w:w="100" w:type="dxa"/>
            <w:vAlign w:val="bottom"/>
          </w:tcPr>
          <w:p>
            <w:pPr>
              <w:spacing w:after="0"/>
              <w:rPr>
                <w:sz w:val="13"/>
                <w:szCs w:val="13"/>
                <w:color w:val="auto"/>
              </w:rPr>
            </w:pPr>
          </w:p>
        </w:tc>
        <w:tc>
          <w:tcPr>
            <w:tcW w:w="7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  115,409</w:t>
            </w:r>
          </w:p>
        </w:tc>
        <w:tc>
          <w:tcPr>
            <w:tcW w:w="100" w:type="dxa"/>
            <w:vAlign w:val="bottom"/>
          </w:tcPr>
          <w:p>
            <w:pPr>
              <w:spacing w:after="0"/>
              <w:rPr>
                <w:sz w:val="13"/>
                <w:szCs w:val="13"/>
                <w:color w:val="auto"/>
              </w:rPr>
            </w:pPr>
          </w:p>
        </w:tc>
        <w:tc>
          <w:tcPr>
            <w:tcW w:w="5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  666</w:t>
            </w:r>
          </w:p>
        </w:tc>
        <w:tc>
          <w:tcPr>
            <w:tcW w:w="12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97,251</w:t>
            </w:r>
          </w:p>
        </w:tc>
        <w:tc>
          <w:tcPr>
            <w:tcW w:w="100" w:type="dxa"/>
            <w:vAlign w:val="bottom"/>
          </w:tcPr>
          <w:p>
            <w:pPr>
              <w:spacing w:after="0"/>
              <w:rPr>
                <w:sz w:val="13"/>
                <w:szCs w:val="13"/>
                <w:color w:val="auto"/>
              </w:rPr>
            </w:pPr>
          </w:p>
        </w:tc>
        <w:tc>
          <w:tcPr>
            <w:tcW w:w="520" w:type="dxa"/>
            <w:vAlign w:val="bottom"/>
            <w:tcBorders>
              <w:top w:val="single" w:sz="8" w:color="auto"/>
            </w:tcBorders>
            <w:vMerge w:val="restart"/>
          </w:tcPr>
          <w:p>
            <w:pPr>
              <w:jc w:val="right"/>
              <w:ind w:right="35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(844)</w:t>
            </w:r>
          </w:p>
        </w:tc>
        <w:tc>
          <w:tcPr>
            <w:tcW w:w="100" w:type="dxa"/>
            <w:vAlign w:val="bottom"/>
          </w:tcPr>
          <w:p>
            <w:pPr>
              <w:spacing w:after="0"/>
              <w:rPr>
                <w:sz w:val="13"/>
                <w:szCs w:val="13"/>
                <w:color w:val="auto"/>
              </w:rPr>
            </w:pPr>
          </w:p>
        </w:tc>
        <w:tc>
          <w:tcPr>
            <w:tcW w:w="6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96"/>
              </w:rPr>
              <w:t>$ 212,482</w:t>
            </w: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10160</wp:posOffset>
            </wp:positionV>
            <wp:extent cx="585724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57240" cy="2603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ind w:left="340" w:hanging="332"/>
        <w:spacing w:after="0" w:line="230" w:lineRule="auto"/>
        <w:tabs>
          <w:tab w:leader="none" w:pos="3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Eliminations include GM Financial accounts receivable of $736 million offset by Automotive accounts payable and Automotive accounts receivable of $76 million offset by GM Financial accounts payable at June 30, 2018 and GM Financial accounts receivable of $309 million offset by Automotive accounts payable and Automotive accounts receivable of $92 million offset by GM Financial accounts payable at December 31, 2017.</w:t>
      </w:r>
    </w:p>
    <w:p>
      <w:pPr>
        <w:ind w:left="340" w:hanging="332"/>
        <w:spacing w:after="0" w:line="230" w:lineRule="auto"/>
        <w:tabs>
          <w:tab w:leader="none" w:pos="3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Eliminations include GM Financial loan receivable of $499 million and $443 million offset by an Automotive loan payable at June 30, 2018 and December 31, 2017.</w:t>
      </w:r>
    </w:p>
    <w:p>
      <w:pPr>
        <w:ind w:left="340" w:hanging="332"/>
        <w:spacing w:after="0"/>
        <w:tabs>
          <w:tab w:leader="none" w:pos="3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Reclassification of GM Financial Cumulative Perpetual Preferred Stock, Series A. The preferred stock is classified as noncontrolling interests in our condensed consolidated balance sheet.</w:t>
      </w:r>
    </w:p>
    <w:p>
      <w:pPr>
        <w:sectPr>
          <w:pgSz w:w="11900" w:h="16838" w:orient="portrait"/>
          <w:cols w:equalWidth="0" w:num="1">
            <w:col w:w="11420"/>
          </w:cols>
          <w:pgMar w:left="240" w:top="337" w:right="239" w:bottom="453" w:gutter="0" w:footer="0" w:header="0"/>
          <w:type w:val="continuous"/>
        </w:sectPr>
      </w:pPr>
    </w:p>
    <w:bookmarkStart w:id="20" w:name="page21"/>
    <w:bookmarkEnd w:id="20"/>
    <w:p>
      <w:pPr>
        <w:ind w:left="51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763" w:right="1440" w:bottom="1440" w:gutter="0" w:footer="0" w:header="0"/>
        </w:sectPr>
      </w:pPr>
    </w:p>
    <w:bookmarkStart w:id="21" w:name="page22"/>
    <w:bookmarkEnd w:id="21"/>
    <w:p>
      <w:pPr>
        <w:jc w:val="center"/>
        <w:ind w:right="-11"/>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Combining Cash Flow Information</w:t>
      </w:r>
    </w:p>
    <w:p>
      <w:pPr>
        <w:spacing w:after="0" w:line="25" w:lineRule="exact"/>
        <w:rPr>
          <w:sz w:val="20"/>
          <w:szCs w:val="20"/>
          <w:color w:val="auto"/>
        </w:rPr>
      </w:pPr>
    </w:p>
    <w:p>
      <w:pPr>
        <w:jc w:val="center"/>
        <w:ind w:right="-11"/>
        <w:spacing w:after="0"/>
        <w:rPr>
          <w:sz w:val="20"/>
          <w:szCs w:val="20"/>
          <w:color w:val="auto"/>
        </w:rPr>
      </w:pPr>
      <w:r>
        <w:rPr>
          <w:rFonts w:ascii="Arial" w:cs="Arial" w:eastAsia="Arial" w:hAnsi="Arial"/>
          <w:sz w:val="16"/>
          <w:szCs w:val="16"/>
          <w:i w:val="1"/>
          <w:iCs w:val="1"/>
          <w:color w:val="auto"/>
        </w:rPr>
        <w:t>(In millions) (Unaudited)</w:t>
      </w:r>
    </w:p>
    <w:p>
      <w:pPr>
        <w:spacing w:after="0" w:line="276" w:lineRule="exact"/>
        <w:rPr>
          <w:sz w:val="20"/>
          <w:szCs w:val="20"/>
          <w:color w:val="auto"/>
        </w:rPr>
      </w:pPr>
    </w:p>
    <w:tbl>
      <w:tblPr>
        <w:tblLayout w:type="fixed"/>
        <w:tblInd w:w="2792" w:type="dxa"/>
        <w:tblCellMar>
          <w:top w:w="0" w:type="dxa"/>
          <w:left w:w="0" w:type="dxa"/>
          <w:bottom w:w="0" w:type="dxa"/>
          <w:right w:w="0" w:type="dxa"/>
        </w:tblCellMar>
      </w:tblPr>
      <w:tr>
        <w:trPr>
          <w:trHeight w:val="125"/>
        </w:trPr>
        <w:tc>
          <w:tcPr>
            <w:tcW w:w="7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b w:val="1"/>
                <w:bCs w:val="1"/>
                <w:color w:val="auto"/>
              </w:rPr>
              <w:t>Six Months Ended June 30, 2018</w:t>
            </w: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2"/>
          </w:tcPr>
          <w:p>
            <w:pPr>
              <w:ind w:left="100"/>
              <w:spacing w:after="0"/>
              <w:rPr>
                <w:sz w:val="20"/>
                <w:szCs w:val="20"/>
                <w:color w:val="auto"/>
              </w:rPr>
            </w:pPr>
            <w:r>
              <w:rPr>
                <w:rFonts w:ascii="Arial" w:cs="Arial" w:eastAsia="Arial" w:hAnsi="Arial"/>
                <w:sz w:val="9"/>
                <w:szCs w:val="9"/>
                <w:b w:val="1"/>
                <w:bCs w:val="1"/>
                <w:color w:val="auto"/>
              </w:rPr>
              <w:t>Six Months Ended June 30, 2017</w:t>
            </w:r>
          </w:p>
        </w:tc>
        <w:tc>
          <w:tcPr>
            <w:tcW w:w="660" w:type="dxa"/>
            <w:vAlign w:val="bottom"/>
            <w:tcBorders>
              <w:bottom w:val="single" w:sz="8" w:color="auto"/>
            </w:tcBorders>
          </w:tcPr>
          <w:p>
            <w:pPr>
              <w:spacing w:after="0"/>
              <w:rPr>
                <w:sz w:val="10"/>
                <w:szCs w:val="10"/>
                <w:color w:val="auto"/>
              </w:rPr>
            </w:pPr>
          </w:p>
        </w:tc>
      </w:tr>
      <w:tr>
        <w:trPr>
          <w:trHeight w:val="256"/>
        </w:trPr>
        <w:tc>
          <w:tcPr>
            <w:tcW w:w="700" w:type="dxa"/>
            <w:vAlign w:val="bottom"/>
          </w:tcPr>
          <w:p>
            <w:pPr>
              <w:ind w:left="80"/>
              <w:spacing w:after="0"/>
              <w:rPr>
                <w:sz w:val="20"/>
                <w:szCs w:val="20"/>
                <w:color w:val="auto"/>
              </w:rPr>
            </w:pPr>
            <w:r>
              <w:rPr>
                <w:rFonts w:ascii="Arial" w:cs="Arial" w:eastAsia="Arial" w:hAnsi="Arial"/>
                <w:sz w:val="9"/>
                <w:szCs w:val="9"/>
                <w:b w:val="1"/>
                <w:bCs w:val="1"/>
                <w:color w:val="auto"/>
              </w:rPr>
              <w:t>Automotive</w:t>
            </w: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GM Cruise</w:t>
            </w:r>
          </w:p>
        </w:tc>
        <w:tc>
          <w:tcPr>
            <w:tcW w:w="780" w:type="dxa"/>
            <w:vAlign w:val="bottom"/>
          </w:tcPr>
          <w:p>
            <w:pPr>
              <w:ind w:left="120"/>
              <w:spacing w:after="0"/>
              <w:rPr>
                <w:sz w:val="20"/>
                <w:szCs w:val="20"/>
                <w:color w:val="auto"/>
              </w:rPr>
            </w:pPr>
            <w:r>
              <w:rPr>
                <w:rFonts w:ascii="Arial" w:cs="Arial" w:eastAsia="Arial" w:hAnsi="Arial"/>
                <w:sz w:val="9"/>
                <w:szCs w:val="9"/>
                <w:b w:val="1"/>
                <w:bCs w:val="1"/>
                <w:color w:val="auto"/>
              </w:rPr>
              <w:t>GM Financial</w:t>
            </w:r>
          </w:p>
        </w:tc>
        <w:tc>
          <w:tcPr>
            <w:tcW w:w="1460" w:type="dxa"/>
            <w:vAlign w:val="bottom"/>
          </w:tcPr>
          <w:p>
            <w:pPr>
              <w:ind w:left="100"/>
              <w:spacing w:after="0"/>
              <w:rPr>
                <w:sz w:val="20"/>
                <w:szCs w:val="20"/>
                <w:color w:val="auto"/>
              </w:rPr>
            </w:pPr>
            <w:r>
              <w:rPr>
                <w:rFonts w:ascii="Arial" w:cs="Arial" w:eastAsia="Arial" w:hAnsi="Arial"/>
                <w:sz w:val="9"/>
                <w:szCs w:val="9"/>
                <w:b w:val="1"/>
                <w:bCs w:val="1"/>
                <w:color w:val="auto"/>
              </w:rPr>
              <w:t>Reclassification/Eliminations</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Combined</w:t>
            </w:r>
          </w:p>
        </w:tc>
        <w:tc>
          <w:tcPr>
            <w:tcW w:w="700" w:type="dxa"/>
            <w:vAlign w:val="bottom"/>
          </w:tcPr>
          <w:p>
            <w:pPr>
              <w:ind w:left="80"/>
              <w:spacing w:after="0"/>
              <w:rPr>
                <w:sz w:val="20"/>
                <w:szCs w:val="20"/>
                <w:color w:val="auto"/>
              </w:rPr>
            </w:pPr>
            <w:r>
              <w:rPr>
                <w:rFonts w:ascii="Arial" w:cs="Arial" w:eastAsia="Arial" w:hAnsi="Arial"/>
                <w:sz w:val="9"/>
                <w:szCs w:val="9"/>
                <w:b w:val="1"/>
                <w:bCs w:val="1"/>
                <w:color w:val="auto"/>
              </w:rPr>
              <w:t>Automotive</w:t>
            </w: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GM Cruise</w:t>
            </w:r>
          </w:p>
        </w:tc>
        <w:tc>
          <w:tcPr>
            <w:tcW w:w="780" w:type="dxa"/>
            <w:vAlign w:val="bottom"/>
          </w:tcPr>
          <w:p>
            <w:pPr>
              <w:ind w:left="120"/>
              <w:spacing w:after="0"/>
              <w:rPr>
                <w:sz w:val="20"/>
                <w:szCs w:val="20"/>
                <w:color w:val="auto"/>
              </w:rPr>
            </w:pPr>
            <w:r>
              <w:rPr>
                <w:rFonts w:ascii="Arial" w:cs="Arial" w:eastAsia="Arial" w:hAnsi="Arial"/>
                <w:sz w:val="9"/>
                <w:szCs w:val="9"/>
                <w:b w:val="1"/>
                <w:bCs w:val="1"/>
                <w:color w:val="auto"/>
              </w:rPr>
              <w:t>GM Financial</w:t>
            </w:r>
          </w:p>
        </w:tc>
        <w:tc>
          <w:tcPr>
            <w:tcW w:w="1460" w:type="dxa"/>
            <w:vAlign w:val="bottom"/>
          </w:tcPr>
          <w:p>
            <w:pPr>
              <w:ind w:left="100"/>
              <w:spacing w:after="0"/>
              <w:rPr>
                <w:sz w:val="20"/>
                <w:szCs w:val="20"/>
                <w:color w:val="auto"/>
              </w:rPr>
            </w:pPr>
            <w:r>
              <w:rPr>
                <w:rFonts w:ascii="Arial" w:cs="Arial" w:eastAsia="Arial" w:hAnsi="Arial"/>
                <w:sz w:val="9"/>
                <w:szCs w:val="9"/>
                <w:b w:val="1"/>
                <w:bCs w:val="1"/>
                <w:color w:val="auto"/>
              </w:rPr>
              <w:t>Reclassification/Eliminations</w:t>
            </w: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Combined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9525</wp:posOffset>
            </wp:positionV>
            <wp:extent cx="5471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ind w:left="32"/>
        <w:spacing w:after="0"/>
        <w:rPr>
          <w:sz w:val="20"/>
          <w:szCs w:val="20"/>
          <w:color w:val="auto"/>
        </w:rPr>
      </w:pPr>
      <w:r>
        <w:rPr>
          <w:rFonts w:ascii="Arial" w:cs="Arial" w:eastAsia="Arial" w:hAnsi="Arial"/>
          <w:sz w:val="13"/>
          <w:szCs w:val="13"/>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12"/>
          </w:cols>
          <w:pgMar w:left="248" w:top="337" w:right="239" w:bottom="228" w:gutter="0" w:footer="0" w:header="0"/>
        </w:sectPr>
      </w:pPr>
    </w:p>
    <w:p>
      <w:pPr>
        <w:spacing w:after="0" w:line="150" w:lineRule="exact"/>
        <w:rPr>
          <w:sz w:val="20"/>
          <w:szCs w:val="20"/>
          <w:color w:val="auto"/>
        </w:rPr>
      </w:pPr>
    </w:p>
    <w:p>
      <w:pPr>
        <w:ind w:left="172"/>
        <w:spacing w:after="0"/>
        <w:rPr>
          <w:sz w:val="20"/>
          <w:szCs w:val="20"/>
          <w:color w:val="auto"/>
        </w:rPr>
      </w:pPr>
      <w:r>
        <w:rPr>
          <w:rFonts w:ascii="Arial" w:cs="Arial" w:eastAsia="Arial" w:hAnsi="Arial"/>
          <w:sz w:val="13"/>
          <w:szCs w:val="13"/>
          <w:color w:val="auto"/>
        </w:rPr>
        <w:t>Income (loss) from continuing operations</w:t>
      </w:r>
    </w:p>
    <w:p>
      <w:pPr>
        <w:spacing w:after="0" w:line="121" w:lineRule="exact"/>
        <w:rPr>
          <w:sz w:val="20"/>
          <w:szCs w:val="20"/>
          <w:color w:val="auto"/>
        </w:rPr>
      </w:pPr>
    </w:p>
    <w:p>
      <w:pPr>
        <w:ind w:left="332" w:right="20" w:hanging="161"/>
        <w:spacing w:after="0" w:line="230" w:lineRule="auto"/>
        <w:rPr>
          <w:sz w:val="20"/>
          <w:szCs w:val="20"/>
          <w:color w:val="auto"/>
        </w:rPr>
      </w:pPr>
      <w:r>
        <w:rPr>
          <w:rFonts w:ascii="Arial" w:cs="Arial" w:eastAsia="Arial" w:hAnsi="Arial"/>
          <w:sz w:val="13"/>
          <w:szCs w:val="13"/>
          <w:color w:val="auto"/>
        </w:rPr>
        <w:t>Depreciation and impairment of Equipment on operating leases, net</w:t>
      </w:r>
    </w:p>
    <w:p>
      <w:pPr>
        <w:spacing w:after="0" w:line="38" w:lineRule="exact"/>
        <w:rPr>
          <w:sz w:val="20"/>
          <w:szCs w:val="20"/>
          <w:color w:val="auto"/>
        </w:rPr>
      </w:pPr>
    </w:p>
    <w:p>
      <w:pPr>
        <w:ind w:left="332" w:right="220" w:hanging="161"/>
        <w:spacing w:after="0" w:line="230" w:lineRule="auto"/>
        <w:rPr>
          <w:sz w:val="20"/>
          <w:szCs w:val="20"/>
          <w:color w:val="auto"/>
        </w:rPr>
      </w:pPr>
      <w:r>
        <w:rPr>
          <w:rFonts w:ascii="Arial" w:cs="Arial" w:eastAsia="Arial" w:hAnsi="Arial"/>
          <w:sz w:val="13"/>
          <w:szCs w:val="13"/>
          <w:color w:val="auto"/>
        </w:rPr>
        <w:t>Depreciation, amortization and impairment charges on Property, net</w:t>
      </w:r>
    </w:p>
    <w:p>
      <w:pPr>
        <w:spacing w:after="0" w:line="38" w:lineRule="exact"/>
        <w:rPr>
          <w:sz w:val="20"/>
          <w:szCs w:val="20"/>
          <w:color w:val="auto"/>
        </w:rPr>
      </w:pPr>
    </w:p>
    <w:p>
      <w:pPr>
        <w:ind w:left="332" w:right="480" w:hanging="161"/>
        <w:spacing w:after="0" w:line="230" w:lineRule="auto"/>
        <w:rPr>
          <w:sz w:val="20"/>
          <w:szCs w:val="20"/>
          <w:color w:val="auto"/>
        </w:rPr>
      </w:pPr>
      <w:r>
        <w:rPr>
          <w:rFonts w:ascii="Arial" w:cs="Arial" w:eastAsia="Arial" w:hAnsi="Arial"/>
          <w:sz w:val="13"/>
          <w:szCs w:val="13"/>
          <w:color w:val="auto"/>
        </w:rPr>
        <w:t>Foreign currency remeasurement and transaction losses</w:t>
      </w:r>
    </w:p>
    <w:p>
      <w:pPr>
        <w:spacing w:after="0" w:line="38" w:lineRule="exact"/>
        <w:rPr>
          <w:sz w:val="20"/>
          <w:szCs w:val="20"/>
          <w:color w:val="auto"/>
        </w:rPr>
      </w:pPr>
    </w:p>
    <w:p>
      <w:pPr>
        <w:ind w:left="332" w:right="240" w:hanging="161"/>
        <w:spacing w:after="0" w:line="230" w:lineRule="auto"/>
        <w:rPr>
          <w:sz w:val="20"/>
          <w:szCs w:val="20"/>
          <w:color w:val="auto"/>
        </w:rPr>
      </w:pPr>
      <w:r>
        <w:rPr>
          <w:rFonts w:ascii="Arial" w:cs="Arial" w:eastAsia="Arial" w:hAnsi="Arial"/>
          <w:sz w:val="13"/>
          <w:szCs w:val="13"/>
          <w:color w:val="auto"/>
        </w:rPr>
        <w:t>Undistributed earnings of nonconsolidated affiliates, net</w:t>
      </w:r>
    </w:p>
    <w:p>
      <w:pPr>
        <w:spacing w:after="0" w:line="38" w:lineRule="exact"/>
        <w:rPr>
          <w:sz w:val="20"/>
          <w:szCs w:val="20"/>
          <w:color w:val="auto"/>
        </w:rPr>
      </w:pPr>
    </w:p>
    <w:p>
      <w:pPr>
        <w:ind w:left="172"/>
        <w:spacing w:after="0"/>
        <w:rPr>
          <w:sz w:val="20"/>
          <w:szCs w:val="20"/>
          <w:color w:val="auto"/>
        </w:rPr>
      </w:pPr>
      <w:r>
        <w:rPr>
          <w:rFonts w:ascii="Arial" w:cs="Arial" w:eastAsia="Arial" w:hAnsi="Arial"/>
          <w:sz w:val="13"/>
          <w:szCs w:val="13"/>
          <w:color w:val="auto"/>
        </w:rPr>
        <w:t>Pension contributions and OPEB payments</w:t>
      </w:r>
    </w:p>
    <w:p>
      <w:pPr>
        <w:spacing w:after="0" w:line="121" w:lineRule="exact"/>
        <w:rPr>
          <w:sz w:val="20"/>
          <w:szCs w:val="20"/>
          <w:color w:val="auto"/>
        </w:rPr>
      </w:pPr>
    </w:p>
    <w:p>
      <w:pPr>
        <w:ind w:left="172"/>
        <w:spacing w:after="0"/>
        <w:rPr>
          <w:sz w:val="20"/>
          <w:szCs w:val="20"/>
          <w:color w:val="auto"/>
        </w:rPr>
      </w:pPr>
      <w:r>
        <w:rPr>
          <w:rFonts w:ascii="Arial" w:cs="Arial" w:eastAsia="Arial" w:hAnsi="Arial"/>
          <w:sz w:val="13"/>
          <w:szCs w:val="13"/>
          <w:color w:val="auto"/>
        </w:rPr>
        <w:t>Pension and OPEB income, net</w:t>
      </w:r>
    </w:p>
    <w:p>
      <w:pPr>
        <w:spacing w:after="0" w:line="121" w:lineRule="exact"/>
        <w:rPr>
          <w:sz w:val="20"/>
          <w:szCs w:val="20"/>
          <w:color w:val="auto"/>
        </w:rPr>
      </w:pPr>
    </w:p>
    <w:p>
      <w:pPr>
        <w:ind w:left="172"/>
        <w:spacing w:after="0"/>
        <w:rPr>
          <w:sz w:val="20"/>
          <w:szCs w:val="20"/>
          <w:color w:val="auto"/>
        </w:rPr>
      </w:pPr>
      <w:r>
        <w:rPr>
          <w:rFonts w:ascii="Arial" w:cs="Arial" w:eastAsia="Arial" w:hAnsi="Arial"/>
          <w:sz w:val="13"/>
          <w:szCs w:val="13"/>
          <w:color w:val="auto"/>
        </w:rPr>
        <w:t>Provision for deferred taxes</w:t>
      </w:r>
    </w:p>
    <w:p>
      <w:pPr>
        <w:spacing w:after="0" w:line="121" w:lineRule="exact"/>
        <w:rPr>
          <w:sz w:val="20"/>
          <w:szCs w:val="20"/>
          <w:color w:val="auto"/>
        </w:rPr>
      </w:pPr>
    </w:p>
    <w:p>
      <w:pPr>
        <w:ind w:left="332" w:right="480" w:hanging="161"/>
        <w:spacing w:after="0" w:line="230" w:lineRule="auto"/>
        <w:rPr>
          <w:sz w:val="20"/>
          <w:szCs w:val="20"/>
          <w:color w:val="auto"/>
        </w:rPr>
      </w:pPr>
      <w:r>
        <w:rPr>
          <w:rFonts w:ascii="Arial" w:cs="Arial" w:eastAsia="Arial" w:hAnsi="Arial"/>
          <w:sz w:val="13"/>
          <w:szCs w:val="13"/>
          <w:color w:val="auto"/>
        </w:rPr>
        <w:t>Change in other operating assets and liabilities(a)(b)</w:t>
      </w:r>
    </w:p>
    <w:p>
      <w:pPr>
        <w:spacing w:after="0" w:line="38" w:lineRule="exact"/>
        <w:rPr>
          <w:sz w:val="20"/>
          <w:szCs w:val="20"/>
          <w:color w:val="auto"/>
        </w:rPr>
      </w:pPr>
    </w:p>
    <w:p>
      <w:pPr>
        <w:ind w:left="332" w:right="320" w:hanging="161"/>
        <w:spacing w:after="0" w:line="259" w:lineRule="auto"/>
        <w:rPr>
          <w:sz w:val="20"/>
          <w:szCs w:val="20"/>
          <w:color w:val="auto"/>
        </w:rPr>
      </w:pPr>
      <w:r>
        <w:rPr>
          <w:rFonts w:ascii="Arial" w:cs="Arial" w:eastAsia="Arial" w:hAnsi="Arial"/>
          <w:sz w:val="12"/>
          <w:szCs w:val="12"/>
          <w:color w:val="auto"/>
        </w:rPr>
        <w:t>Net cash provided by (used in) operating activities – continuing operations</w:t>
      </w:r>
    </w:p>
    <w:p>
      <w:pPr>
        <w:spacing w:after="0" w:line="26" w:lineRule="exact"/>
        <w:rPr>
          <w:sz w:val="20"/>
          <w:szCs w:val="20"/>
          <w:color w:val="auto"/>
        </w:rPr>
      </w:pPr>
    </w:p>
    <w:p>
      <w:pPr>
        <w:ind w:left="332" w:right="220" w:hanging="161"/>
        <w:spacing w:after="0" w:line="230" w:lineRule="auto"/>
        <w:rPr>
          <w:sz w:val="20"/>
          <w:szCs w:val="20"/>
          <w:color w:val="auto"/>
        </w:rPr>
      </w:pPr>
      <w:r>
        <w:rPr>
          <w:rFonts w:ascii="Arial" w:cs="Arial" w:eastAsia="Arial" w:hAnsi="Arial"/>
          <w:sz w:val="13"/>
          <w:szCs w:val="13"/>
          <w:color w:val="auto"/>
        </w:rPr>
        <w:t>Net cash provided by operating activities – discontinued operations</w:t>
      </w:r>
    </w:p>
    <w:p>
      <w:pPr>
        <w:spacing w:after="0" w:line="22" w:lineRule="exact"/>
        <w:rPr>
          <w:sz w:val="20"/>
          <w:szCs w:val="20"/>
          <w:color w:val="auto"/>
        </w:rPr>
      </w:pPr>
    </w:p>
    <w:p>
      <w:pPr>
        <w:ind w:left="192" w:right="280" w:hanging="161"/>
        <w:spacing w:after="0" w:line="246" w:lineRule="auto"/>
        <w:rPr>
          <w:sz w:val="20"/>
          <w:szCs w:val="20"/>
          <w:color w:val="auto"/>
        </w:rPr>
      </w:pPr>
      <w:r>
        <w:rPr>
          <w:rFonts w:ascii="Arial" w:cs="Arial" w:eastAsia="Arial" w:hAnsi="Arial"/>
          <w:sz w:val="13"/>
          <w:szCs w:val="13"/>
          <w:b w:val="1"/>
          <w:bCs w:val="1"/>
          <w:color w:val="auto"/>
        </w:rPr>
        <w:t>Net cash provided by (used in) operating activities</w:t>
      </w:r>
    </w:p>
    <w:p>
      <w:pPr>
        <w:spacing w:after="0" w:line="18" w:lineRule="exact"/>
        <w:rPr>
          <w:sz w:val="20"/>
          <w:szCs w:val="20"/>
          <w:color w:val="auto"/>
        </w:rPr>
      </w:pPr>
    </w:p>
    <w:p>
      <w:pPr>
        <w:ind w:left="32"/>
        <w:spacing w:after="0"/>
        <w:rPr>
          <w:sz w:val="20"/>
          <w:szCs w:val="20"/>
          <w:color w:val="auto"/>
        </w:rPr>
      </w:pPr>
      <w:r>
        <w:rPr>
          <w:rFonts w:ascii="Arial" w:cs="Arial" w:eastAsia="Arial" w:hAnsi="Arial"/>
          <w:sz w:val="13"/>
          <w:szCs w:val="13"/>
          <w:b w:val="1"/>
          <w:bCs w:val="1"/>
          <w:color w:val="auto"/>
        </w:rPr>
        <w:t>Cash flows from investing activities</w:t>
      </w:r>
    </w:p>
    <w:p>
      <w:pPr>
        <w:spacing w:after="0" w:line="137" w:lineRule="exact"/>
        <w:rPr>
          <w:sz w:val="20"/>
          <w:szCs w:val="20"/>
          <w:color w:val="auto"/>
        </w:rPr>
      </w:pPr>
    </w:p>
    <w:p>
      <w:pPr>
        <w:ind w:left="172"/>
        <w:spacing w:after="0"/>
        <w:rPr>
          <w:sz w:val="20"/>
          <w:szCs w:val="20"/>
          <w:color w:val="auto"/>
        </w:rPr>
      </w:pPr>
      <w:r>
        <w:rPr>
          <w:rFonts w:ascii="Arial" w:cs="Arial" w:eastAsia="Arial" w:hAnsi="Arial"/>
          <w:sz w:val="13"/>
          <w:szCs w:val="13"/>
          <w:color w:val="auto"/>
        </w:rPr>
        <w:t>Expenditures for property</w:t>
      </w:r>
    </w:p>
    <w:p>
      <w:pPr>
        <w:spacing w:after="0" w:line="121" w:lineRule="exact"/>
        <w:rPr>
          <w:sz w:val="20"/>
          <w:szCs w:val="20"/>
          <w:color w:val="auto"/>
        </w:rPr>
      </w:pPr>
    </w:p>
    <w:p>
      <w:pPr>
        <w:ind w:left="332" w:right="360" w:hanging="161"/>
        <w:spacing w:after="0" w:line="230" w:lineRule="auto"/>
        <w:rPr>
          <w:sz w:val="20"/>
          <w:szCs w:val="20"/>
          <w:color w:val="auto"/>
        </w:rPr>
      </w:pPr>
      <w:r>
        <w:rPr>
          <w:rFonts w:ascii="Arial" w:cs="Arial" w:eastAsia="Arial" w:hAnsi="Arial"/>
          <w:sz w:val="13"/>
          <w:szCs w:val="13"/>
          <w:color w:val="auto"/>
        </w:rPr>
        <w:t>Available-for-sale marketable securities, acquisitions</w:t>
      </w:r>
    </w:p>
    <w:p>
      <w:pPr>
        <w:spacing w:after="0" w:line="38" w:lineRule="exact"/>
        <w:rPr>
          <w:sz w:val="20"/>
          <w:szCs w:val="20"/>
          <w:color w:val="auto"/>
        </w:rPr>
      </w:pPr>
    </w:p>
    <w:p>
      <w:pPr>
        <w:ind w:left="332" w:right="360" w:hanging="161"/>
        <w:spacing w:after="0" w:line="230" w:lineRule="auto"/>
        <w:rPr>
          <w:sz w:val="20"/>
          <w:szCs w:val="20"/>
          <w:color w:val="auto"/>
        </w:rPr>
      </w:pPr>
      <w:r>
        <w:rPr>
          <w:rFonts w:ascii="Arial" w:cs="Arial" w:eastAsia="Arial" w:hAnsi="Arial"/>
          <w:sz w:val="13"/>
          <w:szCs w:val="13"/>
          <w:color w:val="auto"/>
        </w:rPr>
        <w:t>Available-for-sale marketable securities, liquidations</w:t>
      </w:r>
    </w:p>
    <w:p>
      <w:pPr>
        <w:spacing w:after="0" w:line="38" w:lineRule="exact"/>
        <w:rPr>
          <w:sz w:val="20"/>
          <w:szCs w:val="20"/>
          <w:color w:val="auto"/>
        </w:rPr>
      </w:pPr>
    </w:p>
    <w:p>
      <w:pPr>
        <w:ind w:left="172"/>
        <w:spacing w:after="0"/>
        <w:rPr>
          <w:sz w:val="20"/>
          <w:szCs w:val="20"/>
          <w:color w:val="auto"/>
        </w:rPr>
      </w:pPr>
      <w:r>
        <w:rPr>
          <w:rFonts w:ascii="Arial" w:cs="Arial" w:eastAsia="Arial" w:hAnsi="Arial"/>
          <w:sz w:val="13"/>
          <w:szCs w:val="13"/>
          <w:color w:val="auto"/>
        </w:rPr>
        <w:t>Purchases of finance receivables, net(a)(b)</w:t>
      </w:r>
    </w:p>
    <w:p>
      <w:pPr>
        <w:spacing w:after="0" w:line="121" w:lineRule="exact"/>
        <w:rPr>
          <w:sz w:val="20"/>
          <w:szCs w:val="20"/>
          <w:color w:val="auto"/>
        </w:rPr>
      </w:pPr>
    </w:p>
    <w:p>
      <w:pPr>
        <w:ind w:left="332" w:hanging="161"/>
        <w:spacing w:after="0" w:line="230" w:lineRule="auto"/>
        <w:rPr>
          <w:sz w:val="20"/>
          <w:szCs w:val="20"/>
          <w:color w:val="auto"/>
        </w:rPr>
      </w:pPr>
      <w:r>
        <w:rPr>
          <w:rFonts w:ascii="Arial" w:cs="Arial" w:eastAsia="Arial" w:hAnsi="Arial"/>
          <w:sz w:val="13"/>
          <w:szCs w:val="13"/>
          <w:color w:val="auto"/>
        </w:rPr>
        <w:t>Principal collections and recoveries on finance receivables(b)</w:t>
      </w:r>
    </w:p>
    <w:p>
      <w:pPr>
        <w:spacing w:after="0" w:line="38" w:lineRule="exact"/>
        <w:rPr>
          <w:sz w:val="20"/>
          <w:szCs w:val="20"/>
          <w:color w:val="auto"/>
        </w:rPr>
      </w:pPr>
    </w:p>
    <w:p>
      <w:pPr>
        <w:ind w:left="172"/>
        <w:spacing w:after="0"/>
        <w:rPr>
          <w:sz w:val="20"/>
          <w:szCs w:val="20"/>
          <w:color w:val="auto"/>
        </w:rPr>
      </w:pPr>
      <w:r>
        <w:rPr>
          <w:rFonts w:ascii="Arial" w:cs="Arial" w:eastAsia="Arial" w:hAnsi="Arial"/>
          <w:sz w:val="13"/>
          <w:szCs w:val="13"/>
          <w:color w:val="auto"/>
        </w:rPr>
        <w:t>Purchases of leased vehicles, net</w:t>
      </w:r>
    </w:p>
    <w:p>
      <w:pPr>
        <w:spacing w:after="0" w:line="121" w:lineRule="exact"/>
        <w:rPr>
          <w:sz w:val="20"/>
          <w:szCs w:val="20"/>
          <w:color w:val="auto"/>
        </w:rPr>
      </w:pPr>
    </w:p>
    <w:p>
      <w:pPr>
        <w:ind w:left="172"/>
        <w:spacing w:after="0"/>
        <w:rPr>
          <w:sz w:val="20"/>
          <w:szCs w:val="20"/>
          <w:color w:val="auto"/>
        </w:rPr>
      </w:pPr>
      <w:r>
        <w:rPr>
          <w:rFonts w:ascii="Arial" w:cs="Arial" w:eastAsia="Arial" w:hAnsi="Arial"/>
          <w:sz w:val="12"/>
          <w:szCs w:val="12"/>
          <w:color w:val="auto"/>
        </w:rPr>
        <w:t>Proceeds from termination of leased vehicles</w:t>
      </w:r>
    </w:p>
    <w:p>
      <w:pPr>
        <w:spacing w:after="0" w:line="132" w:lineRule="exact"/>
        <w:rPr>
          <w:sz w:val="20"/>
          <w:szCs w:val="20"/>
          <w:color w:val="auto"/>
        </w:rPr>
      </w:pPr>
    </w:p>
    <w:p>
      <w:pPr>
        <w:ind w:left="172"/>
        <w:spacing w:after="0"/>
        <w:rPr>
          <w:sz w:val="20"/>
          <w:szCs w:val="20"/>
          <w:color w:val="auto"/>
        </w:rPr>
      </w:pPr>
      <w:r>
        <w:rPr>
          <w:rFonts w:ascii="Arial" w:cs="Arial" w:eastAsia="Arial" w:hAnsi="Arial"/>
          <w:sz w:val="13"/>
          <w:szCs w:val="13"/>
          <w:color w:val="auto"/>
        </w:rPr>
        <w:t>Other investing activities(c)</w:t>
      </w:r>
    </w:p>
    <w:p>
      <w:pPr>
        <w:spacing w:after="0" w:line="121" w:lineRule="exact"/>
        <w:rPr>
          <w:sz w:val="20"/>
          <w:szCs w:val="20"/>
          <w:color w:val="auto"/>
        </w:rPr>
      </w:pPr>
    </w:p>
    <w:p>
      <w:pPr>
        <w:ind w:left="332" w:right="500" w:hanging="161"/>
        <w:spacing w:after="0" w:line="230" w:lineRule="auto"/>
        <w:rPr>
          <w:sz w:val="20"/>
          <w:szCs w:val="20"/>
          <w:color w:val="auto"/>
        </w:rPr>
      </w:pPr>
      <w:r>
        <w:rPr>
          <w:rFonts w:ascii="Arial" w:cs="Arial" w:eastAsia="Arial" w:hAnsi="Arial"/>
          <w:sz w:val="13"/>
          <w:szCs w:val="13"/>
          <w:color w:val="auto"/>
        </w:rPr>
        <w:t>Net cash used in investing activities – continuing operations</w:t>
      </w:r>
    </w:p>
    <w:p>
      <w:pPr>
        <w:spacing w:after="0" w:line="38" w:lineRule="exact"/>
        <w:rPr>
          <w:sz w:val="20"/>
          <w:szCs w:val="20"/>
          <w:color w:val="auto"/>
        </w:rPr>
      </w:pPr>
    </w:p>
    <w:p>
      <w:pPr>
        <w:ind w:left="332" w:right="340" w:hanging="161"/>
        <w:spacing w:after="0" w:line="259" w:lineRule="auto"/>
        <w:rPr>
          <w:sz w:val="20"/>
          <w:szCs w:val="20"/>
          <w:color w:val="auto"/>
        </w:rPr>
      </w:pPr>
      <w:r>
        <w:rPr>
          <w:rFonts w:ascii="Arial" w:cs="Arial" w:eastAsia="Arial" w:hAnsi="Arial"/>
          <w:sz w:val="12"/>
          <w:szCs w:val="12"/>
          <w:color w:val="auto"/>
        </w:rPr>
        <w:t>Net cash provided by (used in) investing activities – discontinued operations</w:t>
      </w:r>
    </w:p>
    <w:p>
      <w:pPr>
        <w:spacing w:after="0" w:line="10" w:lineRule="exact"/>
        <w:rPr>
          <w:sz w:val="20"/>
          <w:szCs w:val="20"/>
          <w:color w:val="auto"/>
        </w:rPr>
      </w:pPr>
    </w:p>
    <w:p>
      <w:pPr>
        <w:ind w:left="32"/>
        <w:spacing w:after="0"/>
        <w:rPr>
          <w:sz w:val="20"/>
          <w:szCs w:val="20"/>
          <w:color w:val="auto"/>
        </w:rPr>
      </w:pPr>
      <w:r>
        <w:rPr>
          <w:rFonts w:ascii="Arial" w:cs="Arial" w:eastAsia="Arial" w:hAnsi="Arial"/>
          <w:sz w:val="13"/>
          <w:szCs w:val="13"/>
          <w:b w:val="1"/>
          <w:bCs w:val="1"/>
          <w:color w:val="auto"/>
        </w:rPr>
        <w:t>Net cash used in investing activities</w:t>
      </w:r>
    </w:p>
    <w:p>
      <w:pPr>
        <w:spacing w:after="0" w:line="121" w:lineRule="exact"/>
        <w:rPr>
          <w:sz w:val="20"/>
          <w:szCs w:val="20"/>
          <w:color w:val="auto"/>
        </w:rPr>
      </w:pPr>
    </w:p>
    <w:p>
      <w:pPr>
        <w:ind w:left="32"/>
        <w:spacing w:after="0"/>
        <w:rPr>
          <w:sz w:val="20"/>
          <w:szCs w:val="20"/>
          <w:color w:val="auto"/>
        </w:rPr>
      </w:pPr>
      <w:r>
        <w:rPr>
          <w:rFonts w:ascii="Arial" w:cs="Arial" w:eastAsia="Arial" w:hAnsi="Arial"/>
          <w:sz w:val="13"/>
          <w:szCs w:val="13"/>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660" w:type="dxa"/>
            <w:vAlign w:val="bottom"/>
          </w:tcPr>
          <w:p>
            <w:pPr>
              <w:jc w:val="right"/>
              <w:ind w:right="37"/>
              <w:spacing w:after="0"/>
              <w:rPr>
                <w:sz w:val="20"/>
                <w:szCs w:val="20"/>
                <w:color w:val="auto"/>
              </w:rPr>
            </w:pPr>
            <w:r>
              <w:rPr>
                <w:rFonts w:ascii="Arial" w:cs="Arial" w:eastAsia="Arial" w:hAnsi="Arial"/>
                <w:sz w:val="13"/>
                <w:szCs w:val="13"/>
                <w:color w:val="auto"/>
              </w:rPr>
              <w:t>$  2,973</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  (296)</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793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24"/>
        </w:trPr>
        <w:tc>
          <w:tcPr>
            <w:tcW w:w="660" w:type="dxa"/>
            <w:vAlign w:val="bottom"/>
          </w:tcPr>
          <w:p>
            <w:pPr>
              <w:jc w:val="right"/>
              <w:ind w:right="37"/>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3,621</w:t>
            </w:r>
          </w:p>
        </w:tc>
        <w:tc>
          <w:tcPr>
            <w:tcW w:w="200" w:type="dxa"/>
            <w:vAlign w:val="bottom"/>
          </w:tcPr>
          <w:p>
            <w:pPr>
              <w:spacing w:after="0"/>
              <w:rPr>
                <w:sz w:val="24"/>
                <w:szCs w:val="24"/>
                <w:color w:val="auto"/>
              </w:rPr>
            </w:pPr>
          </w:p>
        </w:tc>
      </w:tr>
      <w:tr>
        <w:trPr>
          <w:trHeight w:val="324"/>
        </w:trPr>
        <w:tc>
          <w:tcPr>
            <w:tcW w:w="660" w:type="dxa"/>
            <w:vAlign w:val="bottom"/>
          </w:tcPr>
          <w:p>
            <w:pPr>
              <w:jc w:val="right"/>
              <w:ind w:right="37"/>
              <w:spacing w:after="0"/>
              <w:rPr>
                <w:sz w:val="20"/>
                <w:szCs w:val="20"/>
                <w:color w:val="auto"/>
              </w:rPr>
            </w:pPr>
            <w:r>
              <w:rPr>
                <w:rFonts w:ascii="Arial" w:cs="Arial" w:eastAsia="Arial" w:hAnsi="Arial"/>
                <w:sz w:val="13"/>
                <w:szCs w:val="13"/>
                <w:color w:val="auto"/>
              </w:rPr>
              <w:t>2,949</w:t>
            </w: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200" w:type="dxa"/>
            <w:vAlign w:val="bottom"/>
          </w:tcPr>
          <w:p>
            <w:pPr>
              <w:spacing w:after="0"/>
              <w:rPr>
                <w:sz w:val="24"/>
                <w:szCs w:val="24"/>
                <w:color w:val="auto"/>
              </w:rPr>
            </w:pPr>
          </w:p>
        </w:tc>
      </w:tr>
      <w:tr>
        <w:trPr>
          <w:trHeight w:val="324"/>
        </w:trPr>
        <w:tc>
          <w:tcPr>
            <w:tcW w:w="660" w:type="dxa"/>
            <w:vAlign w:val="bottom"/>
          </w:tcPr>
          <w:p>
            <w:pPr>
              <w:jc w:val="right"/>
              <w:ind w:right="37"/>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200" w:type="dxa"/>
            <w:vAlign w:val="bottom"/>
          </w:tcPr>
          <w:p>
            <w:pPr>
              <w:spacing w:after="0"/>
              <w:rPr>
                <w:sz w:val="24"/>
                <w:szCs w:val="24"/>
                <w:color w:val="auto"/>
              </w:rPr>
            </w:pPr>
          </w:p>
        </w:tc>
      </w:tr>
      <w:tr>
        <w:trPr>
          <w:trHeight w:val="324"/>
        </w:trPr>
        <w:tc>
          <w:tcPr>
            <w:tcW w:w="660" w:type="dxa"/>
            <w:vAlign w:val="bottom"/>
          </w:tcPr>
          <w:p>
            <w:pPr>
              <w:jc w:val="right"/>
              <w:ind w:right="37"/>
              <w:spacing w:after="0"/>
              <w:rPr>
                <w:sz w:val="20"/>
                <w:szCs w:val="20"/>
                <w:color w:val="auto"/>
              </w:rPr>
            </w:pPr>
            <w:r>
              <w:rPr>
                <w:rFonts w:ascii="Arial" w:cs="Arial" w:eastAsia="Arial" w:hAnsi="Arial"/>
                <w:sz w:val="13"/>
                <w:szCs w:val="13"/>
                <w:color w:val="auto"/>
              </w:rPr>
              <w:t>807</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(97)</w:t>
            </w:r>
          </w:p>
        </w:tc>
        <w:tc>
          <w:tcPr>
            <w:tcW w:w="200" w:type="dxa"/>
            <w:vAlign w:val="bottom"/>
          </w:tcPr>
          <w:p>
            <w:pPr>
              <w:spacing w:after="0"/>
              <w:rPr>
                <w:sz w:val="24"/>
                <w:szCs w:val="24"/>
                <w:color w:val="auto"/>
              </w:rPr>
            </w:pPr>
          </w:p>
        </w:tc>
      </w:tr>
      <w:tr>
        <w:trPr>
          <w:trHeight w:val="270"/>
        </w:trPr>
        <w:tc>
          <w:tcPr>
            <w:tcW w:w="660" w:type="dxa"/>
            <w:vAlign w:val="bottom"/>
          </w:tcPr>
          <w:p>
            <w:pPr>
              <w:jc w:val="right"/>
              <w:spacing w:after="0"/>
              <w:rPr>
                <w:sz w:val="20"/>
                <w:szCs w:val="20"/>
                <w:color w:val="auto"/>
              </w:rPr>
            </w:pPr>
            <w:r>
              <w:rPr>
                <w:rFonts w:ascii="Arial" w:cs="Arial" w:eastAsia="Arial" w:hAnsi="Arial"/>
                <w:sz w:val="13"/>
                <w:szCs w:val="13"/>
                <w:color w:val="auto"/>
              </w:rPr>
              <w:t>(932)</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r>
      <w:tr>
        <w:trPr>
          <w:trHeight w:val="270"/>
        </w:trPr>
        <w:tc>
          <w:tcPr>
            <w:tcW w:w="660" w:type="dxa"/>
            <w:vAlign w:val="bottom"/>
          </w:tcPr>
          <w:p>
            <w:pPr>
              <w:jc w:val="right"/>
              <w:spacing w:after="0"/>
              <w:rPr>
                <w:sz w:val="20"/>
                <w:szCs w:val="20"/>
                <w:color w:val="auto"/>
              </w:rPr>
            </w:pPr>
            <w:r>
              <w:rPr>
                <w:rFonts w:ascii="Arial" w:cs="Arial" w:eastAsia="Arial" w:hAnsi="Arial"/>
                <w:sz w:val="13"/>
                <w:szCs w:val="13"/>
                <w:color w:val="auto"/>
              </w:rPr>
              <w:t>(627)</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r>
      <w:tr>
        <w:trPr>
          <w:trHeight w:val="270"/>
        </w:trPr>
        <w:tc>
          <w:tcPr>
            <w:tcW w:w="660" w:type="dxa"/>
            <w:vAlign w:val="bottom"/>
          </w:tcPr>
          <w:p>
            <w:pPr>
              <w:jc w:val="right"/>
              <w:ind w:right="37"/>
              <w:spacing w:after="0"/>
              <w:rPr>
                <w:sz w:val="20"/>
                <w:szCs w:val="20"/>
                <w:color w:val="auto"/>
              </w:rPr>
            </w:pPr>
            <w:r>
              <w:rPr>
                <w:rFonts w:ascii="Arial" w:cs="Arial" w:eastAsia="Arial" w:hAnsi="Arial"/>
                <w:sz w:val="13"/>
                <w:szCs w:val="13"/>
                <w:color w:val="auto"/>
              </w:rPr>
              <w:t>470</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142</w:t>
            </w:r>
          </w:p>
        </w:tc>
        <w:tc>
          <w:tcPr>
            <w:tcW w:w="200" w:type="dxa"/>
            <w:vAlign w:val="bottom"/>
          </w:tcPr>
          <w:p>
            <w:pPr>
              <w:spacing w:after="0"/>
              <w:rPr>
                <w:sz w:val="23"/>
                <w:szCs w:val="23"/>
                <w:color w:val="auto"/>
              </w:rPr>
            </w:pPr>
          </w:p>
        </w:tc>
      </w:tr>
      <w:tr>
        <w:trPr>
          <w:trHeight w:val="334"/>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(2,910)</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(944)</w:t>
            </w:r>
          </w:p>
        </w:tc>
        <w:tc>
          <w:tcPr>
            <w:tcW w:w="200" w:type="dxa"/>
            <w:vAlign w:val="bottom"/>
          </w:tcPr>
          <w:p>
            <w:pPr>
              <w:spacing w:after="0"/>
              <w:rPr>
                <w:sz w:val="24"/>
                <w:szCs w:val="24"/>
                <w:color w:val="auto"/>
              </w:rPr>
            </w:pPr>
          </w:p>
        </w:tc>
      </w:tr>
      <w:tr>
        <w:trPr>
          <w:trHeight w:val="295"/>
        </w:trPr>
        <w:tc>
          <w:tcPr>
            <w:tcW w:w="660" w:type="dxa"/>
            <w:vAlign w:val="bottom"/>
          </w:tcPr>
          <w:p>
            <w:pPr>
              <w:jc w:val="right"/>
              <w:ind w:right="37"/>
              <w:spacing w:after="0"/>
              <w:rPr>
                <w:sz w:val="20"/>
                <w:szCs w:val="20"/>
                <w:color w:val="auto"/>
              </w:rPr>
            </w:pPr>
            <w:r>
              <w:rPr>
                <w:rFonts w:ascii="Arial" w:cs="Arial" w:eastAsia="Arial" w:hAnsi="Arial"/>
                <w:sz w:val="13"/>
                <w:szCs w:val="13"/>
                <w:color w:val="auto"/>
              </w:rPr>
              <w:t>2,923</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3,565</w:t>
            </w:r>
          </w:p>
        </w:tc>
        <w:tc>
          <w:tcPr>
            <w:tcW w:w="200" w:type="dxa"/>
            <w:vAlign w:val="bottom"/>
          </w:tcPr>
          <w:p>
            <w:pPr>
              <w:spacing w:after="0"/>
              <w:rPr>
                <w:sz w:val="24"/>
                <w:szCs w:val="24"/>
                <w:color w:val="auto"/>
              </w:rPr>
            </w:pPr>
          </w:p>
        </w:tc>
      </w:tr>
      <w:tr>
        <w:trPr>
          <w:trHeight w:val="334"/>
        </w:trPr>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r>
      <w:tr>
        <w:trPr>
          <w:trHeight w:val="295"/>
        </w:trPr>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2,923</w:t>
            </w:r>
          </w:p>
        </w:tc>
        <w:tc>
          <w:tcPr>
            <w:tcW w:w="12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(275)</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3,565</w:t>
            </w:r>
          </w:p>
        </w:tc>
        <w:tc>
          <w:tcPr>
            <w:tcW w:w="200" w:type="dxa"/>
            <w:vAlign w:val="bottom"/>
          </w:tcPr>
          <w:p>
            <w:pPr>
              <w:spacing w:after="0"/>
              <w:rPr>
                <w:sz w:val="24"/>
                <w:szCs w:val="24"/>
                <w:color w:val="auto"/>
              </w:rPr>
            </w:pPr>
          </w:p>
        </w:tc>
      </w:tr>
      <w:tr>
        <w:trPr>
          <w:trHeight w:val="540"/>
        </w:trPr>
        <w:tc>
          <w:tcPr>
            <w:tcW w:w="660" w:type="dxa"/>
            <w:vAlign w:val="bottom"/>
          </w:tcPr>
          <w:p>
            <w:pPr>
              <w:jc w:val="right"/>
              <w:spacing w:after="0"/>
              <w:rPr>
                <w:sz w:val="20"/>
                <w:szCs w:val="20"/>
                <w:color w:val="auto"/>
              </w:rPr>
            </w:pPr>
            <w:r>
              <w:rPr>
                <w:rFonts w:ascii="Arial" w:cs="Arial" w:eastAsia="Arial" w:hAnsi="Arial"/>
                <w:sz w:val="13"/>
                <w:szCs w:val="13"/>
                <w:color w:val="auto"/>
              </w:rPr>
              <w:t>(4,305)</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w:t>
            </w:r>
          </w:p>
        </w:tc>
        <w:tc>
          <w:tcPr>
            <w:tcW w:w="200" w:type="dxa"/>
            <w:vAlign w:val="bottom"/>
          </w:tcPr>
          <w:p>
            <w:pPr>
              <w:spacing w:after="0"/>
              <w:rPr>
                <w:sz w:val="24"/>
                <w:szCs w:val="24"/>
                <w:color w:val="auto"/>
              </w:rPr>
            </w:pPr>
          </w:p>
        </w:tc>
      </w:tr>
      <w:tr>
        <w:trPr>
          <w:trHeight w:val="324"/>
        </w:trPr>
        <w:tc>
          <w:tcPr>
            <w:tcW w:w="660" w:type="dxa"/>
            <w:vAlign w:val="bottom"/>
          </w:tcPr>
          <w:p>
            <w:pPr>
              <w:jc w:val="right"/>
              <w:spacing w:after="0"/>
              <w:rPr>
                <w:sz w:val="20"/>
                <w:szCs w:val="20"/>
                <w:color w:val="auto"/>
              </w:rPr>
            </w:pPr>
            <w:r>
              <w:rPr>
                <w:rFonts w:ascii="Arial" w:cs="Arial" w:eastAsia="Arial" w:hAnsi="Arial"/>
                <w:sz w:val="13"/>
                <w:szCs w:val="13"/>
                <w:color w:val="auto"/>
              </w:rPr>
              <w:t>(1,571)</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r>
      <w:tr>
        <w:trPr>
          <w:trHeight w:val="324"/>
        </w:trPr>
        <w:tc>
          <w:tcPr>
            <w:tcW w:w="660" w:type="dxa"/>
            <w:vAlign w:val="bottom"/>
          </w:tcPr>
          <w:p>
            <w:pPr>
              <w:jc w:val="right"/>
              <w:ind w:right="37"/>
              <w:spacing w:after="0"/>
              <w:rPr>
                <w:sz w:val="20"/>
                <w:szCs w:val="20"/>
                <w:color w:val="auto"/>
              </w:rPr>
            </w:pPr>
            <w:r>
              <w:rPr>
                <w:rFonts w:ascii="Arial" w:cs="Arial" w:eastAsia="Arial" w:hAnsi="Arial"/>
                <w:sz w:val="13"/>
                <w:szCs w:val="13"/>
                <w:color w:val="auto"/>
              </w:rPr>
              <w:t>2,886</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r>
      <w:tr>
        <w:trPr>
          <w:trHeight w:val="270"/>
        </w:trPr>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(11,635)</w:t>
            </w:r>
          </w:p>
        </w:tc>
        <w:tc>
          <w:tcPr>
            <w:tcW w:w="200" w:type="dxa"/>
            <w:vAlign w:val="bottom"/>
          </w:tcPr>
          <w:p>
            <w:pPr>
              <w:spacing w:after="0"/>
              <w:rPr>
                <w:sz w:val="23"/>
                <w:szCs w:val="23"/>
                <w:color w:val="auto"/>
              </w:rPr>
            </w:pPr>
          </w:p>
        </w:tc>
      </w:tr>
      <w:tr>
        <w:trPr>
          <w:trHeight w:val="324"/>
        </w:trPr>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7,593</w:t>
            </w:r>
          </w:p>
        </w:tc>
        <w:tc>
          <w:tcPr>
            <w:tcW w:w="200" w:type="dxa"/>
            <w:vAlign w:val="bottom"/>
          </w:tcPr>
          <w:p>
            <w:pPr>
              <w:spacing w:after="0"/>
              <w:rPr>
                <w:sz w:val="24"/>
                <w:szCs w:val="24"/>
                <w:color w:val="auto"/>
              </w:rPr>
            </w:pPr>
          </w:p>
        </w:tc>
      </w:tr>
      <w:tr>
        <w:trPr>
          <w:trHeight w:val="270"/>
        </w:trPr>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(9,122)</w:t>
            </w:r>
          </w:p>
        </w:tc>
        <w:tc>
          <w:tcPr>
            <w:tcW w:w="200" w:type="dxa"/>
            <w:vAlign w:val="bottom"/>
          </w:tcPr>
          <w:p>
            <w:pPr>
              <w:spacing w:after="0"/>
              <w:rPr>
                <w:sz w:val="23"/>
                <w:szCs w:val="23"/>
                <w:color w:val="auto"/>
              </w:rPr>
            </w:pPr>
          </w:p>
        </w:tc>
      </w:tr>
      <w:tr>
        <w:trPr>
          <w:trHeight w:val="270"/>
        </w:trPr>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5,303</w:t>
            </w:r>
          </w:p>
        </w:tc>
        <w:tc>
          <w:tcPr>
            <w:tcW w:w="200" w:type="dxa"/>
            <w:vAlign w:val="bottom"/>
          </w:tcPr>
          <w:p>
            <w:pPr>
              <w:spacing w:after="0"/>
              <w:rPr>
                <w:sz w:val="23"/>
                <w:szCs w:val="23"/>
                <w:color w:val="auto"/>
              </w:rPr>
            </w:pPr>
          </w:p>
        </w:tc>
      </w:tr>
      <w:tr>
        <w:trPr>
          <w:trHeight w:val="280"/>
        </w:trPr>
        <w:tc>
          <w:tcPr>
            <w:tcW w:w="660" w:type="dxa"/>
            <w:vAlign w:val="bottom"/>
          </w:tcPr>
          <w:p>
            <w:pPr>
              <w:jc w:val="right"/>
              <w:spacing w:after="0"/>
              <w:rPr>
                <w:sz w:val="20"/>
                <w:szCs w:val="20"/>
                <w:color w:val="auto"/>
              </w:rPr>
            </w:pPr>
            <w:r>
              <w:rPr>
                <w:rFonts w:ascii="Arial" w:cs="Arial" w:eastAsia="Arial" w:hAnsi="Arial"/>
                <w:sz w:val="13"/>
                <w:szCs w:val="13"/>
                <w:color w:val="auto"/>
              </w:rPr>
              <w:t>(1,367)</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r>
      <w:tr>
        <w:trPr>
          <w:trHeight w:val="295"/>
        </w:trPr>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(4,357)</w:t>
            </w:r>
          </w:p>
        </w:tc>
        <w:tc>
          <w:tcPr>
            <w:tcW w:w="12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(7,895)</w:t>
            </w:r>
          </w:p>
        </w:tc>
        <w:tc>
          <w:tcPr>
            <w:tcW w:w="200" w:type="dxa"/>
            <w:vAlign w:val="bottom"/>
          </w:tcPr>
          <w:p>
            <w:pPr>
              <w:spacing w:after="0"/>
              <w:rPr>
                <w:sz w:val="24"/>
                <w:szCs w:val="24"/>
                <w:color w:val="auto"/>
              </w:rPr>
            </w:pPr>
          </w:p>
        </w:tc>
      </w:tr>
      <w:tr>
        <w:trPr>
          <w:trHeight w:val="334"/>
        </w:trPr>
        <w:tc>
          <w:tcPr>
            <w:tcW w:w="660" w:type="dxa"/>
            <w:vAlign w:val="bottom"/>
          </w:tcPr>
          <w:p>
            <w:pPr>
              <w:jc w:val="right"/>
              <w:ind w:right="37"/>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r>
      <w:tr>
        <w:trPr>
          <w:trHeight w:val="241"/>
        </w:trPr>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(4,191)</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(7,895)</w:t>
            </w: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  3,476</w:t>
            </w:r>
          </w:p>
        </w:tc>
        <w:tc>
          <w:tcPr>
            <w:tcW w:w="100" w:type="dxa"/>
            <w:vAlign w:val="bottom"/>
          </w:tcPr>
          <w:p>
            <w:pPr>
              <w:spacing w:after="0"/>
              <w:rPr>
                <w:sz w:val="13"/>
                <w:szCs w:val="1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  4,986</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  (307)</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3"/>
                <w:szCs w:val="13"/>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  5,119</w:t>
            </w:r>
          </w:p>
        </w:tc>
      </w:tr>
      <w:tr>
        <w:trPr>
          <w:trHeight w:val="324"/>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3,723</w:t>
            </w: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2,993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3,155</w:t>
            </w:r>
          </w:p>
        </w:tc>
      </w:tr>
      <w:tr>
        <w:trPr>
          <w:trHeight w:val="324"/>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2,987</w:t>
            </w: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2,760</w:t>
            </w: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2,782</w:t>
            </w:r>
          </w:p>
        </w:tc>
      </w:tr>
      <w:tr>
        <w:trPr>
          <w:trHeight w:val="324"/>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105</w:t>
            </w:r>
          </w:p>
        </w:tc>
      </w:tr>
      <w:tr>
        <w:trPr>
          <w:trHeight w:val="324"/>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710</w:t>
            </w: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575</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487</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(932)</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(753)</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(753)</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(627)</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(405)</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(405)</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586</w:t>
            </w:r>
          </w:p>
        </w:tc>
        <w:tc>
          <w:tcPr>
            <w:tcW w:w="10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1,162</w:t>
            </w:r>
          </w:p>
        </w:tc>
        <w:tc>
          <w:tcPr>
            <w:tcW w:w="12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1,303</w:t>
            </w:r>
          </w:p>
        </w:tc>
      </w:tr>
      <w:tr>
        <w:trPr>
          <w:trHeight w:val="334"/>
        </w:trPr>
        <w:tc>
          <w:tcPr>
            <w:tcW w:w="560" w:type="dxa"/>
            <w:vAlign w:val="bottom"/>
          </w:tcPr>
          <w:p>
            <w:pPr>
              <w:jc w:val="right"/>
              <w:ind w:right="137"/>
              <w:spacing w:after="0"/>
              <w:rPr>
                <w:sz w:val="20"/>
                <w:szCs w:val="20"/>
                <w:color w:val="auto"/>
              </w:rPr>
            </w:pPr>
            <w:r>
              <w:rPr>
                <w:rFonts w:ascii="Arial" w:cs="Arial" w:eastAsia="Arial" w:hAnsi="Arial"/>
                <w:sz w:val="13"/>
                <w:szCs w:val="13"/>
                <w:color w:val="auto"/>
              </w:rPr>
              <w:t>(666)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(4,476)</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(2,213)</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(1,889)</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(4,365)</w:t>
            </w:r>
          </w:p>
        </w:tc>
      </w:tr>
      <w:tr>
        <w:trPr>
          <w:trHeight w:val="295"/>
        </w:trPr>
        <w:tc>
          <w:tcPr>
            <w:tcW w:w="560" w:type="dxa"/>
            <w:vAlign w:val="bottom"/>
          </w:tcPr>
          <w:p>
            <w:pPr>
              <w:jc w:val="right"/>
              <w:ind w:right="137"/>
              <w:spacing w:after="0"/>
              <w:rPr>
                <w:sz w:val="20"/>
                <w:szCs w:val="20"/>
                <w:color w:val="auto"/>
              </w:rPr>
            </w:pPr>
            <w:r>
              <w:rPr>
                <w:rFonts w:ascii="Arial" w:cs="Arial" w:eastAsia="Arial" w:hAnsi="Arial"/>
                <w:sz w:val="13"/>
                <w:szCs w:val="13"/>
                <w:color w:val="auto"/>
              </w:rPr>
              <w:t>(660)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5,553</w:t>
            </w: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6,369</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3,155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(1,889)</w:t>
            </w: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7,428</w:t>
            </w:r>
          </w:p>
        </w:tc>
      </w:tr>
      <w:tr>
        <w:trPr>
          <w:trHeight w:val="334"/>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131</w:t>
            </w:r>
          </w:p>
        </w:tc>
      </w:tr>
      <w:tr>
        <w:trPr>
          <w:trHeight w:val="295"/>
        </w:trPr>
        <w:tc>
          <w:tcPr>
            <w:tcW w:w="560" w:type="dxa"/>
            <w:vAlign w:val="bottom"/>
          </w:tcPr>
          <w:p>
            <w:pPr>
              <w:jc w:val="right"/>
              <w:ind w:right="137"/>
              <w:spacing w:after="0"/>
              <w:rPr>
                <w:sz w:val="20"/>
                <w:szCs w:val="20"/>
                <w:color w:val="auto"/>
              </w:rPr>
            </w:pPr>
            <w:r>
              <w:rPr>
                <w:rFonts w:ascii="Arial" w:cs="Arial" w:eastAsia="Arial" w:hAnsi="Arial"/>
                <w:sz w:val="13"/>
                <w:szCs w:val="13"/>
                <w:color w:val="auto"/>
              </w:rPr>
              <w:t>(660)</w:t>
            </w: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5,553</w:t>
            </w:r>
          </w:p>
        </w:tc>
        <w:tc>
          <w:tcPr>
            <w:tcW w:w="100" w:type="dxa"/>
            <w:vAlign w:val="bottom"/>
          </w:tcPr>
          <w:p>
            <w:pPr>
              <w:spacing w:after="0"/>
              <w:rPr>
                <w:sz w:val="24"/>
                <w:szCs w:val="24"/>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6,500</w:t>
            </w:r>
          </w:p>
        </w:tc>
        <w:tc>
          <w:tcPr>
            <w:tcW w:w="12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3,331</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(2,065)</w:t>
            </w:r>
          </w:p>
        </w:tc>
        <w:tc>
          <w:tcPr>
            <w:tcW w:w="100" w:type="dxa"/>
            <w:vAlign w:val="bottom"/>
          </w:tcPr>
          <w:p>
            <w:pPr>
              <w:spacing w:after="0"/>
              <w:rPr>
                <w:sz w:val="24"/>
                <w:szCs w:val="24"/>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7,559</w:t>
            </w:r>
          </w:p>
        </w:tc>
      </w:tr>
      <w:tr>
        <w:trPr>
          <w:trHeight w:val="54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(4,351)</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(4,136)</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(4,186)</w:t>
            </w:r>
          </w:p>
        </w:tc>
      </w:tr>
      <w:tr>
        <w:trPr>
          <w:trHeight w:val="324"/>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(1,571)</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(2,149)</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(2,149)</w:t>
            </w:r>
          </w:p>
        </w:tc>
      </w:tr>
      <w:tr>
        <w:trPr>
          <w:trHeight w:val="324"/>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2,886</w:t>
            </w: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4,872</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4,872</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857</w:t>
            </w:r>
          </w:p>
        </w:tc>
        <w:tc>
          <w:tcPr>
            <w:tcW w:w="660" w:type="dxa"/>
            <w:vAlign w:val="bottom"/>
          </w:tcPr>
          <w:p>
            <w:pPr>
              <w:jc w:val="right"/>
              <w:spacing w:after="0"/>
              <w:rPr>
                <w:sz w:val="20"/>
                <w:szCs w:val="20"/>
                <w:color w:val="auto"/>
              </w:rPr>
            </w:pPr>
            <w:r>
              <w:rPr>
                <w:rFonts w:ascii="Arial" w:cs="Arial" w:eastAsia="Arial" w:hAnsi="Arial"/>
                <w:sz w:val="13"/>
                <w:szCs w:val="13"/>
                <w:color w:val="auto"/>
              </w:rPr>
              <w:t>(10,778)</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(12,459)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1,882</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(10,577)</w:t>
            </w:r>
          </w:p>
        </w:tc>
      </w:tr>
      <w:tr>
        <w:trPr>
          <w:trHeight w:val="324"/>
        </w:trPr>
        <w:tc>
          <w:tcPr>
            <w:tcW w:w="560" w:type="dxa"/>
            <w:vAlign w:val="bottom"/>
          </w:tcPr>
          <w:p>
            <w:pPr>
              <w:jc w:val="right"/>
              <w:ind w:right="137"/>
              <w:spacing w:after="0"/>
              <w:rPr>
                <w:sz w:val="20"/>
                <w:szCs w:val="20"/>
                <w:color w:val="auto"/>
              </w:rPr>
            </w:pPr>
            <w:r>
              <w:rPr>
                <w:rFonts w:ascii="Arial" w:cs="Arial" w:eastAsia="Arial" w:hAnsi="Arial"/>
                <w:sz w:val="13"/>
                <w:szCs w:val="13"/>
                <w:color w:val="auto"/>
              </w:rPr>
              <w:t>(173)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7,420</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6,020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6,003</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(9,122)</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(9,884)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(9,884)</w:t>
            </w:r>
          </w:p>
        </w:tc>
      </w:tr>
      <w:tr>
        <w:trPr>
          <w:trHeight w:val="270"/>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5,303</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2,724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2,724</w:t>
            </w:r>
          </w:p>
        </w:tc>
      </w:tr>
      <w:tr>
        <w:trPr>
          <w:trHeight w:val="280"/>
        </w:trPr>
        <w:tc>
          <w:tcPr>
            <w:tcW w:w="560" w:type="dxa"/>
            <w:vAlign w:val="bottom"/>
          </w:tcPr>
          <w:p>
            <w:pPr>
              <w:jc w:val="right"/>
              <w:ind w:right="177"/>
              <w:spacing w:after="0"/>
              <w:rPr>
                <w:sz w:val="20"/>
                <w:szCs w:val="20"/>
                <w:color w:val="auto"/>
              </w:rPr>
            </w:pPr>
            <w:r>
              <w:rPr>
                <w:rFonts w:ascii="Arial" w:cs="Arial" w:eastAsia="Arial" w:hAnsi="Arial"/>
                <w:sz w:val="13"/>
                <w:szCs w:val="13"/>
                <w:color w:val="auto"/>
                <w:w w:val="92"/>
              </w:rPr>
              <w:t>1,374</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(187)</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62</w:t>
            </w:r>
          </w:p>
        </w:tc>
      </w:tr>
      <w:tr>
        <w:trPr>
          <w:trHeight w:val="295"/>
        </w:trPr>
        <w:tc>
          <w:tcPr>
            <w:tcW w:w="560" w:type="dxa"/>
            <w:vAlign w:val="bottom"/>
          </w:tcPr>
          <w:p>
            <w:pPr>
              <w:jc w:val="right"/>
              <w:ind w:right="177"/>
              <w:spacing w:after="0"/>
              <w:rPr>
                <w:sz w:val="20"/>
                <w:szCs w:val="20"/>
                <w:color w:val="auto"/>
              </w:rPr>
            </w:pPr>
            <w:r>
              <w:rPr>
                <w:rFonts w:ascii="Arial" w:cs="Arial" w:eastAsia="Arial" w:hAnsi="Arial"/>
                <w:sz w:val="13"/>
                <w:szCs w:val="13"/>
                <w:color w:val="auto"/>
                <w:w w:val="92"/>
              </w:rPr>
              <w:t>2,058</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(10,206)</w:t>
            </w:r>
          </w:p>
        </w:tc>
        <w:tc>
          <w:tcPr>
            <w:tcW w:w="10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(1,600)</w:t>
            </w:r>
          </w:p>
        </w:tc>
        <w:tc>
          <w:tcPr>
            <w:tcW w:w="12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(13,658)</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2,126</w:t>
            </w:r>
          </w:p>
        </w:tc>
        <w:tc>
          <w:tcPr>
            <w:tcW w:w="10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(13,135)</w:t>
            </w:r>
          </w:p>
        </w:tc>
      </w:tr>
      <w:tr>
        <w:trPr>
          <w:trHeight w:val="334"/>
        </w:trPr>
        <w:tc>
          <w:tcPr>
            <w:tcW w:w="5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(511)</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(788)</w:t>
            </w:r>
          </w:p>
        </w:tc>
      </w:tr>
      <w:tr>
        <w:trPr>
          <w:trHeight w:val="241"/>
        </w:trPr>
        <w:tc>
          <w:tcPr>
            <w:tcW w:w="560" w:type="dxa"/>
            <w:vAlign w:val="bottom"/>
          </w:tcPr>
          <w:p>
            <w:pPr>
              <w:jc w:val="right"/>
              <w:ind w:right="177"/>
              <w:spacing w:after="0"/>
              <w:rPr>
                <w:sz w:val="20"/>
                <w:szCs w:val="20"/>
                <w:color w:val="auto"/>
              </w:rPr>
            </w:pPr>
            <w:r>
              <w:rPr>
                <w:rFonts w:ascii="Arial" w:cs="Arial" w:eastAsia="Arial" w:hAnsi="Arial"/>
                <w:sz w:val="13"/>
                <w:szCs w:val="13"/>
                <w:color w:val="auto"/>
                <w:w w:val="92"/>
              </w:rPr>
              <w:t>2,058</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(10,040)</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(2,111)</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(14,022)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2,213</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-4174490</wp:posOffset>
            </wp:positionV>
            <wp:extent cx="72466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-3762375</wp:posOffset>
            </wp:positionV>
            <wp:extent cx="724662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-3385185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-3042285</wp:posOffset>
            </wp:positionV>
            <wp:extent cx="7246620" cy="3224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22453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3">
            <w:col w:w="2752" w:space="40"/>
            <w:col w:w="2320" w:space="720"/>
            <w:col w:w="5580"/>
          </w:cols>
          <w:pgMar w:left="248" w:top="337" w:right="239" w:bottom="228" w:gutter="0" w:footer="0" w:header="0"/>
          <w:type w:val="continuous"/>
        </w:sectPr>
      </w:pPr>
    </w:p>
    <w:p>
      <w:pPr>
        <w:ind w:left="172"/>
        <w:spacing w:after="0"/>
        <w:rPr>
          <w:sz w:val="20"/>
          <w:szCs w:val="20"/>
          <w:color w:val="auto"/>
        </w:rPr>
      </w:pPr>
      <w:r>
        <w:rPr>
          <w:rFonts w:ascii="Arial" w:cs="Arial" w:eastAsia="Arial" w:hAnsi="Arial"/>
          <w:sz w:val="13"/>
          <w:szCs w:val="13"/>
          <w:color w:val="auto"/>
        </w:rPr>
        <w:t>Net increase (decrease) in short-term debt</w:t>
      </w:r>
    </w:p>
    <w:p>
      <w:pPr>
        <w:spacing w:after="0" w:line="121" w:lineRule="exact"/>
        <w:rPr>
          <w:sz w:val="20"/>
          <w:szCs w:val="20"/>
          <w:color w:val="auto"/>
        </w:rPr>
      </w:pPr>
    </w:p>
    <w:p>
      <w:pPr>
        <w:ind w:left="332" w:right="200" w:hanging="161"/>
        <w:spacing w:after="0" w:line="259" w:lineRule="auto"/>
        <w:rPr>
          <w:sz w:val="20"/>
          <w:szCs w:val="20"/>
          <w:color w:val="auto"/>
        </w:rPr>
      </w:pPr>
      <w:r>
        <w:rPr>
          <w:rFonts w:ascii="Arial" w:cs="Arial" w:eastAsia="Arial" w:hAnsi="Arial"/>
          <w:sz w:val="12"/>
          <w:szCs w:val="12"/>
          <w:color w:val="auto"/>
        </w:rPr>
        <w:t>Proceeds from issuance of debt (original maturities greater than three months)(c)</w:t>
      </w:r>
    </w:p>
    <w:p>
      <w:pPr>
        <w:spacing w:after="0" w:line="26" w:lineRule="exact"/>
        <w:rPr>
          <w:sz w:val="20"/>
          <w:szCs w:val="20"/>
          <w:color w:val="auto"/>
        </w:rPr>
      </w:pPr>
    </w:p>
    <w:p>
      <w:pPr>
        <w:ind w:left="332" w:right="80" w:hanging="161"/>
        <w:spacing w:after="0" w:line="230" w:lineRule="auto"/>
        <w:rPr>
          <w:sz w:val="20"/>
          <w:szCs w:val="20"/>
          <w:color w:val="auto"/>
        </w:rPr>
      </w:pPr>
      <w:r>
        <w:rPr>
          <w:rFonts w:ascii="Arial" w:cs="Arial" w:eastAsia="Arial" w:hAnsi="Arial"/>
          <w:sz w:val="13"/>
          <w:szCs w:val="13"/>
          <w:color w:val="auto"/>
        </w:rPr>
        <w:t>Payments on debt (original maturities greater than three months)</w:t>
      </w:r>
    </w:p>
    <w:p>
      <w:pPr>
        <w:spacing w:after="0" w:line="38" w:lineRule="exact"/>
        <w:rPr>
          <w:sz w:val="20"/>
          <w:szCs w:val="20"/>
          <w:color w:val="auto"/>
        </w:rPr>
      </w:pPr>
    </w:p>
    <w:p>
      <w:pPr>
        <w:ind w:left="172"/>
        <w:spacing w:after="0"/>
        <w:rPr>
          <w:sz w:val="20"/>
          <w:szCs w:val="20"/>
          <w:color w:val="auto"/>
        </w:rPr>
      </w:pPr>
      <w:r>
        <w:rPr>
          <w:rFonts w:ascii="Arial" w:cs="Arial" w:eastAsia="Arial" w:hAnsi="Arial"/>
          <w:sz w:val="13"/>
          <w:szCs w:val="13"/>
          <w:color w:val="auto"/>
        </w:rPr>
        <w:t>Payments to purchase common stock</w:t>
      </w:r>
    </w:p>
    <w:p>
      <w:pPr>
        <w:spacing w:after="0" w:line="121" w:lineRule="exact"/>
        <w:rPr>
          <w:sz w:val="20"/>
          <w:szCs w:val="20"/>
          <w:color w:val="auto"/>
        </w:rPr>
      </w:pPr>
    </w:p>
    <w:p>
      <w:pPr>
        <w:ind w:left="172"/>
        <w:spacing w:after="0"/>
        <w:rPr>
          <w:sz w:val="20"/>
          <w:szCs w:val="20"/>
          <w:color w:val="auto"/>
        </w:rPr>
      </w:pPr>
      <w:r>
        <w:rPr>
          <w:rFonts w:ascii="Arial" w:cs="Arial" w:eastAsia="Arial" w:hAnsi="Arial"/>
          <w:sz w:val="12"/>
          <w:szCs w:val="12"/>
          <w:color w:val="auto"/>
        </w:rPr>
        <w:t>Proceeds from issuance of preferred stock(c)</w:t>
      </w:r>
    </w:p>
    <w:p>
      <w:pPr>
        <w:spacing w:after="0" w:line="132" w:lineRule="exact"/>
        <w:rPr>
          <w:sz w:val="20"/>
          <w:szCs w:val="20"/>
          <w:color w:val="auto"/>
        </w:rPr>
      </w:pPr>
    </w:p>
    <w:p>
      <w:pPr>
        <w:ind w:left="172"/>
        <w:spacing w:after="0"/>
        <w:rPr>
          <w:sz w:val="20"/>
          <w:szCs w:val="20"/>
          <w:color w:val="auto"/>
        </w:rPr>
      </w:pPr>
      <w:r>
        <w:rPr>
          <w:rFonts w:ascii="Arial" w:cs="Arial" w:eastAsia="Arial" w:hAnsi="Arial"/>
          <w:sz w:val="13"/>
          <w:szCs w:val="13"/>
          <w:color w:val="auto"/>
        </w:rPr>
        <w:t>Dividends paid</w:t>
      </w:r>
    </w:p>
    <w:p>
      <w:pPr>
        <w:spacing w:after="0" w:line="121" w:lineRule="exact"/>
        <w:rPr>
          <w:sz w:val="20"/>
          <w:szCs w:val="20"/>
          <w:color w:val="auto"/>
        </w:rPr>
      </w:pPr>
    </w:p>
    <w:p>
      <w:pPr>
        <w:ind w:left="172"/>
        <w:spacing w:after="0"/>
        <w:rPr>
          <w:sz w:val="20"/>
          <w:szCs w:val="20"/>
          <w:color w:val="auto"/>
        </w:rPr>
      </w:pPr>
      <w:r>
        <w:rPr>
          <w:rFonts w:ascii="Arial" w:cs="Arial" w:eastAsia="Arial" w:hAnsi="Arial"/>
          <w:sz w:val="13"/>
          <w:szCs w:val="13"/>
          <w:color w:val="auto"/>
        </w:rPr>
        <w:t>Other financing activities</w:t>
      </w:r>
    </w:p>
    <w:p>
      <w:pPr>
        <w:spacing w:after="0" w:line="121" w:lineRule="exact"/>
        <w:rPr>
          <w:sz w:val="20"/>
          <w:szCs w:val="20"/>
          <w:color w:val="auto"/>
        </w:rPr>
      </w:pPr>
    </w:p>
    <w:p>
      <w:pPr>
        <w:ind w:left="332" w:right="340" w:hanging="161"/>
        <w:spacing w:after="0" w:line="259" w:lineRule="auto"/>
        <w:rPr>
          <w:sz w:val="20"/>
          <w:szCs w:val="20"/>
          <w:color w:val="auto"/>
        </w:rPr>
      </w:pPr>
      <w:r>
        <w:rPr>
          <w:rFonts w:ascii="Arial" w:cs="Arial" w:eastAsia="Arial" w:hAnsi="Arial"/>
          <w:sz w:val="12"/>
          <w:szCs w:val="12"/>
          <w:color w:val="auto"/>
        </w:rPr>
        <w:t>Net cash provided by (used in) financing activities – continuing operations</w:t>
      </w:r>
    </w:p>
    <w:p>
      <w:pPr>
        <w:spacing w:after="0" w:line="26" w:lineRule="exact"/>
        <w:rPr>
          <w:sz w:val="20"/>
          <w:szCs w:val="20"/>
          <w:color w:val="auto"/>
        </w:rPr>
      </w:pPr>
    </w:p>
    <w:p>
      <w:pPr>
        <w:ind w:left="332" w:right="340" w:hanging="161"/>
        <w:spacing w:after="0" w:line="259" w:lineRule="auto"/>
        <w:rPr>
          <w:sz w:val="20"/>
          <w:szCs w:val="20"/>
          <w:color w:val="auto"/>
        </w:rPr>
      </w:pPr>
      <w:r>
        <w:rPr>
          <w:rFonts w:ascii="Arial" w:cs="Arial" w:eastAsia="Arial" w:hAnsi="Arial"/>
          <w:sz w:val="12"/>
          <w:szCs w:val="12"/>
          <w:color w:val="auto"/>
        </w:rPr>
        <w:t>Net cash provided by (used in) financing activities – discontinued operations</w:t>
      </w:r>
    </w:p>
    <w:p>
      <w:pPr>
        <w:spacing w:after="0" w:line="145" w:lineRule="exact"/>
        <w:rPr>
          <w:sz w:val="20"/>
          <w:szCs w:val="20"/>
          <w:color w:val="auto"/>
        </w:rPr>
      </w:pPr>
    </w:p>
    <w:p>
      <w:pPr>
        <w:ind w:left="192" w:right="300" w:hanging="161"/>
        <w:spacing w:after="0" w:line="246" w:lineRule="auto"/>
        <w:rPr>
          <w:sz w:val="20"/>
          <w:szCs w:val="20"/>
          <w:color w:val="auto"/>
        </w:rPr>
      </w:pPr>
      <w:r>
        <w:rPr>
          <w:rFonts w:ascii="Arial" w:cs="Arial" w:eastAsia="Arial" w:hAnsi="Arial"/>
          <w:sz w:val="13"/>
          <w:szCs w:val="13"/>
          <w:b w:val="1"/>
          <w:bCs w:val="1"/>
          <w:color w:val="auto"/>
        </w:rPr>
        <w:t>Net cash provided by (used in) financing activities</w:t>
      </w:r>
    </w:p>
    <w:p>
      <w:pPr>
        <w:spacing w:after="0" w:line="34" w:lineRule="exact"/>
        <w:rPr>
          <w:sz w:val="20"/>
          <w:szCs w:val="20"/>
          <w:color w:val="auto"/>
        </w:rPr>
      </w:pPr>
    </w:p>
    <w:p>
      <w:pPr>
        <w:ind w:left="332" w:right="280" w:hanging="161"/>
        <w:spacing w:after="0" w:line="259" w:lineRule="auto"/>
        <w:rPr>
          <w:sz w:val="20"/>
          <w:szCs w:val="20"/>
          <w:color w:val="auto"/>
        </w:rPr>
      </w:pPr>
      <w:r>
        <w:rPr>
          <w:rFonts w:ascii="Arial" w:cs="Arial" w:eastAsia="Arial" w:hAnsi="Arial"/>
          <w:sz w:val="12"/>
          <w:szCs w:val="12"/>
          <w:color w:val="auto"/>
        </w:rPr>
        <w:t>Effect of exchange rate changes on cash, cash equivalents and restricted cash</w:t>
      </w:r>
    </w:p>
    <w:p>
      <w:pPr>
        <w:spacing w:after="0" w:line="26" w:lineRule="exact"/>
        <w:rPr>
          <w:sz w:val="20"/>
          <w:szCs w:val="20"/>
          <w:color w:val="auto"/>
        </w:rPr>
      </w:pPr>
    </w:p>
    <w:p>
      <w:pPr>
        <w:ind w:left="332" w:right="480" w:hanging="161"/>
        <w:spacing w:after="0" w:line="259" w:lineRule="auto"/>
        <w:rPr>
          <w:sz w:val="20"/>
          <w:szCs w:val="20"/>
          <w:color w:val="auto"/>
        </w:rPr>
      </w:pPr>
      <w:r>
        <w:rPr>
          <w:rFonts w:ascii="Arial" w:cs="Arial" w:eastAsia="Arial" w:hAnsi="Arial"/>
          <w:sz w:val="12"/>
          <w:szCs w:val="12"/>
          <w:color w:val="auto"/>
        </w:rPr>
        <w:t>Net increase (decrease) in cash, cash equivalents and restricted cash</w:t>
      </w:r>
    </w:p>
    <w:p>
      <w:pPr>
        <w:spacing w:after="0" w:line="26" w:lineRule="exact"/>
        <w:rPr>
          <w:sz w:val="20"/>
          <w:szCs w:val="20"/>
          <w:color w:val="auto"/>
        </w:rPr>
      </w:pPr>
    </w:p>
    <w:p>
      <w:pPr>
        <w:ind w:left="192" w:right="180" w:hanging="161"/>
        <w:spacing w:after="0" w:line="230" w:lineRule="auto"/>
        <w:rPr>
          <w:sz w:val="20"/>
          <w:szCs w:val="20"/>
          <w:color w:val="auto"/>
        </w:rPr>
      </w:pPr>
      <w:r>
        <w:rPr>
          <w:rFonts w:ascii="Arial" w:cs="Arial" w:eastAsia="Arial" w:hAnsi="Arial"/>
          <w:sz w:val="13"/>
          <w:szCs w:val="13"/>
          <w:color w:val="auto"/>
        </w:rPr>
        <w:t>Cash, cash equivalents and restricted cash at beginning of period</w:t>
      </w:r>
    </w:p>
    <w:p>
      <w:pPr>
        <w:spacing w:after="0" w:line="22" w:lineRule="exact"/>
        <w:rPr>
          <w:sz w:val="20"/>
          <w:szCs w:val="20"/>
          <w:color w:val="auto"/>
        </w:rPr>
      </w:pPr>
    </w:p>
    <w:p>
      <w:pPr>
        <w:ind w:left="192" w:hanging="161"/>
        <w:spacing w:after="0" w:line="246" w:lineRule="auto"/>
        <w:rPr>
          <w:sz w:val="20"/>
          <w:szCs w:val="20"/>
          <w:color w:val="auto"/>
        </w:rPr>
      </w:pPr>
      <w:r>
        <w:rPr>
          <w:rFonts w:ascii="Arial" w:cs="Arial" w:eastAsia="Arial" w:hAnsi="Arial"/>
          <w:sz w:val="13"/>
          <w:szCs w:val="13"/>
          <w:b w:val="1"/>
          <w:bCs w:val="1"/>
          <w:color w:val="auto"/>
        </w:rPr>
        <w:t>Cash, cash equivalents and restricted cash at end of period</w:t>
      </w:r>
    </w:p>
    <w:p>
      <w:pPr>
        <w:spacing w:after="0" w:line="34" w:lineRule="exact"/>
        <w:rPr>
          <w:sz w:val="20"/>
          <w:szCs w:val="20"/>
          <w:color w:val="auto"/>
        </w:rPr>
      </w:pPr>
    </w:p>
    <w:p>
      <w:pPr>
        <w:ind w:left="192" w:right="220" w:hanging="161"/>
        <w:spacing w:after="0" w:line="230" w:lineRule="auto"/>
        <w:rPr>
          <w:sz w:val="20"/>
          <w:szCs w:val="20"/>
          <w:color w:val="auto"/>
        </w:rPr>
      </w:pPr>
      <w:r>
        <w:rPr>
          <w:rFonts w:ascii="Arial" w:cs="Arial" w:eastAsia="Arial" w:hAnsi="Arial"/>
          <w:sz w:val="13"/>
          <w:szCs w:val="13"/>
          <w:color w:val="auto"/>
        </w:rPr>
        <w:t>Cash, cash equivalents and restricted cash – continuing operations at end of period</w:t>
      </w:r>
    </w:p>
    <w:p>
      <w:pPr>
        <w:spacing w:after="0" w:line="38" w:lineRule="exact"/>
        <w:rPr>
          <w:sz w:val="20"/>
          <w:szCs w:val="20"/>
          <w:color w:val="auto"/>
        </w:rPr>
      </w:pPr>
    </w:p>
    <w:p>
      <w:pPr>
        <w:ind w:left="192" w:right="220" w:hanging="161"/>
        <w:spacing w:after="0" w:line="259" w:lineRule="auto"/>
        <w:rPr>
          <w:sz w:val="20"/>
          <w:szCs w:val="20"/>
          <w:color w:val="auto"/>
        </w:rPr>
      </w:pPr>
      <w:r>
        <w:rPr>
          <w:rFonts w:ascii="Arial" w:cs="Arial" w:eastAsia="Arial" w:hAnsi="Arial"/>
          <w:sz w:val="12"/>
          <w:szCs w:val="12"/>
          <w:color w:val="auto"/>
        </w:rPr>
        <w:t>Cash, cash equivalents and restricted cash – discontinued operations at end of period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695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(413)</w:t>
            </w:r>
          </w:p>
        </w:tc>
      </w:tr>
      <w:tr>
        <w:trPr>
          <w:trHeight w:val="324"/>
        </w:trPr>
        <w:tc>
          <w:tcPr>
            <w:tcW w:w="140" w:type="dxa"/>
            <w:vAlign w:val="bottom"/>
          </w:tcPr>
          <w:p>
            <w:pPr>
              <w:spacing w:after="0"/>
              <w:rPr>
                <w:sz w:val="24"/>
                <w:szCs w:val="24"/>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2,321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20,836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23,157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jc w:val="right"/>
              <w:ind w:right="37"/>
              <w:spacing w:after="0"/>
              <w:rPr>
                <w:sz w:val="20"/>
                <w:szCs w:val="20"/>
                <w:color w:val="auto"/>
              </w:rPr>
            </w:pPr>
            <w:r>
              <w:rPr>
                <w:rFonts w:ascii="Arial" w:cs="Arial" w:eastAsia="Arial" w:hAnsi="Arial"/>
                <w:sz w:val="13"/>
                <w:szCs w:val="13"/>
                <w:color w:val="auto"/>
              </w:rPr>
              <w:t>261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26,703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27,131</w:t>
            </w:r>
          </w:p>
        </w:tc>
      </w:tr>
      <w:tr>
        <w:trPr>
          <w:trHeight w:val="324"/>
        </w:trPr>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(16,918)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(18,840)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(456)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(12,891)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4"/>
              </w:rPr>
              <w:t>(13,331)</w:t>
            </w:r>
          </w:p>
        </w:tc>
      </w:tr>
      <w:tr>
        <w:trPr>
          <w:trHeight w:val="270"/>
        </w:trPr>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(1,496)</w:t>
            </w:r>
          </w:p>
        </w:tc>
      </w:tr>
      <w:tr>
        <w:trPr>
          <w:trHeight w:val="270"/>
        </w:trPr>
        <w:tc>
          <w:tcPr>
            <w:tcW w:w="140" w:type="dxa"/>
            <w:vAlign w:val="bottom"/>
          </w:tcPr>
          <w:p>
            <w:pPr>
              <w:spacing w:after="0"/>
              <w:rPr>
                <w:sz w:val="23"/>
                <w:szCs w:val="23"/>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361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w w:val="98"/>
              </w:rPr>
              <w:t>2,000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(1,100)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1,261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(1,074)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(1,145)</w:t>
            </w:r>
          </w:p>
        </w:tc>
      </w:tr>
      <w:tr>
        <w:trPr>
          <w:trHeight w:val="280"/>
        </w:trPr>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(237)</w:t>
            </w:r>
          </w:p>
        </w:tc>
      </w:tr>
      <w:tr>
        <w:trPr>
          <w:trHeight w:val="295"/>
        </w:trPr>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(703)</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98"/>
              </w:rPr>
              <w:t>2,265</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4,491</w:t>
            </w: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(1,398)</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4,655</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(2,847)</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13,366</w:t>
            </w: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10,509</w:t>
            </w:r>
          </w:p>
        </w:tc>
      </w:tr>
      <w:tr>
        <w:trPr>
          <w:trHeight w:val="469"/>
        </w:trPr>
        <w:tc>
          <w:tcPr>
            <w:tcW w:w="14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31</w:t>
            </w:r>
          </w:p>
        </w:tc>
      </w:tr>
      <w:tr>
        <w:trPr>
          <w:trHeight w:val="295"/>
        </w:trPr>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(703)</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98"/>
              </w:rPr>
              <w:t>2,265</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4,491</w:t>
            </w: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(1,398)</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4,655</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(2,978)</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13,431</w:t>
            </w: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10,540</w:t>
            </w:r>
          </w:p>
        </w:tc>
      </w:tr>
      <w:tr>
        <w:trPr>
          <w:trHeight w:val="334"/>
        </w:trPr>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209</w:t>
            </w:r>
          </w:p>
        </w:tc>
      </w:tr>
      <w:tr>
        <w:trPr>
          <w:trHeight w:val="295"/>
        </w:trPr>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(2,156)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w w:val="98"/>
              </w:rPr>
              <w:t>1,978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1,542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jc w:val="right"/>
              <w:ind w:right="3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2,818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4,385</w:t>
            </w:r>
          </w:p>
        </w:tc>
      </w:tr>
      <w:tr>
        <w:trPr>
          <w:trHeight w:val="334"/>
        </w:trPr>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11,258</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6,567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17,848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9,857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5,302</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15,160</w:t>
            </w:r>
          </w:p>
        </w:tc>
      </w:tr>
      <w:tr>
        <w:trPr>
          <w:trHeight w:val="291"/>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9,102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w w:val="98"/>
              </w:rPr>
              <w:t>2,001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6,668</w:t>
            </w:r>
          </w:p>
        </w:tc>
        <w:tc>
          <w:tcPr>
            <w:tcW w:w="100" w:type="dxa"/>
            <w:vAlign w:val="bottom"/>
          </w:tcPr>
          <w:p>
            <w:pPr>
              <w:spacing w:after="0"/>
              <w:rPr>
                <w:sz w:val="24"/>
                <w:szCs w:val="24"/>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17,771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11,399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8,120</w:t>
            </w:r>
          </w:p>
        </w:tc>
        <w:tc>
          <w:tcPr>
            <w:tcW w:w="100" w:type="dxa"/>
            <w:vAlign w:val="bottom"/>
          </w:tcPr>
          <w:p>
            <w:pPr>
              <w:spacing w:after="0"/>
              <w:rPr>
                <w:sz w:val="24"/>
                <w:szCs w:val="24"/>
                <w:color w:val="auto"/>
              </w:rPr>
            </w:pPr>
          </w:p>
        </w:tc>
        <w:tc>
          <w:tcPr>
            <w:tcW w:w="5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19,545</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268"/>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9,102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w w:val="98"/>
              </w:rPr>
              <w:t>2,001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6,668</w:t>
            </w:r>
          </w:p>
        </w:tc>
        <w:tc>
          <w:tcPr>
            <w:tcW w:w="100" w:type="dxa"/>
            <w:vAlign w:val="bottom"/>
          </w:tcPr>
          <w:p>
            <w:pPr>
              <w:spacing w:after="0"/>
              <w:rPr>
                <w:sz w:val="23"/>
                <w:szCs w:val="23"/>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17,771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11,397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7,497</w:t>
            </w:r>
          </w:p>
        </w:tc>
        <w:tc>
          <w:tcPr>
            <w:tcW w:w="100" w:type="dxa"/>
            <w:vAlign w:val="bottom"/>
          </w:tcPr>
          <w:p>
            <w:pPr>
              <w:spacing w:after="0"/>
              <w:rPr>
                <w:sz w:val="23"/>
                <w:szCs w:val="23"/>
                <w:color w:val="auto"/>
              </w:rPr>
            </w:pPr>
          </w:p>
        </w:tc>
        <w:tc>
          <w:tcPr>
            <w:tcW w:w="5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18,920</w:t>
            </w:r>
          </w:p>
        </w:tc>
      </w:tr>
      <w:tr>
        <w:trPr>
          <w:trHeight w:val="324"/>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623</w:t>
            </w:r>
          </w:p>
        </w:tc>
        <w:tc>
          <w:tcPr>
            <w:tcW w:w="100" w:type="dxa"/>
            <w:vAlign w:val="bottom"/>
          </w:tcPr>
          <w:p>
            <w:pPr>
              <w:spacing w:after="0"/>
              <w:rPr>
                <w:sz w:val="24"/>
                <w:szCs w:val="24"/>
                <w:color w:val="auto"/>
              </w:rPr>
            </w:pPr>
          </w:p>
        </w:tc>
        <w:tc>
          <w:tcPr>
            <w:tcW w:w="5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-3025140</wp:posOffset>
            </wp:positionV>
            <wp:extent cx="724662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-2613660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-2270125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-1927225</wp:posOffset>
            </wp:positionV>
            <wp:extent cx="724662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-1430020</wp:posOffset>
            </wp:positionV>
            <wp:extent cx="724662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-1018540</wp:posOffset>
            </wp:positionV>
            <wp:extent cx="724662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-606425</wp:posOffset>
            </wp:positionV>
            <wp:extent cx="724662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-194945</wp:posOffset>
            </wp:positionV>
            <wp:extent cx="724662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2752" w:space="40"/>
            <w:col w:w="8620"/>
          </w:cols>
          <w:pgMar w:left="248" w:top="337" w:right="239" w:bottom="228" w:gutter="0" w:footer="0" w:header="0"/>
          <w:type w:val="continuous"/>
        </w:sectPr>
      </w:pPr>
    </w:p>
    <w:p>
      <w:pPr>
        <w:ind w:left="332" w:hanging="332"/>
        <w:spacing w:after="0" w:line="230" w:lineRule="auto"/>
        <w:tabs>
          <w:tab w:leader="none" w:pos="332" w:val="left"/>
        </w:tabs>
        <w:numPr>
          <w:ilvl w:val="0"/>
          <w:numId w:val="14"/>
        </w:numPr>
        <w:rPr>
          <w:rFonts w:ascii="Arial" w:cs="Arial" w:eastAsia="Arial" w:hAnsi="Arial"/>
          <w:sz w:val="11"/>
          <w:szCs w:val="11"/>
          <w:color w:val="auto"/>
        </w:rPr>
      </w:pPr>
      <w:r>
        <w:rPr>
          <w:rFonts w:ascii="Arial" w:cs="Arial" w:eastAsia="Arial" w:hAnsi="Arial"/>
          <w:sz w:val="11"/>
          <w:szCs w:val="11"/>
          <w:color w:val="auto"/>
        </w:rPr>
        <w:t>Reclassifications of $541 million and $1,685 million in the six months ended June 30, 2018 and 2017 for purchases/collections of wholesale finance receivables resulting from vehicles sold by GM to dealers that have arranged their inventory floor plan financing through GM Financial.</w:t>
      </w:r>
    </w:p>
    <w:p>
      <w:pPr>
        <w:ind w:left="332" w:hanging="332"/>
        <w:spacing w:after="0" w:line="230" w:lineRule="auto"/>
        <w:tabs>
          <w:tab w:leader="none" w:pos="332" w:val="left"/>
        </w:tabs>
        <w:numPr>
          <w:ilvl w:val="0"/>
          <w:numId w:val="14"/>
        </w:numPr>
        <w:rPr>
          <w:rFonts w:ascii="Arial" w:cs="Arial" w:eastAsia="Arial" w:hAnsi="Arial"/>
          <w:sz w:val="11"/>
          <w:szCs w:val="11"/>
          <w:color w:val="auto"/>
        </w:rPr>
      </w:pPr>
      <w:r>
        <w:rPr>
          <w:rFonts w:ascii="Arial" w:cs="Arial" w:eastAsia="Arial" w:hAnsi="Arial"/>
          <w:sz w:val="11"/>
          <w:szCs w:val="11"/>
          <w:color w:val="auto"/>
        </w:rPr>
        <w:t>Eliminations include $216 million and $197 million in Purchases of finance receivables, net in the six months ended June 30, 2018 and 2017 and $173 million in Principal collections and recoveries on finance receivables in the six months ended June 30, 2018 related to the re-timing of cash receipts and payments between Automotive and GM Financial.</w:t>
      </w:r>
    </w:p>
    <w:p>
      <w:pPr>
        <w:ind w:left="332" w:hanging="332"/>
        <w:spacing w:after="0" w:line="238" w:lineRule="auto"/>
        <w:tabs>
          <w:tab w:leader="none" w:pos="332" w:val="left"/>
        </w:tabs>
        <w:numPr>
          <w:ilvl w:val="0"/>
          <w:numId w:val="14"/>
        </w:numPr>
        <w:rPr>
          <w:rFonts w:ascii="Arial" w:cs="Arial" w:eastAsia="Arial" w:hAnsi="Arial"/>
          <w:sz w:val="11"/>
          <w:szCs w:val="11"/>
          <w:color w:val="auto"/>
        </w:rPr>
      </w:pPr>
      <w:r>
        <w:rPr>
          <w:rFonts w:ascii="Arial" w:cs="Arial" w:eastAsia="Arial" w:hAnsi="Arial"/>
          <w:sz w:val="11"/>
          <w:szCs w:val="11"/>
          <w:color w:val="auto"/>
        </w:rPr>
        <w:t>Eliminations include $1,374 million and $261 million in the six months ended June 30, 2018 and 2017 for Automotive cash injections in GM Cruise, inclusive of the $1.1 billion investment in GM Cruise Preferred Shares in the six months ended June 30, 2018.</w:t>
      </w:r>
    </w:p>
    <w:p>
      <w:pPr>
        <w:spacing w:after="0" w:line="362" w:lineRule="exact"/>
        <w:rPr>
          <w:sz w:val="20"/>
          <w:szCs w:val="20"/>
          <w:color w:val="auto"/>
        </w:rPr>
      </w:pPr>
    </w:p>
    <w:p>
      <w:pPr>
        <w:ind w:left="6372"/>
        <w:spacing w:after="0"/>
        <w:rPr>
          <w:sz w:val="20"/>
          <w:szCs w:val="20"/>
          <w:color w:val="auto"/>
        </w:rPr>
      </w:pPr>
      <w:r>
        <w:rPr>
          <w:rFonts w:ascii="Arial" w:cs="Arial" w:eastAsia="Arial" w:hAnsi="Arial"/>
          <w:sz w:val="16"/>
          <w:szCs w:val="16"/>
          <w:color w:val="auto"/>
        </w:rPr>
        <w:t>13</w:t>
      </w:r>
    </w:p>
    <w:sectPr>
      <w:pgSz w:w="11900" w:h="16838" w:orient="portrait"/>
      <w:cols w:equalWidth="0" w:num="1">
        <w:col w:w="11412"/>
      </w:cols>
      <w:pgMar w:left="248" w:top="337" w:right="239" w:bottom="22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2019-12-28T21:09:08Z</dcterms:created>
  <dcterms:modified xsi:type="dcterms:W3CDTF">2019-12-28T21:09:08Z</dcterms:modified>
</cp:coreProperties>
</file>