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20549-1004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19685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GENERAL MOTORS COMPANY</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6"/>
              </w:rPr>
              <w:t>STATE OF DELAWARE</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250"/>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540" w:type="dxa"/>
            <w:vAlign w:val="bottom"/>
          </w:tcPr>
          <w:p>
            <w:pPr>
              <w:jc w:val="center"/>
              <w:ind w:right="31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05"/>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70"/>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23"/>
        </w:trPr>
        <w:tc>
          <w:tcPr>
            <w:tcW w:w="654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460" w:type="dxa"/>
            <w:vAlign w:val="bottom"/>
          </w:tcPr>
          <w:p>
            <w:pPr>
              <w:spacing w:after="0"/>
              <w:rPr>
                <w:sz w:val="19"/>
                <w:szCs w:val="19"/>
                <w:color w:val="auto"/>
              </w:rPr>
            </w:pPr>
          </w:p>
        </w:tc>
      </w:tr>
      <w:tr>
        <w:trPr>
          <w:trHeight w:val="236"/>
        </w:trPr>
        <w:tc>
          <w:tcPr>
            <w:tcW w:w="6540" w:type="dxa"/>
            <w:vAlign w:val="bottom"/>
          </w:tcPr>
          <w:p>
            <w:pPr>
              <w:jc w:val="center"/>
              <w:ind w:left="23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4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13" w:lineRule="exact"/>
        <w:rPr>
          <w:sz w:val="24"/>
          <w:szCs w:val="24"/>
          <w:color w:val="auto"/>
        </w:rPr>
      </w:pPr>
    </w:p>
    <w:p>
      <w:pPr>
        <w:jc w:val="both"/>
        <w:ind w:firstLine="108"/>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108"/>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108"/>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firstLine="81"/>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October 17, 2017 the number of shares outstanding of common stock was 1,420,407,560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Discontinued Operations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GM Financial Receivables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Variable Interest Entities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Automotive and GM Financial Debt</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13</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16</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23</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Acquisition of Business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Segment Reporting</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47</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43"/>
        </w:trPr>
        <w:tc>
          <w:tcPr>
            <w:tcW w:w="9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48</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49</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6"/>
          <w:szCs w:val="16"/>
          <w:color w:val="auto"/>
        </w:rPr>
        <w:t>During the three months ended September 30, 2017 we closed the sale of the Opel and Vauxhall business and certain other assets in Europe (the Opel/Vauxhall Business) to Peugeot, S.A. (PSA Group). The Opel/Vauxhall Business and our European financing subsidiaries and branches (the Fincos, and together with the Opel/Vauxhall Business, the European Business) are presented as discontinued operations in our condensed consolidated financial statements for all periods presented. The transfer of the Fincos is expected to close by the end of the year subject to the receipt of the necessary regulatory approvals and satisfaction of other closing conditions. The assets and liabilities of the Fincos are presented as held for sale as of September 30, 2017, and the assets and liabilities of the European Business are presented as held for sale as of December 31, 2016 in our condensed consolidated financial statements.</w:t>
      </w:r>
    </w:p>
    <w:p>
      <w:pPr>
        <w:sectPr>
          <w:pgSz w:w="11900" w:h="16838" w:orient="portrait"/>
          <w:cols w:equalWidth="0" w:num="1">
            <w:col w:w="11420"/>
          </w:cols>
          <w:pgMar w:left="240" w:top="360"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64"/>
        </w:trPr>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September 30, 2016</w:t>
            </w:r>
          </w:p>
        </w:tc>
      </w:tr>
      <w:tr>
        <w:trPr>
          <w:trHeight w:val="210"/>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60"/>
        </w:trPr>
        <w:tc>
          <w:tcPr>
            <w:tcW w:w="5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102,862</w:t>
            </w: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6,426</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109,288</w:t>
            </w:r>
          </w:p>
        </w:tc>
      </w:tr>
      <w:tr>
        <w:trPr>
          <w:trHeight w:val="204"/>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60"/>
        </w:trPr>
        <w:tc>
          <w:tcPr>
            <w:tcW w:w="5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87,761</w:t>
            </w: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5,938</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selling, general and administrative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7,378</w:t>
            </w:r>
          </w:p>
        </w:tc>
      </w:tr>
      <w:tr>
        <w:trPr>
          <w:trHeight w:val="21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31,707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35,741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100,435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101,077</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8,211</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income (Note 7)</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1,717</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9,810</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(Note 14)</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2,436</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7,374</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 (Note 2)</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7,493</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7,592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7,592</w:t>
            </w:r>
          </w:p>
        </w:tc>
      </w:tr>
      <w:tr>
        <w:trPr>
          <w:trHeight w:val="122"/>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 –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4.83</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(loss) per common share –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0.07</w:t>
            </w: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4.90</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1,548</w:t>
            </w:r>
          </w:p>
        </w:tc>
      </w:tr>
      <w:tr>
        <w:trPr>
          <w:trHeight w:val="122"/>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Diluted earnings per common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w:t>
            </w: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(loss) per common share –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0.08</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4.81</w:t>
            </w: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1,578</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r>
    </w:tbl>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0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81"/>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64"/>
        </w:trPr>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w w:val="99"/>
              </w:rPr>
              <w:t>September 30, 2016</w:t>
            </w:r>
          </w:p>
        </w:tc>
      </w:tr>
      <w:tr>
        <w:trPr>
          <w:trHeight w:val="237"/>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7,493</w:t>
            </w: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5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5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Defined benefit plans</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7,545</w:t>
            </w:r>
          </w:p>
        </w:tc>
      </w:tr>
      <w:tr>
        <w:trPr>
          <w:trHeight w:val="33"/>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w:t>
            </w:r>
          </w:p>
        </w:tc>
      </w:tr>
      <w:tr>
        <w:trPr>
          <w:trHeight w:val="21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7,675</w:t>
            </w:r>
          </w:p>
        </w:tc>
      </w:tr>
      <w:tr>
        <w:trPr>
          <w:trHeight w:val="33"/>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00"/>
          </w:cols>
          <w:pgMar w:left="240" w:top="121" w:right="25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1" w:right="259" w:bottom="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10"/>
        </w:trPr>
        <w:tc>
          <w:tcPr>
            <w:tcW w:w="7860" w:type="dxa"/>
            <w:vAlign w:val="bottom"/>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84"/>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
        </w:trPr>
        <w:tc>
          <w:tcPr>
            <w:tcW w:w="7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12,574</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 (Note 3)</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11,841</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8,700</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16,127</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(Note 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11,040</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 (Note 6)</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1,110</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 (Note 8 at VIEs)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3,633</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held for sale (Note 2)</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11,178</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76,203</w:t>
            </w:r>
          </w:p>
        </w:tc>
      </w:tr>
      <w:tr>
        <w:trPr>
          <w:trHeight w:val="224"/>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17,001</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8,996</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net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32,603</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6,149</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 (Note 6; Note 8 at VIEs)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34,342</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33,172</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 (Note 8 at VIEs)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3,849</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assets held for sale (Note 2)</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9,375</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145,487</w:t>
            </w:r>
          </w:p>
        </w:tc>
      </w:tr>
      <w:tr>
        <w:trPr>
          <w:trHeight w:val="21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229,502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221,690</w:t>
            </w:r>
          </w:p>
        </w:tc>
      </w:tr>
      <w:tr>
        <w:trPr>
          <w:trHeight w:val="73"/>
        </w:trPr>
        <w:tc>
          <w:tcPr>
            <w:tcW w:w="78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02"/>
        </w:trPr>
        <w:tc>
          <w:tcPr>
            <w:tcW w:w="7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r>
      <w:tr>
        <w:trPr>
          <w:trHeight w:val="224"/>
        </w:trPr>
        <w:tc>
          <w:tcPr>
            <w:tcW w:w="7860" w:type="dxa"/>
            <w:vAlign w:val="bottom"/>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23,333</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Automotive</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1,060</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22,737</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25,893</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 held for sale (Note 2)</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12,158</w:t>
            </w:r>
          </w:p>
        </w:tc>
      </w:tr>
      <w:tr>
        <w:trPr>
          <w:trHeight w:val="21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81,849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85,181</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4"/>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(Note 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9,500</w:t>
            </w:r>
          </w:p>
        </w:tc>
      </w:tr>
      <w:tr>
        <w:trPr>
          <w:trHeight w:val="237"/>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41,826</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5,803</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Pensions (Note 12)</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15,264</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12,415</w:t>
            </w:r>
          </w:p>
        </w:tc>
      </w:tr>
      <w:tr>
        <w:trPr>
          <w:trHeight w:val="237"/>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liabilities held for sale (Note 2)</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7,626</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92,434</w:t>
            </w:r>
          </w:p>
        </w:tc>
      </w:tr>
      <w:tr>
        <w:trPr>
          <w:trHeight w:val="21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186,025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177,615</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4"/>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26,983</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26,168</w:t>
            </w:r>
          </w:p>
        </w:tc>
      </w:tr>
      <w:tr>
        <w:trPr>
          <w:trHeight w:val="237"/>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43,836</w:t>
            </w:r>
          </w:p>
        </w:tc>
      </w:tr>
      <w:tr>
        <w:trPr>
          <w:trHeight w:val="237"/>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44,075</w:t>
            </w:r>
          </w:p>
        </w:tc>
      </w:tr>
      <w:tr>
        <w:trPr>
          <w:trHeight w:val="21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229,502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221,690</w:t>
            </w:r>
          </w:p>
        </w:tc>
      </w:tr>
      <w:tr>
        <w:trPr>
          <w:trHeight w:val="3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Reference should be made to the notes to condensed consolidated financial statements.</w:t>
      </w:r>
    </w:p>
    <w:p>
      <w:pPr>
        <w:sectPr>
          <w:pgSz w:w="11900" w:h="16838" w:orient="portrait"/>
          <w:cols w:equalWidth="0" w:num="1">
            <w:col w:w="11400"/>
          </w:cols>
          <w:pgMar w:left="240" w:top="121" w:right="259"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121" w:right="1440"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22"/>
                <w:szCs w:val="22"/>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7,374</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amortization and impairment charges</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7,125</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remeasurement and transaction (gains) losses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143</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Undistributed earnings of nonconsolidated affiliates, net</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400</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Pension contributions and OPEB payments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Pension and OPEB income,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Provision for 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2,194</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other operating assets and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r>
      <w:tr>
        <w:trPr>
          <w:trHeight w:val="29"/>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12,281</w:t>
            </w:r>
          </w:p>
        </w:tc>
      </w:tr>
      <w:tr>
        <w:trPr>
          <w:trHeight w:val="243"/>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308</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12,589</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Expenditures for property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Available-for-sale marketable securities, acquisitions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(8,613)</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Trading marketable securities,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Available-for-sale marketable securities, liquidations</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8,090</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Trading marketable securities, liquidations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846</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of companies/investments, net of cash acquired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(10,389)</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collections and recoveries on finance receivables</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7,368</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leased vehicles,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termination of leased vehicles</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1,799</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r>
      <w:tr>
        <w:trPr>
          <w:trHeight w:val="223"/>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continuing operations</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(18,789)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(22,811)</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discontinued operations (Note 2)</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2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(22,761)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(23,999)</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decrease in short-term debt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debt (original maturities greater than three months)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30,598</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debt (original maturities greater than three months)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(15,294)</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to purchase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GM Financial preferred stock</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9"/>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cash provided by financing activities –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12,659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11,560</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provided by financing activities – discontinued operations</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585</w:t>
            </w:r>
          </w:p>
        </w:tc>
      </w:tr>
      <w:tr>
        <w:trPr>
          <w:trHeight w:val="29"/>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12,679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12,145</w:t>
            </w:r>
          </w:p>
        </w:tc>
      </w:tr>
      <w:tr>
        <w:trPr>
          <w:trHeight w:val="241"/>
        </w:trPr>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r>
      <w:tr>
        <w:trPr>
          <w:trHeight w:val="29"/>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787</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17,332</w:t>
            </w:r>
          </w:p>
        </w:tc>
      </w:tr>
      <w:tr>
        <w:trPr>
          <w:trHeight w:val="29"/>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18,119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continuing operations at end of period (Note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17,392</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discontinued operations at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727</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Non-cash Investing and Financing Activity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property additions –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3,841</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property additions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847</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business acquisition – continuing operations (Note 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290</w:t>
            </w: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proceeds on sale of discontinued operations (Note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7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00"/>
          </w:cols>
          <w:pgMar w:left="240" w:top="121" w:right="259" w:bottom="104"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04"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40,323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45,015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44,075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GM Financial preferred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43,477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continuing operations through the following segments: GM North America (GMNA), GM International Operations (GMIO), GM South America (GMSA)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8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July 31, 2017 we closed the sale of the Opel and Vauxhall business and certain other assets in Europe (the Opel/Vauxhall Business) to Peugeot S.A. (PSA Group). Both the Opel/Vauxhall Business and our European financing subsidiaries and branches (the Fincos, and together with the Opel/Vauxhall Business, the European Business) are presented as discontinued operations in our condensed consolidated financial statements for all periods presented. The assets and liabilities of the Fincos are presented as held for sale as of September 30, 2017, and the assets and liabilities of the European Business are presented as held for sale as of December 31, 2016 in our condensed consolidated financial statements. Unless otherwise indicated, information in these notes to the condensed consolidated financial statements relates to our continuing operations. Refer to Note 2 for additional details regarding the disposal of the Opel/Vauxhall Business and the planned disposals of the Fincos.</w:t>
      </w:r>
    </w:p>
    <w:p>
      <w:pPr>
        <w:spacing w:after="0" w:line="18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2016 Form 10-K. Except for per share amounts or as otherwise specified, dollar amounts presented within tables are stated in millions.</w:t>
      </w:r>
    </w:p>
    <w:p>
      <w:pPr>
        <w:spacing w:after="0" w:line="185"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(ASU 2014-09), which requires us to recognize revenue when a customer obtains control rather than when we have transferred substantially all risks and rewards of a good or service and requires expanded disclosures. ASU 2014-09, as amended, is effective for us beginning January 1, 2018. ASU 2014-09 will affect the amount and timing of certain revenue related transactions primarily resulting from the earlier recognition of certain sales incentives and fixed fee license arrangements. Upon adoption of ASU 2014-09 sales incentives will be recorded at the time of sale rather than at the later of sale or announcement and fixed fee license arrangements will be recognized when the customer is granted access to intellectual property instead of over the contract period. Certain transactions with daily rental car companies may also qualify to be accounted for as a sale as opposed to the current accounting as an operating lease. We expect to adopt the provisions of ASU 2014-09 on a modified retrospective basis through a cumulative adjustment to equity. Upon adoption of ASU 2014-09 we estimate a reduction to Equity of up to $1.0 billion. This estimate is subject to change as a result of future changes in market conditions, incentive program offerings, and dealer inventory levels. We continue to assess the overall impact the adoption of ASU 2014-09 will have on our consolidated financial statements and are continuing to test and refine our processes designed to comply with ASU 2014-09 to permit adoption by January 1, 2018.</w:t>
      </w:r>
    </w:p>
    <w:p>
      <w:pPr>
        <w:spacing w:after="0" w:line="19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(ASU 2016-01), which requires equity investments that are not accounted for under the equity method of accounting to be measured at fair value with changes recognized in net income and which updates certain presentation and disclosure requirements. ASU 2016-01 is effective for us beginning January 1, 2018 and requires a cumulative-effect adjustment for certain items upon adoption. At September 30, 2017 the carrying value of equity investments that are not accounted for under the equity method of accounting totaled approximately $500 million and unrealized gains or losses were insignificant. We do not believe the adoption of ASU 2016-01 will be material to our consolidated financial statements.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Improving the Presentation of Net Periodic Pension Cost and Net Periodic Postretirement Benefit Cost" (ASU 2017-07), which requires that the service cost component of net periodic pension and other postretirement benefits (OPEB) (income) expense be presented in the same income statement line item as other employee compensation costs, while the remaining components of net periodic pension and OPEB (income) expense are to be presented outside operating income. ASU 2017-07 is effective for us on a retrospective basis beginning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January 1, 2018 and will result in the reclassification of non-service cost components from primarily Automotive cost of sales to Interest income and other non-operating income, net. We expect a resulting decrease to Operating income and an increase to Interest income and other non-operating income, net of approximately $1.3 billion for the year ended December 31, 2016.</w:t>
      </w:r>
    </w:p>
    <w:p>
      <w:pPr>
        <w:spacing w:after="0" w:line="176"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August 2017 the FASB issued ASU 2017-12, "Derivatives and Hedging (Topic 815), Targeted Improvements to Accounting for Hedging Activities" (ASU 2017-12), which simplifies the application of hedge accounting and more closely aligns hedge accounting with companies' risk management strategies thereby making more hedging strategies eligible for hedge accounting. Unlike current guidance, ASU 2017-12 permits hedge accounting for specific risks in hedging relationships involving nonfinancial risk and interest rate risk. ASU 2017-12 is effective for us beginning January 1, 2019, with early adoption permitted. ASU 2017-12 requires a cumulative-effect adjustment for certain items upon adoption. We are currently evaluating the impact the adoption of ASU 2017-12 will have on our consolidated financial statements. The simplifications to the application of hedge accounting may result in the future expansion of our use of hedge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March 5, 2017 we entered into a Master Agreement (the Agreement) to sell our European Business to PSA Group for net consideration with an estimated value of approximately $2.5 billion. On July 31, 2017 we closed the sale of our Opel/Vauxhall Business to PSA Group. The transfer of the Fincos is expected to close by the end of the year subject to the receipt of the necessary regulatory approvals and satisfaction of other closing conditions.</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The net consideration paid at closing for the Opel/Vauxhall Business was $1.4 billion, consisting of (1) $1.1 billion in cash; and (2) $808 million in warrants in PSA Group; partially offset by (3) the $478 million de-risking premium payment made to PSA Group for assuming certain underfunded pension liabilities. The warrants are not exercisable for five years and do not include any governance or voting rights with respect to PSA Group. In addition, we agreed to sell the shares of PSA Group received upon exercise of the warrants within 35 days after exercise. The net consideration to be paid for the Fincos will be 0.8 times their book value at closing, which we estimate will be approximately $1.1 billion based on exchange rates at September 30, 2017, subject to foreign currency fluctuations. The purchase price is subject to certain working capital adjustments as provided in the Agreement.</w:t>
      </w:r>
    </w:p>
    <w:p>
      <w:pPr>
        <w:spacing w:after="0" w:line="188"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The total charge from the sale of the European Business is expected to be approximately $6.3 billion, net of tax. During the three months ended September 30, 2017 the Company recorded a charge of $5.4 billion, of which $3.1 billion is recorded in Income (loss) from discontinued operations, net of tax and $2.3 billion is recorded in Income tax expense, as a result of the sale of the Opel/Vauxhall Business. The charge relates to: (1) $4.3 billion of deferred tax assets that will no longer be realizable or that transferred to PSA Group; (2) $1.5 billion related to previously deferred pension losses and payment of the de-risking premium to PSA Group for its assumption of certain underfunded pension liabilities; and (3) other net charges primarily related to contract cancellations, working capital adjustments and certain transitional services and other costs to support the separation of operations to be provided for a period of time following closing; partially offset by proceeds. During the three months ended June 30, 2017 we recognized, on a pre-tax basis, a charge of $836 million in Income (loss) from discontinued operations consisting of (1) a charge of $421 million for the cancellation of production programs resulting from the convergence of vehicle platforms between the European Business and PSA Group; (2) a disposal loss of $324 million as a result of the Fincos being classified as held for sale; and (3) other insignificant charges. We expect to record a disposal loss of approximately $300 million upon sale of the Fincos.</w:t>
      </w:r>
    </w:p>
    <w:p>
      <w:pPr>
        <w:spacing w:after="0" w:line="20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Our wholly-owned subsidiary (the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for certain losses resulting from any inaccuracy of certain representations and warranties or breaches of our covenants in the Agreement and for certain other liabilities. Certain of these indemnification obligations are subject to time limitations, thresholds and/or caps as to the amount of required payments.</w:t>
      </w:r>
    </w:p>
    <w:p>
      <w:pPr>
        <w:spacing w:after="0" w:line="18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retained net underfunded pension liabilities of $6.8 billion owed primarily to current pensioners and former employees of the European Business with vested pension rights. PSA Group assumed approximately $3.1 billion of net underfunded pension liabilities primarily with respect to active employees of the Opel/Vauxhall Business, and during the three months ended September 30, 2017 the Seller made payments to PSA Group, or one or more pension funding vehicles, of $3.4 billion in respect of these assumed liabilities, which includes pension funding payments for active employees and the de-risking premium payment of $478 million discussed above. At closing we drew upon our three-year unsecured revolving credit facility to fund these payments. We issued debt securities, as described in Note 9, thereafter to repay the amount drawn on our credit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part of the retained pension liabilities described above, we retained the United Kingdom defined benefit pension plans in existence at signing related to the Opel/Vauxhall Business, including responsibility for service cost accruals through the closing date. Those plans with active participants closed to future accrual as of July 30, 2017. Any future service cost accruals on and from the closing date will be the responsibility of PSA Group.</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agreed to purchase from and supply to PSA Group certain vehicles for a period of time following closing. During the three and nine months ended September 30, 2017 Total net sales and revenue from continuing operations include $362 million and purchases and expenses incurred by our continuing operations were insignificant related to transactions with the Opel/Vauxhall Business that would have been eliminated in consolidation prior to the sale of the Opel/Vauxhall Business. During the nine months ended September 30, 2017 cash payments were insignificant and cash receipts of $558 million were recorded in Net cash provided by operating cash flows - continuing operations related to transactions with the Opel/Vauxhall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the discontinued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September 30, 2016</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11,671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15,429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cost of sales</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11,049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selling, general, and administrative expense</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and (expense) items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before taxes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sale of discontinued operations before taxes(a)(b)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loss from discontinued operations before taxes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(benefit)(b)(c)</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contract cancellation charges associated with the disposal in the nine months ended September 30, 2017.</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loss on sale of discontinued operations, net of tax was $3.1 billion and $3.7 billion for the three and nine months ended September 30, 2017.</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 billion of deferred tax assets that transferred to PSA Group in the three and nine months ended September 30, 2017.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of the Fincos at September 30, 2017 and the European Business at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7"/>
        </w:trPr>
        <w:tc>
          <w:tcPr>
            <w:tcW w:w="7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5,938</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2,748</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 held for sale</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11,178</w:t>
            </w:r>
          </w:p>
        </w:tc>
      </w:tr>
      <w:tr>
        <w:trPr>
          <w:trHeight w:val="237"/>
        </w:trPr>
        <w:tc>
          <w:tcPr>
            <w:tcW w:w="7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3,723</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net</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3,217</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1,920</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9,375</w:t>
            </w:r>
          </w:p>
        </w:tc>
      </w:tr>
      <w:tr>
        <w:trPr>
          <w:trHeight w:val="284"/>
        </w:trPr>
        <w:tc>
          <w:tcPr>
            <w:tcW w:w="7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Held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20,553</w:t>
            </w:r>
          </w:p>
        </w:tc>
      </w:tr>
      <w:tr>
        <w:trPr>
          <w:trHeight w:val="257"/>
        </w:trPr>
        <w:tc>
          <w:tcPr>
            <w:tcW w:w="7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7"/>
        </w:trPr>
        <w:tc>
          <w:tcPr>
            <w:tcW w:w="7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3,628</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r>
        <w:trPr>
          <w:trHeight w:val="237"/>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5,124</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3,299</w:t>
            </w:r>
          </w:p>
        </w:tc>
      </w:tr>
      <w:tr>
        <w:trPr>
          <w:trHeight w:val="21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 held for sale</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12,158</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4,189</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2,687</w:t>
            </w:r>
          </w:p>
        </w:tc>
      </w:tr>
      <w:tr>
        <w:trPr>
          <w:trHeight w:val="237"/>
        </w:trPr>
        <w:tc>
          <w:tcPr>
            <w:tcW w:w="7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7,626</w:t>
            </w:r>
          </w:p>
        </w:tc>
      </w:tr>
      <w:tr>
        <w:trPr>
          <w:trHeight w:val="244"/>
        </w:trPr>
        <w:tc>
          <w:tcPr>
            <w:tcW w:w="7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Held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10,864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19,784</w:t>
            </w: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securities which approximates cost:</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121" w:right="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3"/>
                <w:szCs w:val="13"/>
                <w:color w:val="auto"/>
              </w:rPr>
            </w:pPr>
          </w:p>
        </w:tc>
        <w:tc>
          <w:tcPr>
            <w:tcW w:w="15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 cash equivalents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 included above with contractual maturities(a)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(a)  Excludes mortgage and asset-backed securities.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Sales proceeds from investments classified as available-for-sale and sold prior to maturity were $3.7 billion and $1.6 billion in the three months ended September 30, 2017 and 2016 and $5.1 billion and $5.8 billion in the nine months ended September 30, 2017 and 2016. Net unrealized gains and losses on available-for-sale securities and realized gains and losses on trading securities were insignificant in the three and nine months ended September 30, 2017 and 2016. Cumulative unrealized gains and losses on available-for-sale securities were insignificant at September 30, 2017 and December 31, 2016.</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Borders>
              <w:bottom w:val="single" w:sz="8" w:color="CCEEFF"/>
            </w:tcBorders>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12,792</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0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15,315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040" w:type="dxa"/>
            <w:vAlign w:val="bottom"/>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1"/>
        </w:trPr>
        <w:tc>
          <w:tcPr>
            <w:tcW w:w="4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3"/>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Finance receivables, collectively evaluated for impairment,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31,986</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individually evaluated for impairment,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33,933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31,323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40,420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40,513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33,181</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allowance for loan losses on retail and commercial finance receivables included a collective allowance of $617 million and $525 million and a specific allowance of $331 million and $280 million at September 30, 2017 and December 31, 2016.</w:t>
      </w:r>
    </w:p>
    <w:p>
      <w:pPr>
        <w:spacing w:after="0" w:line="15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We use proprietary scoring systems in the underwriting process that measure the credit quality of retail finance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several factors, such as credit bureau information, consumer credit risk scores (e.g. FICO scores or its equivalent) and contract characteristics. We also consider other factors such as employment history, financial stability and capacity to pay. Subsequent to origination we review the credit quality of retail finance receivables based on customer payment activity. In North America, while we historically focused on consumers with lower than prime credit scores, we have expanded our prime lending programs. At September 30, 2017 and December 31, 2016, 39% and 48% of the retail finance receivables in North America were from consumers with sub-prime credit scores, which are defined as FICO scores or its equivalent of less than 620 at the time of loan origination.</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An account is considered delinquent if a substantial portion of a scheduled payment has not been received by the date such payment was contractually due. At September 30, 2017 and December 31, 2016 the accrual of finance charge income had been suspended on delinquent retail finance receivables with contractual amounts due of $797 million and $798 million. The following table summarizes the contractual amount of delinquent retail finance receivables, which is not significantly different than the recorded investment of the retail finance receivables: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At September 30, 2017 and December 31, 2016 retail finance receivables classified as troubled debt restructurings and individually evaluated for impairment were $2.2 billion and $1.9 billion and the allowance for loan losses included $328 million and $276 million of specific allowances on these receivables.</w:t>
      </w:r>
    </w:p>
    <w:p>
      <w:pPr>
        <w:spacing w:after="0" w:line="172"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Our commercial finance receivables consist of dealer financings, primarily for inventory purchases. A proprietary model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At September 30, 2017 and December 31, 2016 the commercial finance receivables on non-accrual status were insignificant. The following table summarizes the credit risk profile by dealer risk rating of commercial finance receivables: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51"/>
        </w:trPr>
        <w:tc>
          <w:tcPr>
            <w:tcW w:w="900" w:type="dxa"/>
            <w:vAlign w:val="bottom"/>
            <w:tcBorders>
              <w:bottom w:val="single" w:sz="8" w:color="CCEEFF"/>
            </w:tcBorders>
          </w:tcPr>
          <w:p>
            <w:pPr>
              <w:spacing w:after="0"/>
              <w:rPr>
                <w:sz w:val="4"/>
                <w:szCs w:val="4"/>
                <w:color w:val="auto"/>
              </w:rPr>
            </w:pPr>
          </w:p>
        </w:tc>
        <w:tc>
          <w:tcPr>
            <w:tcW w:w="5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superior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II</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strong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III</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IV</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weak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V</w:t>
            </w:r>
          </w:p>
        </w:tc>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warranting special mention due to elevated risks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VI</w:t>
            </w: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loans classified as substandard, doubtful or impaired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9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40" w:type="dxa"/>
            <w:vAlign w:val="bottom"/>
          </w:tcPr>
          <w:p>
            <w:pPr>
              <w:spacing w:after="0"/>
              <w:rPr>
                <w:sz w:val="22"/>
                <w:szCs w:val="22"/>
                <w:color w:val="auto"/>
              </w:rPr>
            </w:pPr>
          </w:p>
        </w:tc>
        <w:tc>
          <w:tcPr>
            <w:tcW w:w="1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1,485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40" w:type="dxa"/>
            <w:vAlign w:val="bottom"/>
          </w:tcPr>
          <w:p>
            <w:pPr>
              <w:spacing w:after="0"/>
              <w:rPr>
                <w:sz w:val="22"/>
                <w:szCs w:val="22"/>
                <w:color w:val="auto"/>
              </w:rPr>
            </w:pPr>
          </w:p>
        </w:tc>
        <w:tc>
          <w:tcPr>
            <w:tcW w:w="1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12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Equipment on operating leases consists of leases to retail customers that are recorded as operating leases and vehicle sales to daily rental car companies with a guaranteed repurchase obligation.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41,851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 net(a)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35,452</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right"/>
              <w:ind w:right="7212"/>
              <w:spacing w:after="0"/>
              <w:rPr>
                <w:sz w:val="20"/>
                <w:szCs w:val="20"/>
                <w:color w:val="auto"/>
              </w:rPr>
            </w:pPr>
            <w:r>
              <w:rPr>
                <w:rFonts w:ascii="Times New Roman" w:cs="Times New Roman" w:eastAsia="Times New Roman" w:hAnsi="Times New Roman"/>
                <w:sz w:val="16"/>
                <w:szCs w:val="16"/>
                <w:color w:val="auto"/>
                <w:w w:val="99"/>
              </w:rPr>
              <w:t>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Includes $41.8 billion and $34.3 billion of GM Financial equipment on operating leases, net at September 30, 2017 and December 31, 2016.</w:t>
      </w:r>
    </w:p>
    <w:p>
      <w:pPr>
        <w:spacing w:after="0" w:line="19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$1.8 billion and $1.3 billion in the three months ended September 30, 2017 and 2016 and $4.9 billion and $3.3 billion in the nine months ended September 30, 2017 and 2016.</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minimum rental payments due to GM Financial on leases to retail customers: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receipts under operating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Borders>
              <w:bottom w:val="single" w:sz="8" w:color="auto"/>
            </w:tcBorders>
          </w:tcPr>
          <w:p>
            <w:pPr>
              <w:spacing w:after="0"/>
              <w:rPr>
                <w:sz w:val="22"/>
                <w:szCs w:val="22"/>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equity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780" w:type="dxa"/>
            <w:vAlign w:val="bottom"/>
            <w:tcBorders>
              <w:bottom w:val="single" w:sz="8" w:color="CCEEFF"/>
            </w:tcBorders>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78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since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5260" w:type="dxa"/>
            <w:vAlign w:val="bottom"/>
          </w:tcPr>
          <w:p>
            <w:pPr>
              <w:spacing w:after="0"/>
              <w:rPr>
                <w:sz w:val="22"/>
                <w:szCs w:val="22"/>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4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32,417</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China JVs' net income</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3,021</w:t>
            </w:r>
          </w:p>
        </w:tc>
      </w:tr>
    </w:tbl>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Dividends received from our nonconsolidated affiliates were $382 million and an insignificant amount in the three months ended September 30, 2017 and 2016 and $2.0 billion in the nine months ended September 30, 2017 and 2016. At September 30, 2017 and December 31, 2016 we had undistributed earnings of $1.8 billion and $2.2 billion related to our nonconsolidated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variable interest entities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11,917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19,341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17,526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16,659</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Automotive and GM Financial Debt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11,399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162"/>
        <w:spacing w:after="0" w:line="272" w:lineRule="auto"/>
        <w:rPr>
          <w:sz w:val="20"/>
          <w:szCs w:val="20"/>
          <w:color w:val="auto"/>
        </w:rPr>
      </w:pPr>
      <w:r>
        <w:rPr>
          <w:rFonts w:ascii="Times New Roman" w:cs="Times New Roman" w:eastAsia="Times New Roman" w:hAnsi="Times New Roman"/>
          <w:sz w:val="18"/>
          <w:szCs w:val="18"/>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September 30, 2017 and December 31, 2016 the fair value of automotive debt exceeded its carrying amount due primarily to a decrease in bond yields compared to yields at the time of issuance.</w:t>
      </w:r>
    </w:p>
    <w:p>
      <w:pPr>
        <w:spacing w:after="0" w:line="18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August 2017 we issued $3.0 billion in aggregate principal amount of senior unsecured notes with an initial weighted average interest rate of 4.5% and maturity dates ranging from 2020 to 2048. The indentures governing these notes contain terms and covenants customary of these types of securities including limitation on the amount of certain secured debt we may incur. The net proceeds from the issuance of these senior unsecured notes were used to repay the $3.0 billion drawn on our three-year unsecured revolving credit facility in the three months ended September 30, 2017 to fund the payments to PSA Group, or one or more pension funding vehicles, for the assumed net underfunded pension liabilities in connection with the sale of the Opel/Vauxhall Business as described in Note 2.</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35,162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30,045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79,038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80,300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64,563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65,207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62,951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fair value of GM Financial debt measured utilizing Level 2 inputs was based on quoted market prices for identical instruments and if unavailable, quoted market prices of similar instruments. For debt with original maturity or revolving period of eighteen months or less par value is considered to be a reasonable estimate of fair value. The fair value of GM Financial debt measured utilizing Level 3 inputs was based on the discounted future net cash flows expected to be settled using current risk-adjusted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Securitized Assets. Refer to Note 8 for additional information on GM Financial's involvement with VIEs. In the nine months ended September 30, 2017 we entered into new or renewed credit facilities with a total net additional borrowing capacity of $1.7 billion, which had substantially the same terms as existing debt and we issued $18.8 billion in aggregate principal amount of securitization notes payable with an initial weighted average interest rate of 2.09% and maturity dates ranging from 2019 to 2025.</w:t>
      </w:r>
    </w:p>
    <w:p>
      <w:pPr>
        <w:spacing w:after="0" w:line="184"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nine months ended September 30, 2017 we issued $10.6 billion in aggregate principal amount of senior notes with an initial weighted average interest rate of 2.87% and maturity dates ranging from 2019 to 2027.</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Each of the revolving credit facilities and the indentures governing GM Financial's notes contain terms and covenants including limitations on GM Financial's ability to incur certain liens.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17"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based on asset or liability positions of derivative financial instruments in our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3"/>
                <w:szCs w:val="13"/>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3"/>
                <w:szCs w:val="13"/>
                <w:color w:val="auto"/>
              </w:rPr>
            </w:pPr>
          </w:p>
        </w:tc>
        <w:tc>
          <w:tcPr>
            <w:tcW w:w="15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PSA warrants(b)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September 30, 2017 and December 31, 2016 and the gains/losses included in our condensed consolidated income statements and statements of comprehensive income for the three and nine months ended September 30, 2017 and 2016 were insignificant.</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PSA warrants was $903 million at September 30, 2017.</w:t>
      </w:r>
    </w:p>
    <w:p>
      <w:pPr>
        <w:spacing w:after="0" w:line="17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the PSA warrants using a Black-Scholes valuation model. The significant inputs to the model include the PSA stock price and the estimated dividend yield. The estimated dividend yield is adjusted based on the terms of the Agreement. Under the terms of the Agreement we are entitled to the dividends distributed by PSA since the warrants issuance date. Gains or losses as a result of the change in the fair value of the PSA warrants are recorded in Interest income and other non-operating income, net.</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notional amounts based on asset or liability positions of GM Financial's derivative financial instruments: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3"/>
                <w:szCs w:val="13"/>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3"/>
                <w:szCs w:val="13"/>
                <w:color w:val="auto"/>
              </w:rPr>
            </w:pPr>
          </w:p>
        </w:tc>
        <w:tc>
          <w:tcPr>
            <w:tcW w:w="1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hedges – 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hedges – interest rate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7"/>
        </w:trPr>
        <w:tc>
          <w:tcPr>
            <w:tcW w:w="6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flow hedges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caps and floors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caps and floors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18,316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September 30, 2017 and December 31, 2016 and the gains/losses included in our condensed consolidated income statements and statements of comprehensive income for the three and nine months ended September 30, 2017 and 2016 were insignificant.</w:t>
      </w: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was $260 million and $276 million at September 30, 2017 and December 31, 2016.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8,550</w:t>
            </w:r>
          </w:p>
        </w:tc>
      </w:tr>
      <w:tr>
        <w:trPr>
          <w:trHeight w:val="29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recall campaigns</w:t>
            </w:r>
          </w:p>
        </w:tc>
        <w:tc>
          <w:tcPr>
            <w:tcW w:w="160" w:type="dxa"/>
            <w:vAlign w:val="bottom"/>
          </w:tcPr>
          <w:p>
            <w:pPr>
              <w:spacing w:after="0"/>
              <w:rPr>
                <w:sz w:val="24"/>
                <w:szCs w:val="24"/>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627</w:t>
            </w:r>
          </w:p>
        </w:tc>
      </w:tr>
      <w:tr>
        <w:trPr>
          <w:trHeight w:val="30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product warranty</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8,821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September 30, 2017. Refer to Note 13 for reasonably possible losses on Takata Corporation (Takata) matters.</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made discretionary contributions to our U.S. hourly pension plan of $2.0 billion in the nine months ended September 30,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business, we are named from time to time as a defendant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actions, including arbitrations, class actions and other litigation, that arise in connection with our business as a global company. We identify below the material individual proceedings and investigations in connection with which we believe a material loss is reasonably possible or probable. We accrue for matters when we believe that losses are probable and can be reasonably estimated. At September 30, 2017 and December 31, 2016 total accruals of $1.1 billion and $1.2 billion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83"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Proceedings Related to Ignition Switch Recall and Other Recalls </w:t>
      </w:r>
      <w:r>
        <w:rPr>
          <w:rFonts w:ascii="Times New Roman" w:cs="Times New Roman" w:eastAsia="Times New Roman" w:hAnsi="Times New Roman"/>
          <w:sz w:val="18"/>
          <w:szCs w:val="18"/>
          <w:color w:val="auto"/>
        </w:rPr>
        <w:t>In 2014 we announced various recalls relating to safety and other matters. Those recalls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75"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Through October 17, 2017 we were aware of over 100 putative class actions pending against GM in various courts in the U.S. and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 There is also a civil action brought by the Arizona Attorney General relating to the recalls that seeks civil penalties and injunctive relief for alleged violations of state laws.</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also were aware of several hundred actions pending in various courts in the U.S. and Canada alleging injury or death as a result of defects that may be the subject of recalls announced in 2014 (personal injury cases). In general, these personal injury cases seek recovery for purported compensatory damages, punitive damages and other relief. Since 2016, several bellwether trials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taken place in the personal injury cases in the U.S. District Court for the Southern District of New York (Southern District), which is administering a federal multi-district litigation, and in a Texas state court, which is administering a Texas state multi-district litigation (MDL). None of these trials resulted in a finding of liability against GM. An additional personal injury bellwether trial is scheduled in 2018 along with non-bellwether trials in various courts.</w:t>
      </w:r>
    </w:p>
    <w:p>
      <w:pPr>
        <w:spacing w:after="0" w:line="176"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color w:val="auto"/>
        </w:rPr>
        <w:t>On July 15, 2016 the Southern District granted in part and denied in part GM's motion to dismiss plaintiffs' complaint in the federal multi-district litigation seeking damages for alleged economic loss relating to the ignition switch and other recalls by GM in 2014. Among other things, the Southern District dismissed plaintiffs' claims brought under the Racketeer Influenced and Corrupt Organization Act (RICO) and rejected plaintiffs' broadest theory of damages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that plaintiffs could seek recovery for alleged reduction in the value of their vehicles due to damage to GM's reputation and brand as a result of the ignition switch matter. The Southern District granted GM's motion to dismiss with respect to certain state law claims but denied it as to other state law claims.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September 15, 2016, plaintiffs filed a Fourth Amended Consolidated Complaint amending their economic-loss claims, and GM moved to dismiss certain claims in that Complaint as well. On June 30, 2017, the Southern District issued an order granting in part and denying in part GM’s motion. In its order, among other things, the Southern District reaffirmed its dismissal of plaintiffs’ brand devaluation claim and theory of damages and dismissed the claims of any plaintiff who purchased a vehicle before GM came into existence in July 2009. With respect to plaintiffs’ claims under the laws of certain states that were at issue in the motion, the Court granted GM’s motion to dismiss with respect to certain state law claims but denied it as to other state law claims.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April 2015 the United States Bankruptcy Court for the Southern District of New York (Bankruptcy Court) issued a decision precluding claims against us based upon pre-sale accidents, claims based upon the acts or conduct by General Motors Corporation and claims asserting successor liability for obligations owed by General Motors Corporation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w:t>
      </w:r>
    </w:p>
    <w:p>
      <w:pPr>
        <w:spacing w:after="0" w:line="184"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On July 13, 2016 the United States Court of Appeals for the Second Circuit (Second Circuit) issued a decision and judgment affirming in part, reversing in part, and vacating portions of the Bankruptcy Court's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economic-loss claims. The Second Circuit also vacated that portion of the Bankruptcy Court judgment enforcing the 2009 Sale Order against plaintiffs with pre-sale claims based on defects other than the ignition switch and remanded that issue to the Bankruptcy Court for further proceedings. In April 2017, the United States Supreme Court denied our petition for certiorari. Certain of these pre-sale claims were resolved through GM's Ignition Switch Recall Compensation Program (Compensation Program) and should not be the subject of additional litigation. For Plaintiffs asserting pre-sale claims related to the ignition switch defect that were not resolved by the Compensation Program, those Plaintiffs must still establish their right to assert successor liability claims and demonstrate that their claims have merit. In August 2017, the MDL court granted our motion to dismiss the successor liability claims of Plaintiffs in seven of the sixteen states at issue on the motion and called for additional briefing to decide whether Plaintiffs' claims can proceed in the other nine states.</w:t>
      </w:r>
    </w:p>
    <w:p>
      <w:pPr>
        <w:spacing w:after="0" w:line="193"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 On May 23, 2016 the Eastern District entered a judgment approving a class-wide settlement of the Shareholder Class Action for $300 million. One shareholder has filed an appeal of the decision approving the settlement.</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Three shareholder derivative actions against certain current and former GM directors and officers are pending in the Eastern District. In two of those matters that have been consolidated, the Court issued an Order on August 4, 2017 denying our motion to dismiss without prejudice and granting leave for Plaintiff to file an amended complaint. The court is still considering a motion to dismiss in the other action. Two derivative actions filed in the Circuit Court of Wayne County, Michigan, which have been consolidated, are stayed pending disposition of the federal derivative actions.</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connection with the 2014 recalls, we have from time to time received subpoenas and other requests for information related to investigations by agencies or other representatives of U.S. federal, state and the Canadian governments, including the United States Attorney’s Office for the Southern District of New York (the U.S. Attorney's Office). Ongoing matters or investigations as of September 30, 2017, included litigation initiated by the Arizona Attorney General, litigation initiated by the Orange County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District Attorney, and investigations by 49 state attorneys general, and an inquiry from the U.S. General Services Administration which has subsequently been closed in light of our obligations under the Deferred Prosecution Agreement (DPA). Investigations into consumer protection claims by 49 state attorneys general and the litigation initiated by the Orange County District Attorney have been resolved. We believe we are cooperating fully with all reasonable pending requests for information. Such matters could in the future result in the imposition of damages, fines, civil consent orders, civil and criminal penalties or other remedies.</w:t>
      </w:r>
    </w:p>
    <w:p>
      <w:pPr>
        <w:spacing w:after="0" w:line="184"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With regard to the investigation by the U.S. Attorney's Office, on September 16, 2015, we entered into the DPA with the U.S. Attorney's Office regarding its investigation of the events leading up to certain recalls regarding faulty ignition switches. Pursuant to the DPA we have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U.S. Attorney's Office agreed to recommend to the Southern District that prosecution of GM on a two-count information filed in the Southern District be deferred for three years. The U.S. Attorney's Office also agreed that if we are in compliance with all of our obligations under the DPA, the U.S. Attorney's Office will, within 30 days after the expiration of the period of deferral (including any extensions thereto), seek dismissal with prejudice of the two-count information filed against GM. For a further description of the terms and conditions of the DPA refer to Note 15 of our 2016 Form 10-K.</w:t>
      </w:r>
    </w:p>
    <w:p>
      <w:pPr>
        <w:spacing w:after="0" w:line="189"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The total amount accrued for ignition switch and the various other related recalls at September 30, 2017 reflects amounts for a combination of settled but unpaid matters, and for the remaining unsettled investigations, claims and/or lawsuits relating to the ignition switch recalls and other related recalls.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further proceedings regarding interpretation and application of the Second Circuit's July 13, 2016 decision and certain common law doctrines, and further proceedings following the Southern District's July 15, 2016 decision and its June 30, 2017 decision on GM's motion to dismiss the Fourth Amended and Consolidated Complaint. We will continue to consider resolution of pending matters involving ignition switch recalls and other recalls where it makes sense to do so.</w:t>
      </w:r>
    </w:p>
    <w:p>
      <w:pPr>
        <w:spacing w:after="0" w:line="187"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Commencing on or about September 29, 2010 current and former hourly employees of GM Korea Company (GM Korea)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the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approximately $547 million at September 30, 2017,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On September 1, 2017, the Seoul High Court issued a ruling concerning those two salary cases and another salaried worker case. Among other things, the Seoul High Court held that there was no agreement between GM Korea and its salaried workers regarding whether to include fixed bonuses in the calculation of Ordinary Wages. As a result, the workers are not barred from filing retroactive wage claims. On September 13, 2017, GM Korea appealed this ruling to the Supreme Court. At September 30, 2017 the reasonably possible loss for salary cases in excess of amounts accrued was approximately $169 million. Both the scope of claims asserted and GM Korea's assessment of any or all of the individual claim elements may change if new information becomes available. These cases are currently pending before various courts in Korea.</w:t>
      </w:r>
    </w:p>
    <w:p>
      <w:pPr>
        <w:spacing w:after="0" w:line="19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Brazil Indirect Tax Claim </w:t>
      </w:r>
      <w:r>
        <w:rPr>
          <w:rFonts w:ascii="Times New Roman" w:cs="Times New Roman" w:eastAsia="Times New Roman" w:hAnsi="Times New Roman"/>
          <w:sz w:val="18"/>
          <w:szCs w:val="18"/>
          <w:color w:val="auto"/>
        </w:rPr>
        <w:t>In March 2017 the Supreme Court of Brazil issued a decision concluding that a certain state value added tax should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calculation of federal gross receipts taxes. The decision reduces GM Brazil’s gross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receipts tax prospectively and, potentially, retrospectively. The retrospective right to recover is under judicial review and we do not expect resolution during 2017. If the Supreme Court of Brazil grants retrospective recovery we estimate potential recoveries of up to $1.5 billion. However, given the remaining uncertainty regarding the ultimate judicial resolution of this matter we are unable to assess the likelihood of any favorable outcome at this time. We have not recorded any amounts relating to the retrospective nature of this matter.</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governmental investigations, claims and proceedings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pending against us or our related companies or joint ventures, including matters arising out of alleged product defects; employment-related matters; product and workplace safety, vehicle emissions, including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and nitrogen oxide, fuel economy, and related government regulations; product warranties; financial services; dealer, supplier and other contractual relationships; government regulations relating to payments to foreign companies; government regulations relating to competition issues; tax-related matters not subject to the provision of Accounting Standards Codification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8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also faces a series of additional lawsuits based primarily on allegations in the Duramax suit, including putative shareholder class actions claiming violations of federal securities law. At this early stage of these proceedings, we are unable to provide an evaluation of the likelihood that a loss will be incurred or an estimate of the amounts or range of possible loss.</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or provide an alternative form of security which may range from $200 million to $600 million at September 30, 2017. Some of the matters may involve compensatory, punitive or other treble damage claims, environmental remediation programs or sanctions that, if granted, could require us to pay damages or make other expenditures in amounts that could not be reasonably estimated at September 30, 2017. We believe that appropriate accruals have been established for losses that are probable and can be reasonably estimated. For indirect tax-related matters we estimate our reasonably possible loss in excess of amounts accrued to be up to approximately $1.0 billion at September 30, 2017.</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On May 4, 2016 the National Highway Traffic Safety Administration (NHTSA) issued an amended consent order requiring Takata to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defect information reports (DIRs) for previously unrecalled front airbag inflators that 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May 16, 2016 Takata issued its first DIR in connection with the amended consent order, and on January 3, 2017, Takata issued its second set of DIRs. Although we do not believe there is a safety defect at this time in any unrecalled GM vehicles within the scope of the Takata DIRs, in cooperation with NHTSA we filed Preliminary DIRs on May 27, 2016, updated as of June 13, 2016, covering 2.5 million of certain of our GMT900 vehicles, which are full-size pick-up trucks and sport utility vehicles (SUVs). On November 15, 2016 we filed a petition for inconsequentiality and request for deferral of determination regarding those GMT900 vehicles. On November 28, 2016 NHTSA granted GM's deferral request in connection with this petition. The deferral provided GM until August 31, 2017 to present evidence and analysis that our vehicles do not pose an unreasonable risk to motor vehicle safety.</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DIRs. On January 18, 2017, NHTSA consolidated our first and second petitions for inconsequentiality and will rule on both at the same time.</w:t>
      </w:r>
    </w:p>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August 25, 2017, we filed a supplemental brief in support of our petitions that provided NHTSA with the results of our long-term study and testing and the basis for our determination that the inflators in these vehicles do not present an unreasonable risk to safety and that no repair should ultimately be required. In our brief, we requested that NHTSA grant our petitions or, in the alternative, grant an additional deferral period to provide time for further testing.</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88"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 is engaged in discussions with regulators outside the U.S. with respect to Takata inflators. There are differences in vehicle and inflator design between the relevant vehicles sold internationally and those sold in the U.S. We continue to gather and analyze evidence about these inflators and to share our findings with regulators. We were required to recall certain vehicles outside of the U.S. in the three months ended September 30, 2017 to replace Takata inflators in these vehicles. Additional recalls, if any, could be material to our results of operations and cash flows. We continue to monitor the international situation.</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 October 17, 2017 we were aware of two putative class actions pending against GM in federal court in the U.S., one putative class action in Mexico and four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 On August 16, 2017, the bankruptcy court hearing the Takata bankruptcy entered an order staying all Takata related litigation against automotive manufacturers, including GM, until November 16, 2017.</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With respect to product liability claims (other than claims relating to the ignition switch recalls discussed above) involving GM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claims related to products sold by General Motors Corporation's dealers. At September 30, 2017 and December 31, 2016 liabilities of $615 million and $656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vehicle repurchase guarantees and payment guarantees on commercial loans outstanding with third parties such as dealers. These guarantees terminate in years ranging from 2017 to 2032 or upon the occurrence of specific events or are ongoing. We believe that the related potential costs incurred are adequately covered and our recorded accruals are insignificant. The maximum liability, calculated as future undiscounted payments, was $5.2 billion and $4.3 billion for these guarantees at September 30, 2017 and December 31, 2016, the majority of which relate to the indemnification agreements.</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2007 to 2016 with various significant tax jurisdictions.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2017 Income tax expense of $2.3 billion primarily resulted from tax expense attributable to entities included in our effective tax rate calculation of $583 million including tax benefits from foreign dividends and $2.3 billion related to the establishment of a valuation allowance on deferred tax assets that will no longer be realizable as a result of the sale of the Opel/Vauxhall Business as described in Note 2, partially offset by tax benefits related to tax settlements. In the three months ended September 30, 2016 Income tax expense of $902 million primarily resulted from tax expense attributable to entities included in our effective tax rate calculation of $1.3 billion, partially offset by tax benefits related to foreign currency losses.</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2017 Income tax expense of $3.6 billion primarily resulted from tax expense attributable to entities included in our effective tax rate calculation of $2.1 billion including tax benefits from foreign dividends and $2.3 billion related to the establishment of a valuation allowance on deferred tax assets that will no longer be realizable as a result of the sale of the Opel/Vauxhall Business as described in Note 2, partially offset by tax benefits related to tax settlements. In the nine months ended September 30, 2016 Income tax expense of $2.4 billion primarily resulted from tax expense attributable to entities included in our effective tax rate calculation of $3.4 billion, partially offset by tax benefits related to foreign currency losses, tax settlements and deductions taken for stock investments in non-U.S. affiliates.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At September 30, 2017 we had $30.1 billion of net deferred tax assets consisting of net operating losses and income tax credits, capitalized research expenditures and other timing differences that are available to offset future income tax liabilities, partially offset by valuation allowances. The net operating losses and income tax credits include U.S. operating loss and tax credit carryforward deferred tax assets of $9.6 billion that expire by 2037 if not utilized; and Non-U.S. operating loss and tax credit carryforward deferred tax assets of $4.9 billion of which $946 million expire by 2037 if not utilized and $4.0 billion can be carried forward indefinitely.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80" w:type="dxa"/>
            <w:vAlign w:val="bottom"/>
          </w:tcPr>
          <w:p>
            <w:pPr>
              <w:spacing w:after="0"/>
              <w:rPr>
                <w:sz w:val="22"/>
                <w:szCs w:val="22"/>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7"/>
              </w:rPr>
              <w:t>September 30, 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6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2017, restructuring and other initiatives primarily include restructuring actions announced in the three months ended June 30, 2017 in GMIO. These actions related primarily to the withdrawal of Chevrolet from the Indian and South African markets by the end of 2017 and the transition of our South Africa manufacturing operations to Isuzu Motors. We intend to continue manufacturing vehicles in India for sale to certain export markets. We recorded charges of $460 million in GMIO primarily consisting of $297 million of asset impairments, sales incentives, inventory provisions and other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charges, not reflected in the table above, and $163 million of dealer restructurings, employee separations and other contract cancellation costs, which are reflected in the table above and insignificant costs for separation and other programs in GMNA and GMSA. We expect to complete these programs in 2017.</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Other GMIO restructuring programs reflected in the table above include separation and other programs in Australia, Korea and India and the withdrawal of the Chevrolet brand from Europe. Collectively these programs had a total cost since inception in 2013 of $883 million. We expect to complete these programs in 2017 and incur insignificant additional restructuring and other charges.</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2016 restructuring and other initiatives related primarily to charges of $240 million in the three months ended March 31, 2016 in GMNA related to the cash severance incentive program to qualified U.S. hourly employees under our 2015 labor agreement with the International Union, United Automobile, Aerospace and Agriculture Implement Workers of America (UAW) and insignificant costs for separation and other programs in Australia, Korea and India and the withdrawal of the Chevrolet brand from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12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At September 30, 2017 and December 31, 2016 we had 2.0 billion shares of preferred stock and 5.0 billion shares of common stock authorized for issuance. At September 30, 2017 and December 31, 2016 we had 1.4 billion and 1.5 billion shares of common stock issued and outstanding. In the nine months ended September 30, 2017 and 2016 we purchased 86 million and 48 million shares of our outstanding common stock for $3.0 billion and $1.5 billion as part of the common stock repurchase program announced in March 2015, which our Board of Directors increased and extended in January 2016 and January 2017. Our total dividends paid on common stock were $546 million and $585 million in the three months ended September 30, 2017 and 2016 and $1.7 billion and $1.8 billion in the nine months ended September 30, 2017 and 2016.</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September 2017 GM Financial issued $1.0 billion of Fixed-to-Floating Rate Cumulative Perpetual Preferred Stock, Series A, $0.01 par value, with a liquidation preference of $1,000 per share. The preferred stock is classified as noncontrolling interests on our condensed consolidated financial statements. Dividends will be paid semi-annually when declared starting March 30, 2018 at a fixed rate of 5.75% or approximately $58 million annually for the first 10 years after issuance, after which, if not called, dividends will be paid based on a floating rate. The following table summarizes the significant components of Accumulated other comprehensive loss: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80" w:type="dxa"/>
            <w:vAlign w:val="bottom"/>
          </w:tcPr>
          <w:p>
            <w:pPr>
              <w:spacing w:after="0"/>
              <w:rPr>
                <w:sz w:val="22"/>
                <w:szCs w:val="22"/>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9"/>
              </w:rPr>
              <w:t>September 30, 2016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reclassification adjustment,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 tax(a)(b)</w:t>
            </w:r>
          </w:p>
        </w:tc>
        <w:tc>
          <w:tcPr>
            <w:tcW w:w="160" w:type="dxa"/>
            <w:vAlign w:val="bottom"/>
          </w:tcPr>
          <w:p>
            <w:pPr>
              <w:spacing w:after="0"/>
              <w:rPr>
                <w:sz w:val="20"/>
                <w:szCs w:val="20"/>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adjustment,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tax(a)</w:t>
            </w:r>
          </w:p>
        </w:tc>
        <w:tc>
          <w:tcPr>
            <w:tcW w:w="160" w:type="dxa"/>
            <w:vAlign w:val="bottom"/>
          </w:tcPr>
          <w:p>
            <w:pPr>
              <w:spacing w:after="0"/>
              <w:rPr>
                <w:sz w:val="20"/>
                <w:szCs w:val="20"/>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tax(a)</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1,213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nine months ended September 30, 2017 and 2016.</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adjustments and noncontrolling interests were insignificant in the three and nine months ended September 30, 2017 and 2016.</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billion is included in the loss on sale of the Opel/Vauxhall Business in the three and nine months ended September 30, 2017. An insignificant amount is included in the computation of periodic pension and OPEB (income) expense in the three and nine months ended September 30, 2017 and 2016.</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262"/>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cumulative dividends on GM Financial preferred stock</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7,592</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9"/>
        </w:trPr>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r>
      <w:tr>
        <w:trPr>
          <w:trHeight w:val="162"/>
        </w:trPr>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 – continuing operations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(loss) per common share – discontinued operations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stockholders –</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 – diluted</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7,591</w:t>
            </w:r>
          </w:p>
        </w:tc>
      </w:tr>
      <w:tr>
        <w:trPr>
          <w:trHeight w:val="122"/>
        </w:trPr>
        <w:tc>
          <w:tcPr>
            <w:tcW w:w="6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warrants and awards under stock incentive plans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 – continuing operations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common share – discontinued operations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2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Net (income) loss attributable to noncontrolling interests.</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were excluded from the computation of diluted earnings per share because the securities would have had an antidilutive effect.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Acquisition of Business</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May 12, 2016 we acquired all of the outstanding capital stock of Cruise Automation Inc.,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Corporate primarily related to the synergies expected to arise as a result of the acquisition.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21"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segments: GMNA, GMIO, GMSA and GM Financial. As discussed in Note 2,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8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and Holden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Our automotive operations' interest income and interest expense, Maven, legacy costs from the Opel/Vauxhall Business (primarily pension costs), corporate expenditures including autonomous vehicle-related engineering and other costs and certain nonsegment specific revenues and expenses are recorded centrally in Corporate. Corporate assets consist primarily of cash and cash equivalents, marketable securities, our investment in Lyft, goodwill, intangibles, Maven vehicles and intercompany balances. Retained net underfunded pension liabilities related to the European Business are also recorded in Corporate. All intersegment balances and transactions have been eliminated in consolidation.</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Beginning in the three months ended December 31, 2017, we intend to change our reportable segments as a result of planned changes in our organizational structure and the evolution of our business resulting from the sale of the Opel/Vauxhall Business and the various strategic actions taken in the GMIO region. As a result, our GMSA and GMIO segments will be reported as one, combined reportable international segment, GM International (GMI). Our GMNA and GM Financial segments will not be impacted.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At and For the Three Months Ended September 30, 2017</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24,819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3,007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2,569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30,475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3,161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33,623</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2,523</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49"/>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2,430</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w:t>
            </w:r>
          </w:p>
        </w:tc>
      </w:tr>
      <w:tr>
        <w:trPr>
          <w:trHeight w:val="249"/>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114</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242"/>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7,618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7,701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8,820</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assets(a)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109,885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7,617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26,410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124,396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106,142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9"/>
              </w:rPr>
              <w:t>229,502</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3,130</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w:t>
            </w:r>
          </w:p>
        </w:tc>
      </w:tr>
      <w:tr>
        <w:trPr>
          <w:trHeight w:val="18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ind w:left="340" w:hanging="332"/>
        <w:spacing w:after="0"/>
        <w:tabs>
          <w:tab w:leader="none" w:pos="3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 in GM Financial include assets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At and For the Three Months Ended September 30, 2016</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31,085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3,376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2,029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36,530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2,360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38,889</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3,579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3,662</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3,609</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2,707</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r>
      <w:tr>
        <w:trPr>
          <w:trHeight w:val="282"/>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2,773</w:t>
            </w:r>
          </w:p>
        </w:tc>
      </w:tr>
      <w:tr>
        <w:trPr>
          <w:trHeight w:val="103"/>
        </w:trPr>
        <w:tc>
          <w:tcPr>
            <w:tcW w:w="3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7,705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8,645</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101,846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20,679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7,662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38,535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137,383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82,200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217,576</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2,529</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r>
      <w:tr>
        <w:trPr>
          <w:trHeight w:val="254"/>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497</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ind w:left="340" w:hanging="332"/>
        <w:spacing w:after="0"/>
        <w:tabs>
          <w:tab w:leader="none" w:pos="3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net benefit of $110 million for legal related matters related to the ignition switch recall.</w:t>
      </w:r>
    </w:p>
    <w:p>
      <w:pPr>
        <w:ind w:left="340" w:hanging="332"/>
        <w:spacing w:after="0"/>
        <w:tabs>
          <w:tab w:leader="none" w:pos="3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 in Corporate and GM Financial include assets classified as held for sale.</w:t>
      </w:r>
    </w:p>
    <w:p>
      <w:pPr>
        <w:sectPr>
          <w:pgSz w:w="11900" w:h="16838" w:orient="portrait"/>
          <w:cols w:equalWidth="0" w:num="1">
            <w:col w:w="11420"/>
          </w:cols>
          <w:pgMar w:left="240" w:top="121"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At and For the Nine Months Ended September 30, 2017</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82,594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9,400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6,826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99,126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8,899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107,873</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9,014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8,869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9,759</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184</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8,870</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(3,637)</w:t>
            </w: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5,233</w:t>
            </w: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w:t>
            </w:r>
          </w:p>
        </w:tc>
      </w:tr>
      <w:tr>
        <w:trPr>
          <w:trHeight w:val="27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82"/>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1,287</w:t>
            </w:r>
          </w:p>
        </w:tc>
      </w:tr>
      <w:tr>
        <w:trPr>
          <w:trHeight w:val="103"/>
        </w:trPr>
        <w:tc>
          <w:tcPr>
            <w:tcW w:w="3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4,757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8,813</w:t>
            </w:r>
          </w:p>
        </w:tc>
      </w:tr>
      <w:tr>
        <w:trPr>
          <w:trHeight w:val="27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271</w:t>
            </w:r>
          </w:p>
        </w:tc>
      </w:tr>
      <w:tr>
        <w:trPr>
          <w:trHeight w:val="254"/>
        </w:trPr>
        <w:tc>
          <w:tcPr>
            <w:tcW w:w="3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1,585</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ind w:left="340" w:hanging="332"/>
        <w:spacing w:after="0" w:line="239" w:lineRule="auto"/>
        <w:tabs>
          <w:tab w:leader="none" w:pos="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of $460 million related to restructuring actions in India and South Africa in GMIO; charges of $80 million associated with the deconsolidation of Venezuela in GMSA and charges of $114 million for legal related matters related to the ignition switch recall in Corporate.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At and For the Nine Months Ended September 30, 2016</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40" w:type="dxa"/>
            <w:vAlign w:val="bottom"/>
          </w:tcPr>
          <w:p>
            <w:pPr>
              <w:spacing w:after="0"/>
              <w:rPr>
                <w:sz w:val="23"/>
                <w:szCs w:val="23"/>
                <w:color w:val="auto"/>
              </w:rPr>
            </w:pPr>
          </w:p>
        </w:tc>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87,815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9,923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5,011</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102,862</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6,429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9"/>
              </w:rPr>
              <w:t>109,288</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9,650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10,250</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(413)</w:t>
            </w:r>
          </w:p>
        </w:tc>
      </w:tr>
      <w:tr>
        <w:trPr>
          <w:trHeight w:val="264"/>
        </w:trPr>
        <w:tc>
          <w:tcPr>
            <w:tcW w:w="40" w:type="dxa"/>
            <w:vAlign w:val="bottom"/>
          </w:tcPr>
          <w:p>
            <w:pPr>
              <w:spacing w:after="0"/>
              <w:rPr>
                <w:sz w:val="22"/>
                <w:szCs w:val="22"/>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(99)</w:t>
            </w:r>
          </w:p>
        </w:tc>
      </w:tr>
      <w:tr>
        <w:trPr>
          <w:trHeight w:val="257"/>
        </w:trPr>
        <w:tc>
          <w:tcPr>
            <w:tcW w:w="40" w:type="dxa"/>
            <w:vAlign w:val="bottom"/>
          </w:tcPr>
          <w:p>
            <w:pPr>
              <w:spacing w:after="0"/>
              <w:rPr>
                <w:sz w:val="22"/>
                <w:szCs w:val="22"/>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9,810</w:t>
            </w:r>
          </w:p>
        </w:tc>
      </w:tr>
      <w:tr>
        <w:trPr>
          <w:trHeight w:val="264"/>
        </w:trPr>
        <w:tc>
          <w:tcPr>
            <w:tcW w:w="40" w:type="dxa"/>
            <w:vAlign w:val="bottom"/>
          </w:tcPr>
          <w:p>
            <w:pPr>
              <w:spacing w:after="0"/>
              <w:rPr>
                <w:sz w:val="22"/>
                <w:szCs w:val="22"/>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(2,436)</w:t>
            </w:r>
          </w:p>
        </w:tc>
      </w:tr>
      <w:tr>
        <w:trPr>
          <w:trHeight w:val="257"/>
        </w:trPr>
        <w:tc>
          <w:tcPr>
            <w:tcW w:w="40" w:type="dxa"/>
            <w:vAlign w:val="bottom"/>
          </w:tcPr>
          <w:p>
            <w:pPr>
              <w:spacing w:after="0"/>
              <w:rPr>
                <w:sz w:val="22"/>
                <w:szCs w:val="22"/>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7,374</w:t>
            </w: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w:t>
            </w:r>
          </w:p>
        </w:tc>
      </w:tr>
      <w:tr>
        <w:trPr>
          <w:trHeight w:val="272"/>
        </w:trPr>
        <w:tc>
          <w:tcPr>
            <w:tcW w:w="40" w:type="dxa"/>
            <w:vAlign w:val="bottom"/>
          </w:tcPr>
          <w:p>
            <w:pPr>
              <w:spacing w:after="0"/>
              <w:rPr>
                <w:sz w:val="23"/>
                <w:szCs w:val="23"/>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99</w:t>
            </w:r>
          </w:p>
        </w:tc>
      </w:tr>
      <w:tr>
        <w:trPr>
          <w:trHeight w:val="282"/>
        </w:trPr>
        <w:tc>
          <w:tcPr>
            <w:tcW w:w="40" w:type="dxa"/>
            <w:vAlign w:val="bottom"/>
          </w:tcPr>
          <w:p>
            <w:pPr>
              <w:spacing w:after="0"/>
              <w:rPr>
                <w:sz w:val="24"/>
                <w:szCs w:val="24"/>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7,592</w:t>
            </w:r>
          </w:p>
        </w:tc>
      </w:tr>
      <w:tr>
        <w:trPr>
          <w:trHeight w:val="103"/>
        </w:trPr>
        <w:tc>
          <w:tcPr>
            <w:tcW w:w="40" w:type="dxa"/>
            <w:vAlign w:val="bottom"/>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262"/>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3,726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7,016</w:t>
            </w:r>
          </w:p>
        </w:tc>
      </w:tr>
      <w:tr>
        <w:trPr>
          <w:trHeight w:val="278"/>
        </w:trPr>
        <w:tc>
          <w:tcPr>
            <w:tcW w:w="40" w:type="dxa"/>
            <w:vAlign w:val="bottom"/>
          </w:tcPr>
          <w:p>
            <w:pPr>
              <w:spacing w:after="0"/>
              <w:rPr>
                <w:sz w:val="24"/>
                <w:szCs w:val="2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r>
      <w:tr>
        <w:trPr>
          <w:trHeight w:val="254"/>
        </w:trPr>
        <w:tc>
          <w:tcPr>
            <w:tcW w:w="4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1,608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1,717</w:t>
            </w:r>
          </w:p>
        </w:tc>
      </w:tr>
      <w:tr>
        <w:trPr>
          <w:trHeight w:val="201"/>
        </w:trPr>
        <w:tc>
          <w:tcPr>
            <w:tcW w:w="3220" w:type="dxa"/>
            <w:vAlign w:val="bottom"/>
            <w:gridSpan w:val="2"/>
          </w:tcPr>
          <w:p>
            <w:pPr>
              <w:jc w:val="right"/>
              <w:ind w:right="2337"/>
              <w:spacing w:after="0"/>
              <w:rPr>
                <w:sz w:val="20"/>
                <w:szCs w:val="20"/>
                <w:color w:val="auto"/>
              </w:rPr>
            </w:pPr>
            <w:r>
              <w:rPr>
                <w:rFonts w:ascii="Times New Roman" w:cs="Times New Roman" w:eastAsia="Times New Roman" w:hAnsi="Times New Roman"/>
                <w:sz w:val="16"/>
                <w:szCs w:val="16"/>
                <w:color w:val="auto"/>
                <w:w w:val="99"/>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ind w:left="340" w:hanging="332"/>
        <w:spacing w:after="0"/>
        <w:tabs>
          <w:tab w:leader="none" w:pos="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net charge of $65 million for legal related matters related to the ignition switch recall.</w:t>
      </w:r>
    </w:p>
    <w:p>
      <w:pPr>
        <w:spacing w:after="0" w:line="349" w:lineRule="exact"/>
        <w:rPr>
          <w:rFonts w:ascii="Times New Roman" w:cs="Times New Roman" w:eastAsia="Times New Roman" w:hAnsi="Times New Roman"/>
          <w:sz w:val="13"/>
          <w:szCs w:val="13"/>
          <w:color w:val="auto"/>
        </w:rPr>
      </w:pPr>
    </w:p>
    <w:p>
      <w:pPr>
        <w:ind w:left="5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audited consolidated financial statements and notes thereto included in our 2016 Form 10-K.</w:t>
      </w:r>
    </w:p>
    <w:p>
      <w:pPr>
        <w:spacing w:after="0" w:line="175"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2017 we closed the sale of the Opel and Vauxhall business and certain other assets in Europe (the Opel/Vauxhall Business) to Peugeot, S.A. (PSA Group). The Opel/Vauxhall Business and our European financing subsidiaries and branches (the Fincos, and together with the Opel/Vauxhall Business, the European Business) are presented as discontinued operations in our condensed consolidated financial statements for all periods presented. The assets and liabilities of the Fincos are presented as held for sale as of September 30, 2017, and the assets and liabilities of the European Business are presented as held for sale as of December 31, 2016 in our condensed consolidated financial statements. In results which were reported prior to the three and nine months ended September 30, 2017, these operations were primarily reported in our GME segment, which is no longer a reportable segment, and GM Financial. Refer to Note 2 to our condensed consolidated financial statements for additional information on the disposition of the European Business.</w:t>
      </w:r>
    </w:p>
    <w:p>
      <w:pPr>
        <w:spacing w:after="0" w:line="18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2016 Form 10-K for a discussion of these risks and uncertainties. Except for per share amounts or as otherwise specified, dollar amounts presented within tables are stated in millions.</w:t>
      </w:r>
    </w:p>
    <w:p>
      <w:pPr>
        <w:spacing w:after="0" w:line="176"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Unless otherwise indicated, our non-GAAP measures discussed in this MD&amp;A are related to our continuing operations and not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operations nor assets and liabilities held for sale. Our non-GAAP measures include earnings before interest and taxes (EBIT)-adjusted, presented net of noncontrolling interests,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8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 contributions to employee benefit plans. Refer to the "Liquidity and Capital Resources" section of this MD&amp;A for our reconciliation of Net automotive cash provided by operating activities under U.S. GAAP to this non-GAAP measure.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under U.S. GAAP to EBIT-adjusted: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6,266</w:t>
            </w: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tax</w:t>
            </w:r>
          </w:p>
        </w:tc>
        <w:tc>
          <w:tcPr>
            <w:tcW w:w="20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interest income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GMIO restructuring(a)</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Venezuela deconsolidation(b)</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Ignition switch recall and related legal</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matters(c)</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adjustments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654</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EBIT-adjusted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and South Africa.</w:t>
      </w:r>
    </w:p>
    <w:p>
      <w:pPr>
        <w:spacing w:after="0" w:line="1" w:lineRule="exact"/>
        <w:rPr>
          <w:rFonts w:ascii="Times New Roman" w:cs="Times New Roman" w:eastAsia="Times New Roman" w:hAnsi="Times New Roman"/>
          <w:sz w:val="16"/>
          <w:szCs w:val="16"/>
          <w:color w:val="auto"/>
        </w:rPr>
      </w:pPr>
    </w:p>
    <w:p>
      <w:pPr>
        <w:ind w:left="340" w:right="30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we ceased operations and terminated employment relationships in Venezuela due to causes beyond our control, which included adverse political and economic conditions, including the seizure of our manufacturing facility.</w:t>
      </w:r>
    </w:p>
    <w:p>
      <w:pPr>
        <w:ind w:left="340" w:right="20" w:hanging="332"/>
        <w:spacing w:after="0" w:line="257"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the unique events associated with the ignition switch recall. These events included the creation of the Compensation Program, as well as various investigations, inquiries, and complaints from various constituents.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diluted earnings (loss) per common share under U.S. GAAP to EPS-diluted-adjusted: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loss per common share – discontinued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Adjustments(a)</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 on adjustments(b)</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adjustment(c)</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7,494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7,512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EBIT-adjusted within this section of MD&amp;A for adjustment details.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in which the adjustment relates.</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represents the tax expense related to the establishment of a valuation allowance on deferred tax assets that will no longer be realizable as a result of the sale of the Opel/Vauxhall Business, partially offset by tax benefits related to tax settlements.</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1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4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560" w:type="dxa"/>
            <w:vAlign w:val="bottom"/>
          </w:tcPr>
          <w:p>
            <w:pPr>
              <w:spacing w:after="0"/>
              <w:rPr>
                <w:sz w:val="22"/>
                <w:szCs w:val="22"/>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580" w:type="dxa"/>
            <w:vAlign w:val="bottom"/>
          </w:tcPr>
          <w:p>
            <w:pPr>
              <w:spacing w:after="0"/>
              <w:rPr>
                <w:sz w:val="22"/>
                <w:szCs w:val="22"/>
                <w:color w:val="auto"/>
              </w:rPr>
            </w:pPr>
          </w:p>
        </w:tc>
        <w:tc>
          <w:tcPr>
            <w:tcW w:w="176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157"/>
        </w:trPr>
        <w:tc>
          <w:tcPr>
            <w:tcW w:w="1420" w:type="dxa"/>
            <w:vAlign w:val="bottom"/>
          </w:tcPr>
          <w:p>
            <w:pPr>
              <w:spacing w:after="0"/>
              <w:rPr>
                <w:sz w:val="13"/>
                <w:szCs w:val="13"/>
                <w:color w:val="auto"/>
              </w:rPr>
            </w:pPr>
          </w:p>
        </w:tc>
        <w:tc>
          <w:tcPr>
            <w:tcW w:w="5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jc w:val="center"/>
              <w:ind w:left="7"/>
              <w:spacing w:after="0" w:line="157"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jc w:val="center"/>
              <w:ind w:left="7"/>
              <w:spacing w:after="0" w:line="157"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49"/>
        </w:trPr>
        <w:tc>
          <w:tcPr>
            <w:tcW w:w="1420" w:type="dxa"/>
            <w:vAlign w:val="bottom"/>
          </w:tcPr>
          <w:p>
            <w:pPr>
              <w:spacing w:after="0"/>
              <w:rPr>
                <w:sz w:val="12"/>
                <w:szCs w:val="12"/>
                <w:color w:val="auto"/>
              </w:rPr>
            </w:pPr>
          </w:p>
        </w:tc>
        <w:tc>
          <w:tcPr>
            <w:tcW w:w="56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before</w:t>
            </w:r>
          </w:p>
        </w:tc>
        <w:tc>
          <w:tcPr>
            <w:tcW w:w="10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0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income</w:t>
            </w:r>
          </w:p>
        </w:tc>
        <w:tc>
          <w:tcPr>
            <w:tcW w:w="10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0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56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2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580" w:type="dxa"/>
            <w:vAlign w:val="bottom"/>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Effective tax</w:t>
            </w:r>
          </w:p>
        </w:tc>
      </w:tr>
      <w:tr>
        <w:trPr>
          <w:trHeight w:val="186"/>
        </w:trPr>
        <w:tc>
          <w:tcPr>
            <w:tcW w:w="14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taxes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taxes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expense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2"/>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expense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8"/>
              </w:rPr>
              <w:t>taxes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expense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7"/>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$ 2,430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2,316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$ 3,609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902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$ 8,870</w:t>
            </w:r>
          </w:p>
        </w:tc>
        <w:tc>
          <w:tcPr>
            <w:tcW w:w="8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$ 3,637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$ 9,810</w:t>
            </w:r>
          </w:p>
        </w:tc>
        <w:tc>
          <w:tcPr>
            <w:tcW w:w="820" w:type="dxa"/>
            <w:vAlign w:val="bottom"/>
            <w:tcBorders>
              <w:bottom w:val="single" w:sz="8" w:color="CCEEFF"/>
            </w:tcBorders>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$ 2,436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37"/>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Adjustments(a)</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40" w:type="dxa"/>
            <w:vAlign w:val="bottom"/>
            <w:gridSpan w:val="3"/>
          </w:tcPr>
          <w:p>
            <w:pPr>
              <w:jc w:val="right"/>
              <w:ind w:right="2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20" w:type="dxa"/>
            <w:vAlign w:val="bottom"/>
            <w:gridSpan w:val="3"/>
          </w:tcPr>
          <w:p>
            <w:pPr>
              <w:jc w:val="right"/>
              <w:ind w:right="27"/>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adjustment(b)</w:t>
            </w: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31"/>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ETR-adjusted</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$ 2,430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$ 3,499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861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$ 9,524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6"/>
                <w:szCs w:val="16"/>
                <w:color w:val="auto"/>
              </w:rPr>
              <w:t>$ 2,017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$ 9,875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$ 2,461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12700</wp:posOffset>
            </wp:positionV>
            <wp:extent cx="892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12700</wp:posOffset>
            </wp:positionV>
            <wp:extent cx="892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12700</wp:posOffset>
            </wp:positionV>
            <wp:extent cx="892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12700</wp:posOffset>
            </wp:positionV>
            <wp:extent cx="892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-116205</wp:posOffset>
            </wp:positionV>
            <wp:extent cx="892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-116205</wp:posOffset>
            </wp:positionV>
            <wp:extent cx="892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-116205</wp:posOffset>
            </wp:positionV>
            <wp:extent cx="892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-116205</wp:posOffset>
            </wp:positionV>
            <wp:extent cx="892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EBIT-adjusted within this section of MD&amp;A for adjustment details.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(loss) per common share under U.S. GAAP to EPS-diluted-adjusted within this section of MD&amp;A for adjustment details.</w:t>
      </w:r>
    </w:p>
    <w:p>
      <w:pPr>
        <w:spacing w:after="0" w:line="17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64"/>
        </w:trPr>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ROE</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7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64"/>
        </w:trPr>
        <w:tc>
          <w:tcPr>
            <w:tcW w:w="2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tcPr>
          <w:p>
            <w:pPr>
              <w:spacing w:after="0"/>
              <w:rPr>
                <w:sz w:val="22"/>
                <w:szCs w:val="22"/>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20" w:type="dxa"/>
            <w:vAlign w:val="bottom"/>
          </w:tcPr>
          <w:p>
            <w:pPr>
              <w:spacing w:after="0"/>
              <w:rPr>
                <w:sz w:val="21"/>
                <w:szCs w:val="21"/>
                <w:color w:val="auto"/>
              </w:rPr>
            </w:pPr>
          </w:p>
        </w:tc>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180" w:type="dxa"/>
            <w:vAlign w:val="bottom"/>
          </w:tcPr>
          <w:p>
            <w:pPr>
              <w:spacing w:after="0"/>
              <w:rPr>
                <w:sz w:val="21"/>
                <w:szCs w:val="21"/>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r>
      <w:tr>
        <w:trPr>
          <w:trHeight w:val="297"/>
        </w:trPr>
        <w:tc>
          <w:tcPr>
            <w:tcW w:w="20" w:type="dxa"/>
            <w:vAlign w:val="bottom"/>
          </w:tcPr>
          <w:p>
            <w:pPr>
              <w:spacing w:after="0"/>
              <w:rPr>
                <w:sz w:val="24"/>
                <w:szCs w:val="24"/>
                <w:color w:val="auto"/>
              </w:rPr>
            </w:pPr>
          </w:p>
        </w:tc>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41.6</w:t>
            </w:r>
          </w:p>
        </w:tc>
      </w:tr>
      <w:tr>
        <w:trPr>
          <w:trHeight w:val="237"/>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193"/>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Refer to the reconciliation of Net income (loss) attributable to stockholders under U.S. GAAP to EBIT-adjusted within this section of MD&amp;A.</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strategic plan includes several major initiatives that we anticipate will help us achieve our goal of 9% to 10% margins on an EBIT-adjusted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(EBIT-adjusted margins, calculated as EBIT-adjusted divided by Net sales and revenue) by early next decade: earn customers for life by delivering great products to our customers; lead the industry in quality and safety and improve the customer ownership experience; lead in technology and innovation, including electrification,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our EBIT-adjusted margin improvement goal, our overall financial targets include expected total annual operational and functional cost savings of $6.5 billion in aggregate through 2018 compared to 2014 costs, of which more than $5 billion has been realized as of September 30, 2017, and which will more than offset our planned incremental investments in brand building, engineering and technology as we launch new products; and execution of our capital allocation program as described in the "Liquidity and Capital Resources" section of this MD&amp;A.</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For the year ending December 31, 2017 we expect to continue to generate strong consolidated financial results notwithstanding a more challenging operating environment than expected at the beginning of the year. Raw material costs are on the rise and we continue to take actions to adjust production in response to lower passenger car demand and pricing pressure in North America. We forecast total net sales and revenue, EBIT-adjusted and EBIT-adjusted margins that are generally in line with 2016 results, ROIC-adjusted of greater than 25%, Automotive operating cash flow from continuing operations of approximately $14 billion, adjusted automotive free cash flow from continuing operations of approximately $6 billion, EPS-diluted of between $1.66 and $2.16 and EPS-diluted-adjusted in the middle of the range of $6.00 to $6.50. The following table reconciles expected diluted earnings per common share under U.S. GAAP to expected EPS-diluted-adjusted: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0" w:type="dxa"/>
            <w:vAlign w:val="bottom"/>
          </w:tcPr>
          <w:p>
            <w:pPr>
              <w:spacing w:after="0"/>
              <w:rPr>
                <w:sz w:val="1"/>
                <w:szCs w:val="1"/>
                <w:color w:val="auto"/>
              </w:rPr>
            </w:pPr>
          </w:p>
        </w:tc>
      </w:tr>
      <w:tr>
        <w:trPr>
          <w:trHeight w:val="195"/>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$ 1.66-2.16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common share – discontinued operations(a)</w:t>
            </w: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Adjustments(b)</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on adjustments(c)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adjustment(d)</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7"/>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EPS-diluted-adjusted</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$ 6.00-6.50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 to Overview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PSA Group Transaction for additional details of the components of the total charge associated with the sale of the European Business. The Fincos portion of the charges is subject to interest rate and foreign currency fluctuations and is based on the estimated closing date.</w:t>
      </w: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the Non-GAAP Measures section of this MD&amp;A.</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in which the adjustment relates.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represents the tax provision related to the establishment of valuation allowances, partially offset by tax benefits related to tax settlements.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Net automotive cash provided by operating activities from continuing operations under U.S. GAAP to expected adjusted automotive free cash flow from continuing operations (dollars in billions):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r>
      <w:tr>
        <w:trPr>
          <w:trHeight w:val="195"/>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continuing operations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expected capital expenditures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 –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discontinued operations</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expected capital expenditures – 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84"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 the nine months ended September 30, 2017 industry sales in North America were 16.1 million units representing a decrease of 1.2%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2016. U.S. industry sales were 13.1 million units in the nine months ended September 30, 2017 and we expect industry unit sales to be in the low 17 millions for the full year. Consistent with 2016, U.S. industry sales in the second half of the year are projected to be stronger than in the first half of the year.</w:t>
      </w:r>
    </w:p>
    <w:p>
      <w:pPr>
        <w:spacing w:after="0" w:line="181"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our vehicle sales in the U.S., our largest market in North America, totaled 2.2 million units for market share of 16.7%, representing an increase of 0.1 percentage points compared to the corresponding period in 2016. We continue to lead the U.S. industry in market share. The increase in our U.S. market share was driven by strong performance in fleet sales, primarily commercial and government.</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year ending December 31, 2017 we forecast sustained EBIT-adjusted margins of greater than 10% on continued strength of U.S. industry light vehicle sales, key product launches and continued focus on overall cost savings. Based on our current cost structure, we estimate GMNA’s breakeven point at the U.S. industry level to be in the range of 10.0 to 11.0 million units.</w:t>
      </w:r>
    </w:p>
    <w:p>
      <w:pPr>
        <w:spacing w:after="0" w:line="176" w:lineRule="exact"/>
        <w:rPr>
          <w:sz w:val="20"/>
          <w:szCs w:val="20"/>
          <w:color w:val="auto"/>
        </w:rPr>
      </w:pPr>
    </w:p>
    <w:p>
      <w:pPr>
        <w:jc w:val="both"/>
        <w:ind w:right="160" w:firstLine="162"/>
        <w:spacing w:after="0" w:line="266" w:lineRule="auto"/>
        <w:rPr>
          <w:sz w:val="20"/>
          <w:szCs w:val="20"/>
          <w:color w:val="auto"/>
        </w:rPr>
      </w:pPr>
      <w:r>
        <w:rPr>
          <w:rFonts w:ascii="Times New Roman" w:cs="Times New Roman" w:eastAsia="Times New Roman" w:hAnsi="Times New Roman"/>
          <w:sz w:val="18"/>
          <w:szCs w:val="18"/>
          <w:color w:val="auto"/>
        </w:rPr>
        <w:t>In September 2017 the labor contract covering approximately 2,900 employees in Canada expired and Unifor initiated a work stoppage. In October 2017 we entered into a collectively bargained labor agreement with Unifor. The impact of the agreement was not material to our condensed consolidated financial statements.</w:t>
      </w:r>
    </w:p>
    <w:p>
      <w:pPr>
        <w:spacing w:after="0" w:line="17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w:t>
      </w:r>
      <w:r>
        <w:rPr>
          <w:rFonts w:ascii="Times New Roman" w:cs="Times New Roman" w:eastAsia="Times New Roman" w:hAnsi="Times New Roman"/>
          <w:sz w:val="18"/>
          <w:szCs w:val="18"/>
          <w:color w:val="auto"/>
        </w:rPr>
        <w:t>In the nine months ended September 30, 2017 China industry sales were 19.4 million units and our market share was 14.2%. We continue to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 in sales of our Cadillac and Baojun passenger vehicles and SUVs. However, residual effects from the government's partial removal of a purchase tax incentive at the end of 2016, and the rapid growth of SUVs over sedans in the market impacted Buick and Chevrolet performance. Wuling sales were impacted by the market shift away from mini commercial vehicles. In the nine months ended September 30, 2017 our Automotive China JVs generated equity income of $1.5 billion. We expect industry growth in 2017 and a continuation of pricing pressures, which will continue to pressure margins. We continue to expect an increase in vehicle sales in 2017 driven by new launches and expect to sustain strong China equity income and margins by focusing on improvements in vehicle mix, cost efficiencies, and downstream performance optimization.</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Many markets in the rest of Asia Pacific, Africa and the Middle East continue to experience negative impacts from economic conditions such as foreign exchange volatility and low oil prices, however, strength in certain markets led to industry sales of 15.7 million units, representing an increase of 2.2% in the nine months ended September 30, 2017 compared to the corresponding period in 2016. Our vehicle sales totaled 0.5 million units leading to a market share of 3.0% in the nine months ended September 30, 2017, a decrease of 0.4 percentage points compared to the corresponding period in 2016.</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Korea's collective bargaining agreement negotiations began in the second quarter of 2017. Although GM Korea has reached settlements in recent years without work stoppages, there is a potential risk of work stoppages in negotiations which could negatively affect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May 2017 we announced several restructuring actions in GMIO which were primarily related to the withdrawal of Chevrolet from the Indian and South African markets by the end of 2017 and the transition of our South African manufacturing operations to Isuzu Motors. These actions occurred as a result of a strategic decision to focus resources on opportunities expected to deliver higher returns. Refer to Note 15 to our condensed consolidated financial statements for additional information related to these restructuring actions.</w:t>
      </w:r>
    </w:p>
    <w:p>
      <w:pPr>
        <w:spacing w:after="0" w:line="176"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w:t>
      </w:r>
      <w:r>
        <w:rPr>
          <w:rFonts w:ascii="Times New Roman" w:cs="Times New Roman" w:eastAsia="Times New Roman" w:hAnsi="Times New Roman"/>
          <w:sz w:val="18"/>
          <w:szCs w:val="18"/>
          <w:color w:val="auto"/>
        </w:rPr>
        <w:t>The South American automotive industry continues to be challenged by weak economic conditions and lack of consumer confidence. Despite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industry sales were 3.1 million units in the nine months ended September 30, 2017 representing a 13.2% increase compared to the corresponding period in 2016. In the nine months ended September 30, 2017 our vehicle sales in Brazil, our largest market in South America, totaled 0.3 million units for market share of 17.5%, representing an increase of 1.2 percentage points compared to the corresponding period in 2016 as we continue to benefit from a refreshed portfolio.</w:t>
      </w:r>
    </w:p>
    <w:p>
      <w:pPr>
        <w:spacing w:after="0" w:line="184"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Based on our current cost structure, we estimate GMSA’s breakeven point at the Brazil industry level to be 2.2 million units. For the remainder of 2017, we forecast improved results driven by a modest industry recovery and the strength of our portfolio.</w:t>
      </w:r>
    </w:p>
    <w:p>
      <w:pPr>
        <w:spacing w:after="0" w:line="160"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Venezuelan Operations </w:t>
      </w:r>
      <w:r>
        <w:rPr>
          <w:rFonts w:ascii="Times New Roman" w:cs="Times New Roman" w:eastAsia="Times New Roman" w:hAnsi="Times New Roman"/>
          <w:sz w:val="18"/>
          <w:szCs w:val="18"/>
          <w:color w:val="auto"/>
        </w:rPr>
        <w:t>In May 2017 we deconsolidated our business in Venezuela which resulted in a charge of $0.1 billion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2017.</w:t>
      </w:r>
    </w:p>
    <w:p>
      <w:pPr>
        <w:spacing w:after="0" w:line="15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w:t>
      </w:r>
      <w:r>
        <w:rPr>
          <w:rFonts w:ascii="Times New Roman" w:cs="Times New Roman" w:eastAsia="Times New Roman" w:hAnsi="Times New Roman"/>
          <w:sz w:val="18"/>
          <w:szCs w:val="18"/>
          <w:color w:val="auto"/>
        </w:rPr>
        <w:t>Through October 17, 2017, we purchased an aggregate of 274 million shares of our common stock under our repurchase program for $9.4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as detailed in the "Liquidity and Capital Resources" section of this MD&amp;A.</w:t>
      </w:r>
    </w:p>
    <w:p>
      <w:pPr>
        <w:spacing w:after="0" w:line="15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13 to our condensed consolidated financial statements for additional information.</w:t>
      </w:r>
    </w:p>
    <w:p>
      <w:pPr>
        <w:spacing w:after="0" w:line="17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Takata Matters </w:t>
      </w:r>
      <w:r>
        <w:rPr>
          <w:rFonts w:ascii="Times New Roman" w:cs="Times New Roman" w:eastAsia="Times New Roman" w:hAnsi="Times New Roman"/>
          <w:sz w:val="18"/>
          <w:szCs w:val="18"/>
          <w:color w:val="auto"/>
        </w:rPr>
        <w:t>On May 4, 2016 NHTSA issued an amended consent order requiring Takata to file defect information reports (DIRs) for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unrecalled front airbag inflators that 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May 16, 2016 Takata issued its first DIR in connection with the amended consent order, and on January 3, 2017, Takata issued its second set of DIRs. Although we do not believe there is a safety defect at this time in any unrecalled GM vehicles within the scope of the Takata DIRs,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those GMT900 vehicles. On November 28, 2016, NHTSA granted GM’s deferral request in connection with this petition. The deferral provided GM until August 31, 2017 to present evidence and analysis that our vehicles do not pose an unreasonable risk to motor vehicle safety.</w:t>
      </w:r>
    </w:p>
    <w:p>
      <w:pPr>
        <w:spacing w:after="0" w:line="18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August 25, 2017, we filed a supplemental brief in support of our petitions that provided NHTSA with the results of our long-term study and testing and the basis for our determination that the inflators in these vehicles do not present an unreasonable risk to safety and that no repair should ultimately be required. In our brief, we requested that NHTSA grant our petitions or, in the alternative, grant an additional deferral period to provide time for further testing.</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temperature to which the inflator will be exposed, such as larger interior volumes and standard solar absorbing windshields and side glass.</w:t>
      </w:r>
    </w:p>
    <w:p>
      <w:pPr>
        <w:spacing w:after="0" w:line="225"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 is engaged in discussions with regulators outside the U.S. with respect to Takata inflators. There are differences in vehicle and inflator design between the relevant vehicles sold internationally and those sold in the U.S. We continue to gather and analyze evidence about these inflators and to share our findings with regulators. We were required to recall certain vehicles outside of the U.S. in the three months ended September 30, 2017 to replace Takata inflators in these vehicles. Additional recalls, if any, could be material to our results of operations and cash flows. We continue to monitor the international situation.</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 October 17, 2017 we were aware of two putative class action pending against GM in federal court in the U.S., one putative class action in Mexico and four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 On August 16, 2017, the bankruptcy court hearing the Takata bankruptcy entered an order staying all Takata related litigation against automotive manufacturers, including GM, until November 16, 2017.</w:t>
      </w:r>
    </w:p>
    <w:p>
      <w:pPr>
        <w:spacing w:after="0" w:line="184"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On June 26, 2017, Takata filed for bankruptcy protection in the United States and Japan. Over the past several months, a group of global automakers, including GM, have had discussions with Takata and Key Safety Systems, Inc. regarding a potential transaction involving the sale of Takata's business. GM has not experienced any supply interruptions arising from Takata initiating formal insolvency proceedings and anticipates that Takata will continue an uninterrupted supply of component parts to GM during the insolvency proceedings. GM continues to monitor Takata’s financial and operational performance and to develop alternative and contingent supplies to attempt to mitigate prospective threats to the supply of components.</w:t>
      </w:r>
    </w:p>
    <w:p>
      <w:pPr>
        <w:spacing w:after="0" w:line="193"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PSA Group Transaction </w:t>
      </w:r>
      <w:r>
        <w:rPr>
          <w:rFonts w:ascii="Times New Roman" w:cs="Times New Roman" w:eastAsia="Times New Roman" w:hAnsi="Times New Roman"/>
          <w:sz w:val="18"/>
          <w:szCs w:val="18"/>
          <w:color w:val="auto"/>
        </w:rPr>
        <w:t>On July 31, 2017 we closed the sale of our Opel/Vauxhall Business to PSA Group. The transfer of the Fincos is expected to close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end of the year subject to the receipt of the necessary regulatory approvals and satisfaction of other closing conditions.</w:t>
      </w:r>
    </w:p>
    <w:p>
      <w:pPr>
        <w:spacing w:after="0" w:line="15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net consideration paid at closing for the Opel/Vauxhall Business was $1.4 billion, consisting of (1) $1.1 billion in cash; and (2) $0.8 billion in warrants in PSA Group; partially offset by (3) the $0.5 billion de-risking premium payment made to PSA Group for assuming certain underfunded pension liabilities. In addition, we agreed to sell the shares of PSA Group received upon exercise of the warrants within 35 days after exercise. The net consideration to be paid for the Fincos will be 0.8 times their book value at closing, which we estimate will be approximately $1.1 billion based on exchange rates at September 30, 2017, subject to foreign currency fluctuations. The purchase price is subject to certain working capital adjustments as provided in the Agreement.</w:t>
      </w:r>
    </w:p>
    <w:p>
      <w:pPr>
        <w:spacing w:after="0" w:line="184"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The total charge from the sale of the European Business is expected to be approximately $6.3 billion, net of tax. During the three months ended September 30, 2017 the Company recorded a charge of $5.4 billion as a result of the sale of the Opel/Vauxhall Business, of which $3.1 billion is recorded in Income (loss) from discontinued operations, net of tax, and $2.3 billion was treated as an adjustment to both EPS-diluted-adjusted and ETR-adjusted. The charge relates to: (1) $4.3 billion of deferred tax assets that will no longer be realizable or that transferred to PSA Group; (2) $1.5 billion related to previously deferred pension losses and payment of the de-risking premium to PSA Group for its assumption of certain underfunded pension liabilities; and (3) other net charges primarily related to contract cancellations, working capital adjustments and certain transitional services and other costs to support the separation of operations to be provided for a period of time following closing; partially offset by proceeds. During the three months ended June 30, 2017 we recognized, on a pre-tax basis, a charge of $0.8 billion in Income (loss) from discontinued operations consisting of (1) a charge of $0.4 billion for the cancellation of production programs resulting from the convergence of vehicle platforms between the European Business and PSA Group; (2) a disposal loss of $0.3 billion as a result of the Fincos being classified as held for sale; and (3) other insignificant charges. We expect to record a disposal loss of approximately $0.3 billion upon sale of the Fincos.</w:t>
      </w:r>
    </w:p>
    <w:p>
      <w:pPr>
        <w:spacing w:after="0" w:line="193"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for certain losses resulting from any inaccuracy of certain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representations and warranties or breaches of our covenants in the Agreement and for certain other liabilities. Certain of these indemnification obligations are subject to time limitations, thresholds and/or caps as to the amount of required payments.</w:t>
      </w:r>
    </w:p>
    <w:p>
      <w:pPr>
        <w:spacing w:after="0" w:line="16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retained net underfunded pension liabilities of $6.8 billion owed primarily to current pensioners and former employees of the European Business with vested pension rights. PSA Group assumed approximately $3.1 billion of net underfunded pension liabilities primarily with respect to active employees of the Opel/Vauxhall Business, and during the three months ended September 30, 2017 the Seller made payments of $3.4 billion in respect of these assumed liabilities, which includes pension funding payments for active employees and the de-risking premium payment discussed above. At closing we drew upon our three-year unsecured revolving credit facility to fund these payments. We issued debt securities thereafter to repay the draw on our credit facility.</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also retained the United Kingdom defined benefit pension plans in existence at signing related to the Opel/Vauxhall Business, including responsibility for service cost accruals through the closing date.</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have agreed to purchase from and supply to PSA Group certain vehicles for a period of time following closing and not to engage in certain competing businesses in Europe for a period of three years.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Note 2 to our condensed consolidated financial statements for additional information.</w:t>
      </w:r>
    </w:p>
    <w:p>
      <w:pPr>
        <w:spacing w:after="0" w:line="221"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and functionality. Market leadership in individual countries in which we compete varies widely. We present both wholesale and retail vehicle sales data to assist in the analysis of our revenue and our market share.</w:t>
      </w:r>
    </w:p>
    <w:p>
      <w:pPr>
        <w:spacing w:after="0" w:line="17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Wholesale vehicle sales data (vehicles in thousands),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nine months ended September 30, 2017, 39.2% of our wholesale vehicle sales volume was generated outside the U.S. The following table summarizes total wholesale vehicle sales of new vehicles by automotive segment: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GMNA(a)</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GMIO(b)</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4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GMSA(a)</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22"/>
        </w:trPr>
        <w:tc>
          <w:tcPr>
            <w:tcW w:w="40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Wholesale vehicle sales related to transactions with the European Business were insignificant for the three and nine months ended September 30, 2017 and 2016.</w:t>
      </w:r>
    </w:p>
    <w:p>
      <w:pPr>
        <w:spacing w:after="0" w:line="5" w:lineRule="exact"/>
        <w:rPr>
          <w:rFonts w:ascii="Times New Roman" w:cs="Times New Roman" w:eastAsia="Times New Roman" w:hAnsi="Times New Roman"/>
          <w:sz w:val="16"/>
          <w:szCs w:val="16"/>
          <w:color w:val="auto"/>
        </w:rPr>
      </w:pPr>
    </w:p>
    <w:p>
      <w:pPr>
        <w:ind w:left="340" w:right="20" w:hanging="332"/>
        <w:spacing w:after="0" w:line="257"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Wholesale vehicle sales include 37 and 24 vehicles related to transactions with the European Business for the three months ended September 30, 2017 and 2016 and 131 and 94 vehicles for the nine months ended September 30, 2017 and 2016.</w:t>
      </w:r>
    </w:p>
    <w:p>
      <w:pPr>
        <w:spacing w:after="0" w:line="15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September 30, 2017</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2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0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GM</w:t>
            </w: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GM</w:t>
            </w:r>
          </w:p>
        </w:tc>
        <w:tc>
          <w:tcPr>
            <w:tcW w:w="12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GM</w:t>
            </w:r>
          </w:p>
        </w:tc>
        <w:tc>
          <w:tcPr>
            <w:tcW w:w="10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0" w:type="dxa"/>
            <w:vAlign w:val="bottom"/>
          </w:tcPr>
          <w:p>
            <w:pPr>
              <w:spacing w:after="0"/>
              <w:rPr>
                <w:sz w:val="1"/>
                <w:szCs w:val="1"/>
                <w:color w:val="auto"/>
              </w:rPr>
            </w:pPr>
          </w:p>
        </w:tc>
      </w:tr>
      <w:tr>
        <w:trPr>
          <w:trHeight w:val="179"/>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780" w:type="dxa"/>
            <w:vAlign w:val="bottom"/>
            <w:gridSpan w:val="3"/>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4,553</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13,117</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2,196</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13,365</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North America(a)</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780" w:type="dxa"/>
            <w:vAlign w:val="bottom"/>
            <w:gridSpan w:val="3"/>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5,574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16,115</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2,619</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16,308</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Asia/Pacific, Middle East and Africa</w:t>
            </w: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China(b)</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780" w:type="dxa"/>
            <w:vAlign w:val="bottom"/>
            <w:gridSpan w:val="3"/>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6,568</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19,373</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19,565</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Other(c)</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15,695</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466</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15,353</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Total Asia/Pacific, Middle East and</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780" w:type="dxa"/>
            <w:vAlign w:val="bottom"/>
            <w:gridSpan w:val="3"/>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11,624</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35,068</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34,918</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Africa(a)</w:t>
            </w:r>
          </w:p>
        </w:tc>
        <w:tc>
          <w:tcPr>
            <w:tcW w:w="580" w:type="dxa"/>
            <w:vAlign w:val="bottom"/>
            <w:vMerge w:val="continue"/>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Brazil</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780" w:type="dxa"/>
            <w:vAlign w:val="bottom"/>
            <w:gridSpan w:val="3"/>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1,620</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South America(a)</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3,067</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422</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83"/>
        </w:trPr>
        <w:tc>
          <w:tcPr>
            <w:tcW w:w="24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in GM markets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18,804</w:t>
            </w:r>
          </w:p>
        </w:tc>
        <w:tc>
          <w:tcPr>
            <w:tcW w:w="78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2,234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18,159</w:t>
            </w:r>
          </w:p>
        </w:tc>
        <w:tc>
          <w:tcPr>
            <w:tcW w:w="10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2,117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54,250</w:t>
            </w:r>
          </w:p>
        </w:tc>
        <w:tc>
          <w:tcPr>
            <w:tcW w:w="120" w:type="dxa"/>
            <w:vAlign w:val="bottom"/>
          </w:tcPr>
          <w:p>
            <w:pPr>
              <w:spacing w:after="0"/>
              <w:rPr>
                <w:sz w:val="15"/>
                <w:szCs w:val="15"/>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6,320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53,935</w:t>
            </w:r>
          </w:p>
        </w:tc>
        <w:tc>
          <w:tcPr>
            <w:tcW w:w="100" w:type="dxa"/>
            <w:vAlign w:val="bottom"/>
          </w:tcPr>
          <w:p>
            <w:pPr>
              <w:spacing w:after="0"/>
              <w:rPr>
                <w:sz w:val="15"/>
                <w:szCs w:val="15"/>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6,264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Europe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2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14,526</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14,096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Worldwide(d)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7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2,317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22,465</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68,776</w:t>
            </w: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68,031</w:t>
            </w:r>
          </w:p>
        </w:tc>
        <w:tc>
          <w:tcPr>
            <w:tcW w:w="10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51"/>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7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4,709</w:t>
            </w: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5,264</w:t>
            </w:r>
          </w:p>
        </w:tc>
        <w:tc>
          <w:tcPr>
            <w:tcW w:w="10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Trucks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7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3,701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Crossovers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4,707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707</w:t>
            </w:r>
          </w:p>
        </w:tc>
        <w:tc>
          <w:tcPr>
            <w:tcW w:w="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4,482</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United States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7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13,117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13,365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China(b)</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2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SGMS</w:t>
            </w:r>
          </w:p>
        </w:tc>
        <w:tc>
          <w:tcPr>
            <w:tcW w:w="5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SGMW and FAW-GM</w:t>
            </w:r>
          </w:p>
        </w:tc>
        <w:tc>
          <w:tcPr>
            <w:tcW w:w="5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gridSpan w:val="2"/>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China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7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6,568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19,373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19,565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Opel/Vauxhall outside of Europe were insignificant in the three and nine months ended September 30, 2017 and 2016.</w:t>
      </w:r>
    </w:p>
    <w:p>
      <w:pPr>
        <w:spacing w:after="0" w:line="15" w:lineRule="exact"/>
        <w:rPr>
          <w:rFonts w:ascii="Times New Roman" w:cs="Times New Roman" w:eastAsia="Times New Roman" w:hAnsi="Times New Roman"/>
          <w:sz w:val="16"/>
          <w:szCs w:val="16"/>
          <w:color w:val="auto"/>
        </w:rPr>
      </w:pPr>
    </w:p>
    <w:p>
      <w:pPr>
        <w:jc w:val="both"/>
        <w:ind w:left="340" w:hanging="332"/>
        <w:spacing w:after="0" w:line="24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China sales include the Automotive China JVs SAIC General Motors Sales Co., Ltd. (SGMS), SAIC GM Wuling Automobile Co., Ltd. (SGMW) and FAW-GM Light Duty Commercial Vehicle Co., Ltd. (FAW-GM). In the three months ended March 31, 2017, we began using estimated vehicle registrations data as the basis for calculating industry volume and market share in China. In the three and nine months ended September 30, 2016, wholesale volumes were used for Industry, GM and Market Share. Our retail sales in China were 908 and 2,718 in the three and nine months ended September 30, 2016.</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Industry and GM sales in India and South Africa. We intend to phase out sales of Chevrolet in the Indian and South African markets by the end of 2017.</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currently export vehicles to Cuba, Iran, North Korea, Sudan or Syria. Accordingly these countries are excluded from industry sales data and corresponding calculation of market share.</w:t>
      </w:r>
    </w:p>
    <w:p>
      <w:pPr>
        <w:spacing w:after="0" w:line="124"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we estimate we had the largest market share in North America and South America, and the number three market share in the Asia/Pacific, Middle East and Africa region.</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3360" w:type="dxa"/>
            <w:vAlign w:val="bottom"/>
            <w:tcBorders>
              <w:bottom w:val="single" w:sz="8" w:color="auto"/>
            </w:tcBorders>
            <w:gridSpan w:val="3"/>
          </w:tcPr>
          <w:p>
            <w:pPr>
              <w:jc w:val="right"/>
              <w:ind w:right="101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64"/>
        </w:trPr>
        <w:tc>
          <w:tcPr>
            <w:tcW w:w="4540" w:type="dxa"/>
            <w:vAlign w:val="bottom"/>
          </w:tcPr>
          <w:p>
            <w:pPr>
              <w:spacing w:after="0"/>
              <w:rPr>
                <w:sz w:val="22"/>
                <w:szCs w:val="22"/>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September 30, 2016</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6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6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4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6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108</w:t>
            </w:r>
          </w:p>
        </w:tc>
      </w:tr>
      <w:tr>
        <w:trPr>
          <w:trHeight w:val="297"/>
        </w:trPr>
        <w:tc>
          <w:tcPr>
            <w:tcW w:w="4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fleet sales</w:t>
            </w:r>
          </w:p>
        </w:tc>
        <w:tc>
          <w:tcPr>
            <w:tcW w:w="16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tcPr>
          <w:p>
            <w:pPr>
              <w:spacing w:after="0"/>
              <w:rPr>
                <w:sz w:val="24"/>
                <w:szCs w:val="24"/>
                <w:color w:val="auto"/>
              </w:rPr>
            </w:pPr>
          </w:p>
        </w:tc>
        <w:tc>
          <w:tcPr>
            <w:tcW w:w="16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tcPr>
          <w:p>
            <w:pPr>
              <w:spacing w:after="0"/>
              <w:rPr>
                <w:sz w:val="24"/>
                <w:szCs w:val="24"/>
                <w:color w:val="auto"/>
              </w:rPr>
            </w:pPr>
          </w:p>
        </w:tc>
        <w:tc>
          <w:tcPr>
            <w:tcW w:w="16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842</w:t>
            </w:r>
          </w:p>
        </w:tc>
      </w:tr>
      <w:tr>
        <w:trPr>
          <w:trHeight w:val="109"/>
        </w:trPr>
        <w:tc>
          <w:tcPr>
            <w:tcW w:w="45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Fleet sales as a percentage of total retail vehicle sales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United States fleet sales (vehicles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101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64"/>
        </w:trPr>
        <w:tc>
          <w:tcPr>
            <w:tcW w:w="4700" w:type="dxa"/>
            <w:vAlign w:val="bottom"/>
          </w:tcPr>
          <w:p>
            <w:pPr>
              <w:spacing w:after="0"/>
              <w:rPr>
                <w:sz w:val="22"/>
                <w:szCs w:val="22"/>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5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September 30, 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Daily rental sales</w:t>
            </w:r>
          </w:p>
        </w:tc>
        <w:tc>
          <w:tcPr>
            <w:tcW w:w="16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fleet sales</w:t>
            </w: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5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fleet sales</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Summary and Outlook </w:t>
      </w:r>
      <w:r>
        <w:rPr>
          <w:rFonts w:ascii="Times New Roman" w:cs="Times New Roman" w:eastAsia="Times New Roman" w:hAnsi="Times New Roman"/>
          <w:sz w:val="18"/>
          <w:szCs w:val="18"/>
          <w:color w:val="auto"/>
        </w:rPr>
        <w:t>GM Financial has expanded its leasing, near prime and prime lending programs in North America; therefore, leasing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prime lending have become a larger percentage of originations and the retail portfolio balance. Based on recent pricing trends for used vehicles in the secondary market that have remained more favorable than previously expected and the temporary impact from Hurricanes Harvey and Irma, we now expect used car prices to decline less than 7% during 2017 compared to 2016. We continue to expect the increased supply of used vehicles to pressure used car prices in 2018. GM Financial continues to expect pre-tax income to double from 2014 earnings of $0.8 billion once full captive penetration levels are achieved. The following table summarizes the residual value as well as the number of units included in GM Financial equipment on operating leases, net by vehicle type (units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Unit 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Unit Percentage</w:t>
            </w:r>
          </w:p>
        </w:tc>
      </w:tr>
      <w:tr>
        <w:trPr>
          <w:trHeight w:val="249"/>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13,107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29,253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23,611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GM Financial's retail penetration in North America grew to approximately 40% in the nine months ended September 30, 2017 from approximately 33% in the corresponding period in 2016 as a result of the expanded leasing and lending programs. In the nine months ended September 30, 2017 and 2016 GM Financial's revenue consisted of leased vehicle income of 71% and 64%, retail finance charge income of 24% and 30%, and commercial finance charge income of 3%. We believe that offering a comprehensive suite of financing products will generate incremental sales of our vehicles, drive incremental GM Financial earnings and help support our sales throughout various economic cycles. Refer to the PSA Group Transaction portion of the “Overview” section of this MD&amp;A for a discussion on the Agreement to sell the Fincos to PSA Group.</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40" w:type="dxa"/>
            <w:vAlign w:val="bottom"/>
          </w:tcPr>
          <w:p>
            <w:pPr>
              <w:spacing w:after="0"/>
              <w:rPr>
                <w:sz w:val="22"/>
                <w:szCs w:val="22"/>
                <w:color w:val="auto"/>
              </w:rPr>
            </w:pPr>
          </w:p>
        </w:tc>
        <w:tc>
          <w:tcPr>
            <w:tcW w:w="980" w:type="dxa"/>
            <w:vAlign w:val="bottom"/>
            <w:vMerge w:val="restart"/>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20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4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24,819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31,085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GMIO</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GMSA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540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30,475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36,530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33,623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38,889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40" w:type="dxa"/>
            <w:vAlign w:val="bottom"/>
          </w:tcPr>
          <w:p>
            <w:pPr>
              <w:spacing w:after="0"/>
              <w:rPr>
                <w:sz w:val="22"/>
                <w:szCs w:val="22"/>
                <w:color w:val="auto"/>
              </w:rPr>
            </w:pPr>
          </w:p>
        </w:tc>
        <w:tc>
          <w:tcPr>
            <w:tcW w:w="980" w:type="dxa"/>
            <w:vAlign w:val="bottom"/>
            <w:vMerge w:val="restart"/>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restart"/>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20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4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82,594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87,815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GMIO</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GMSA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99,126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102,862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8,899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2,470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107,873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109,288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Cost of Sales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4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40" w:type="dxa"/>
            <w:vAlign w:val="bottom"/>
          </w:tcPr>
          <w:p>
            <w:pPr>
              <w:spacing w:after="0"/>
              <w:rPr>
                <w:sz w:val="11"/>
                <w:szCs w:val="11"/>
                <w:color w:val="auto"/>
              </w:rPr>
            </w:pPr>
          </w:p>
        </w:tc>
        <w:tc>
          <w:tcPr>
            <w:tcW w:w="980" w:type="dxa"/>
            <w:vAlign w:val="bottom"/>
            <w:vMerge w:val="restart"/>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20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4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21,116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25,727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4,611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GMIO</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GMSA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automotive cost of sales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26,511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31,139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4,628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40" w:type="dxa"/>
            <w:vAlign w:val="bottom"/>
          </w:tcPr>
          <w:p>
            <w:pPr>
              <w:spacing w:after="0"/>
              <w:rPr>
                <w:sz w:val="11"/>
                <w:szCs w:val="11"/>
                <w:color w:val="auto"/>
              </w:rPr>
            </w:pPr>
          </w:p>
        </w:tc>
        <w:tc>
          <w:tcPr>
            <w:tcW w:w="980" w:type="dxa"/>
            <w:vAlign w:val="bottom"/>
            <w:vMerge w:val="restart"/>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20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4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68,644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73,015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4,371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GMIO</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9,557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GMSA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20"/>
                <w:szCs w:val="20"/>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automotive cost of sales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85,161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87,761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22" w:gutter="0" w:footer="0" w:header="0"/>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022"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2017 favorable Cost was due primarily to: (1) decreased warranty costs of $0.5 billion; and (2) decreased material and freight costs of $0.2 billion related to carryover vehicles; partially offset by (3) increased material and freight costs of $0.3 billion related to vehicles launched within the last twelve months incorporating significant exterior and/or interior changes (Majors); (4) increased engineering costs of $0.2 billion; and (5) increased manufacturing costs of $0.2 billion.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nine months ended September 30, 2017 Cost remained flat due primarily to: (1) increased material and freight costs of $0.8 billion related to Majors;</w:t>
      </w:r>
    </w:p>
    <w:p>
      <w:pPr>
        <w:spacing w:after="0" w:line="27" w:lineRule="exact"/>
        <w:rPr>
          <w:sz w:val="20"/>
          <w:szCs w:val="20"/>
          <w:color w:val="auto"/>
        </w:rPr>
      </w:pPr>
    </w:p>
    <w:p>
      <w:pPr>
        <w:jc w:val="both"/>
        <w:ind w:firstLine="8"/>
        <w:spacing w:after="0" w:line="253" w:lineRule="auto"/>
        <w:tabs>
          <w:tab w:leader="none" w:pos="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engineering costs of $0.8 billion; and (3) charges of $0.4 billion related to restructuring actions in India and South Africa; offset by (4) decreased warranty costs of $0.9 billion; (5) decreased material and freight costs of $0.6 billion related to carryover vehicles; (6) restructuring costs related to UAW cash severance incentive program of $0.2 billion in 2016; and (7) decreased manufacturing costs of $0.2 billion. In the nine months ended September 30, 2017 unfavorable Other was due primarily to the foreign currency effect of $0.3 billion due to the strengthening of the Brazilian Real against the U.S. Dollar.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selling, general and administrative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7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2"/>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 selling, general</w:t>
            </w: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administrative expense  $</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7,141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2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2017 Automotive selling, general and administrative expense decreased due primarily to decreased advertising costs of $0.2 billion, partially offset by a net benefit for legal related matters related to the ignition switch recall in 2016.</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Automotive selling, general and administrative expense decreased due primarily to decreased advertising costs of $0.2 billion.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5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3,637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33"/>
        </w:trPr>
        <w:tc>
          <w:tcPr>
            <w:tcW w:w="2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2017 Income tax expense increased due primarily to the establishment of a valuation allowance related to the sale of the Opel/Vauxhall Business, partially offset by tax benefits related to tax settlements and a decrease in pre-tax earnings.</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Income tax expense increased due primarily to the establishment of a valuation allowance related to the sale of the Opel/Vauxhall Business, partially offset by tax benefits related to tax settlements, a decrease in pre-tax earnings, and tax benefits from foreign dividends.</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Changes in U.S. or foreign tax laws could impact the value of our deferred tax assets, resulting in asset impairment or write-off. If U.S. tax reform legislation is enacted it could result in a one-time reduction to net deferred tax assets and a related increase to Income tax expense in the period that includes the enactment date of the law change. Given the magnitude of our net deferred tax assets, the income tax charge to earnings could be material.</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Favorable /</w:t>
            </w:r>
          </w:p>
        </w:tc>
        <w:tc>
          <w:tcPr>
            <w:tcW w:w="4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Favorable /</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September 30, 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September 30, 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jc w:val="right"/>
              <w:ind w:right="2099"/>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tcPr>
          <w:p>
            <w:pPr>
              <w:jc w:val="right"/>
              <w:ind w:right="2079"/>
              <w:spacing w:after="0" w:line="182" w:lineRule="exact"/>
              <w:rPr>
                <w:sz w:val="20"/>
                <w:szCs w:val="20"/>
                <w:color w:val="auto"/>
              </w:rPr>
            </w:pPr>
            <w:r>
              <w:rPr>
                <w:rFonts w:ascii="Times New Roman" w:cs="Times New Roman" w:eastAsia="Times New Roman" w:hAnsi="Times New Roman"/>
                <w:sz w:val="16"/>
                <w:szCs w:val="16"/>
                <w:color w:val="auto"/>
                <w:w w:val="97"/>
              </w:rPr>
              <w:t>__________</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2017 Income (loss) from discontinued operations, net of tax, decreased due primarily to a disposal loss of $3.1 billion, net of tax, primarily related to deferred tax assets that transferred to PSA Group, previously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pension losses and payment of the de-risking premium to PSA Group for its assumption of certain underfunded pension liabilities.</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2017 Income (loss) from discontinued operations, net of tax, decreased due primarily to a disposal loss of $3.7 billion, net of tax, primarily related to deferred tax assets that transferred to PSA Group, previously deferred pension losses and payment of the de-risking premium to PSA Group for its assumption of certain underfunded pension liabilities; and an increased operating loss of $0.3 billion due primarily to decreased wholesale volumes and unfavorable foreign exchange in the United Kingdom.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4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5"/>
                <w:szCs w:val="5"/>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5"/>
                <w:szCs w:val="5"/>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5"/>
                <w:szCs w:val="5"/>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24,819</w:t>
            </w:r>
          </w:p>
        </w:tc>
        <w:tc>
          <w:tcPr>
            <w:tcW w:w="74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2,068</w:t>
            </w:r>
          </w:p>
        </w:tc>
        <w:tc>
          <w:tcPr>
            <w:tcW w:w="74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3,579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762</w:t>
            </w: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4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vMerge w:val="continue"/>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4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5"/>
                <w:szCs w:val="5"/>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5"/>
                <w:szCs w:val="5"/>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5"/>
                <w:szCs w:val="5"/>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82,594</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87,815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9,014</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7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2,908</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September 30, 2017 Total net sales and revenue decreased due primarily to: (1)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due primarily to a decrease in full-size pick-up trucks and crossover vehicles due primarily to planned production downtime to prepare for current and future product launches, planned production downtime associated with a decrease in Chevrolet passenger cars including the Malibu and Cruze to match supply and demand, and a decrease in off-lease rental car sales; and (2) unfavorable pricing for carryovers primarily related to Chevrolet passenger cars; partially offset by (3) favorable Mix associated with a decrease in sales of Chevrolet passenger cars.</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Total net sales and revenue decreased due primarily to decreased net wholesale volumes associated with a decrease in off-lease rental car sales and a decrease in Chevrolet passenger cars, partially offset by favorable Mix associated with a decrease in sales of Chevrolet passenger cars and decreased volumes of off-lease rental car sales.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GMNA EBIT-Adjusted </w:t>
      </w:r>
      <w:r>
        <w:rPr>
          <w:rFonts w:ascii="Times New Roman" w:cs="Times New Roman" w:eastAsia="Times New Roman" w:hAnsi="Times New Roman"/>
          <w:sz w:val="17"/>
          <w:szCs w:val="17"/>
          <w:color w:val="auto"/>
        </w:rPr>
        <w:t>In the three months ended September 30, 2017 EBIT-adjusted decreased due primarily to: (1) decreased net wholesale volumes; and</w:t>
      </w:r>
    </w:p>
    <w:p>
      <w:pPr>
        <w:spacing w:after="0" w:line="43" w:lineRule="exact"/>
        <w:rPr>
          <w:sz w:val="20"/>
          <w:szCs w:val="20"/>
          <w:color w:val="auto"/>
        </w:rPr>
      </w:pPr>
    </w:p>
    <w:p>
      <w:pPr>
        <w:ind w:firstLine="8"/>
        <w:spacing w:after="0" w:line="26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pricing; partially offset by (3) favorable Mix; and (4) favorable Cost including decreased warranty costs of $0.5 billion and decreased material and freight costs for carryover vehicles of $0.2 billion, partially offset by increased material costs related to Majors of $0.3 billion.</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2017 EBIT-adjusted decreased due primarily to: (1) decreased net wholesale volumes; and (2) unfavorable Other due primarily to foreign currency effect resulting from the weakening of the Mexican Peso against the U.S. Dollar; partially offset by (3) favorable Cost including decreased warranty costs of $0.9 billion, decreased material and freight costs related to carryover vehicles of $0.6 billion, decreased restructuring charges of $0.2 billion related to the 2016 UAW cash severance incentive program and decreased manufacturing and advertising costs, partially offset by increased material costs for Majors of $0.8 billion and increased engineering costs of $0.3 billion; and (4) favorable Mix.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4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5"/>
                <w:szCs w:val="5"/>
                <w:color w:val="auto"/>
              </w:rPr>
            </w:pP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5"/>
                <w:szCs w:val="5"/>
                <w:color w:val="auto"/>
              </w:rPr>
            </w:pPr>
          </w:p>
        </w:tc>
        <w:tc>
          <w:tcPr>
            <w:tcW w:w="5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5"/>
                <w:szCs w:val="5"/>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5"/>
                <w:szCs w:val="5"/>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3,007</w:t>
            </w:r>
          </w:p>
        </w:tc>
        <w:tc>
          <w:tcPr>
            <w:tcW w:w="8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337</w:t>
            </w:r>
          </w:p>
        </w:tc>
        <w:tc>
          <w:tcPr>
            <w:tcW w:w="8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Equity income –</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459</w:t>
            </w:r>
          </w:p>
        </w:tc>
        <w:tc>
          <w:tcPr>
            <w:tcW w:w="800" w:type="dxa"/>
            <w:vAlign w:val="bottom"/>
          </w:tcPr>
          <w:p>
            <w:pPr>
              <w:jc w:val="right"/>
              <w:ind w:right="51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459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EBIT (loss)-adjusted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excluding Equity</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income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i w:val="1"/>
                <w:iCs w:val="1"/>
                <w:color w:val="auto"/>
              </w:rPr>
              <w:t>(122)</w:t>
            </w:r>
          </w:p>
        </w:tc>
        <w:tc>
          <w:tcPr>
            <w:tcW w:w="8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4"/>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vMerge w:val="continue"/>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4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5"/>
                <w:szCs w:val="5"/>
                <w:color w:val="auto"/>
              </w:rPr>
            </w:pPr>
          </w:p>
        </w:tc>
        <w:tc>
          <w:tcPr>
            <w:tcW w:w="5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5"/>
                <w:szCs w:val="5"/>
                <w:color w:val="auto"/>
              </w:rPr>
            </w:pPr>
          </w:p>
        </w:tc>
        <w:tc>
          <w:tcPr>
            <w:tcW w:w="5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5"/>
                <w:szCs w:val="5"/>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5"/>
                <w:szCs w:val="5"/>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9,400</w:t>
            </w:r>
          </w:p>
        </w:tc>
        <w:tc>
          <w:tcPr>
            <w:tcW w:w="8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974</w:t>
            </w:r>
          </w:p>
        </w:tc>
        <w:tc>
          <w:tcPr>
            <w:tcW w:w="8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Equity income –</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1,472</w:t>
            </w:r>
          </w:p>
        </w:tc>
        <w:tc>
          <w:tcPr>
            <w:tcW w:w="800" w:type="dxa"/>
            <w:vAlign w:val="bottom"/>
          </w:tcPr>
          <w:p>
            <w:pPr>
              <w:jc w:val="right"/>
              <w:ind w:right="51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1,448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EBIT (loss)-adjusted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excluding Equity</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income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i w:val="1"/>
                <w:iCs w:val="1"/>
                <w:color w:val="auto"/>
              </w:rPr>
              <w:t>(498)</w:t>
            </w:r>
          </w:p>
        </w:tc>
        <w:tc>
          <w:tcPr>
            <w:tcW w:w="8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(604)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5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Total Net Sales and Revenue </w:t>
      </w:r>
      <w:r>
        <w:rPr>
          <w:rFonts w:ascii="Times New Roman" w:cs="Times New Roman" w:eastAsia="Times New Roman" w:hAnsi="Times New Roman"/>
          <w:sz w:val="18"/>
          <w:szCs w:val="18"/>
          <w:color w:val="auto"/>
        </w:rPr>
        <w:t>In the three months ended September 30, 2017 Total net sales and revenue decreased due primarily to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across our vehicle portfolio in the Middle East due to decreased industry sales, partially offset by favorable pricing in Australia due to carryover vehicles and in Egypt to mitigate the impact of the weakening Egyptian Pound against the U.S. Dollar.</w:t>
      </w:r>
    </w:p>
    <w:p>
      <w:pPr>
        <w:spacing w:after="0" w:line="17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2017 Total net sales and revenue decreased due primarily to decreased wholesale volumes across our vehicle portfolio in the Middle East associated with decreased industry sales and decreased passenger car volumes in Australia due to ceasing production of the Chevrolet Cruze; partially offset by favorable pricing in Egypt to mitigate the impact of the weakening Egyptian Pound against the U.S. Dollar and in Australia due to carryover vehicles.</w:t>
      </w:r>
    </w:p>
    <w:p>
      <w:pPr>
        <w:spacing w:after="0" w:line="176"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GMIO EBIT-Adjusted </w:t>
      </w:r>
      <w:r>
        <w:rPr>
          <w:rFonts w:ascii="Times New Roman" w:cs="Times New Roman" w:eastAsia="Times New Roman" w:hAnsi="Times New Roman"/>
          <w:sz w:val="18"/>
          <w:szCs w:val="18"/>
          <w:color w:val="auto"/>
        </w:rPr>
        <w:t>In the three months ended September 30, 2017 EBIT-adjusted increased due primarily to: (1) favorable Cost due to the settlement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labor negotiations in the prior year and decreased selling, general and administrative expenses in Korea and India; and (2) favorable pricing in Australia and Egypt; partially offset by (3) decreased wholesale volumes in the Middle East.</w:t>
      </w:r>
    </w:p>
    <w:p>
      <w:pPr>
        <w:spacing w:after="0" w:line="17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EBIT-adjusted increased due primarily to: (1) favorable Cost due to the settlement of labor negotiations in the prior year and decreased selling, general and administrative expenses in India and the Middle East; and (2) favorable pricing in Egypt and Australia; partially offset by (3) unfavorable Mix in Australia and Korea; and (4) decreased wholesale volumes in the Middle East.</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Chinese market through a number of joint ventures and maintaining good relations with our joint venture partners, which are affiliated with the Chinese government, is an important part of our China growth strategy.</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certain key operational and financial data for the Automotive China JVs (vehicles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Wholesale vehicles including vehicles exported to markets</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China</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980" w:type="dxa"/>
            <w:vAlign w:val="bottom"/>
          </w:tcPr>
          <w:p>
            <w:pPr>
              <w:spacing w:after="0"/>
              <w:rPr>
                <w:sz w:val="21"/>
                <w:szCs w:val="21"/>
                <w:color w:val="auto"/>
              </w:rPr>
            </w:pPr>
          </w:p>
        </w:tc>
        <w:tc>
          <w:tcPr>
            <w:tcW w:w="6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6"/>
          </w:tcPr>
          <w:p>
            <w:pPr>
              <w:jc w:val="right"/>
              <w:ind w:right="48"/>
              <w:spacing w:after="0"/>
              <w:rPr>
                <w:sz w:val="20"/>
                <w:szCs w:val="20"/>
                <w:color w:val="auto"/>
              </w:rPr>
            </w:pPr>
            <w:r>
              <w:rPr>
                <w:rFonts w:ascii="Times New Roman" w:cs="Times New Roman" w:eastAsia="Times New Roman" w:hAnsi="Times New Roman"/>
                <w:sz w:val="18"/>
                <w:szCs w:val="18"/>
                <w:color w:val="auto"/>
              </w:rPr>
              <w:t>10,945</w:t>
            </w:r>
          </w:p>
        </w:tc>
        <w:tc>
          <w:tcPr>
            <w:tcW w:w="120" w:type="dxa"/>
            <w:vAlign w:val="bottom"/>
            <w:tcBorders>
              <w:right w:val="single" w:sz="8" w:color="auto"/>
            </w:tcBorders>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34,177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32,417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6"/>
              </w:rPr>
              <w:t>391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459"/>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GM South America</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2"/>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5"/>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4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20" w:type="dxa"/>
            <w:vAlign w:val="bottom"/>
          </w:tcPr>
          <w:p>
            <w:pPr>
              <w:spacing w:after="0"/>
              <w:rPr>
                <w:sz w:val="5"/>
                <w:szCs w:val="5"/>
                <w:color w:val="auto"/>
              </w:rPr>
            </w:pPr>
          </w:p>
        </w:tc>
        <w:tc>
          <w:tcPr>
            <w:tcW w:w="4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Mix</w:t>
            </w:r>
          </w:p>
        </w:tc>
        <w:tc>
          <w:tcPr>
            <w:tcW w:w="320" w:type="dxa"/>
            <w:vAlign w:val="bottom"/>
          </w:tcPr>
          <w:p>
            <w:pPr>
              <w:spacing w:after="0"/>
              <w:rPr>
                <w:sz w:val="5"/>
                <w:szCs w:val="5"/>
                <w:color w:val="auto"/>
              </w:rPr>
            </w:pPr>
          </w:p>
        </w:tc>
        <w:tc>
          <w:tcPr>
            <w:tcW w:w="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0" w:type="dxa"/>
            <w:vAlign w:val="bottom"/>
          </w:tcPr>
          <w:p>
            <w:pPr>
              <w:spacing w:after="0"/>
              <w:rPr>
                <w:sz w:val="5"/>
                <w:szCs w:val="5"/>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gridSpan w:val="4"/>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6"/>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2,569</w:t>
            </w:r>
          </w:p>
        </w:tc>
        <w:tc>
          <w:tcPr>
            <w:tcW w:w="9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w w:val="98"/>
              </w:rPr>
              <w:t>2,029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26.6%</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w:t>
            </w:r>
          </w:p>
        </w:tc>
        <w:tc>
          <w:tcPr>
            <w:tcW w:w="9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right w:val="single" w:sz="8" w:color="auto"/>
            </w:tcBorders>
          </w:tcPr>
          <w:p>
            <w:pPr>
              <w:spacing w:after="0"/>
              <w:rPr>
                <w:sz w:val="21"/>
                <w:szCs w:val="21"/>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185</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20.9%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__________</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2"/>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5"/>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4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20" w:type="dxa"/>
            <w:vAlign w:val="bottom"/>
          </w:tcPr>
          <w:p>
            <w:pPr>
              <w:spacing w:after="0"/>
              <w:rPr>
                <w:sz w:val="5"/>
                <w:szCs w:val="5"/>
                <w:color w:val="auto"/>
              </w:rPr>
            </w:pPr>
          </w:p>
        </w:tc>
        <w:tc>
          <w:tcPr>
            <w:tcW w:w="4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Mix</w:t>
            </w:r>
          </w:p>
        </w:tc>
        <w:tc>
          <w:tcPr>
            <w:tcW w:w="320" w:type="dxa"/>
            <w:vAlign w:val="bottom"/>
          </w:tcPr>
          <w:p>
            <w:pPr>
              <w:spacing w:after="0"/>
              <w:rPr>
                <w:sz w:val="5"/>
                <w:szCs w:val="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0" w:type="dxa"/>
            <w:vAlign w:val="bottom"/>
          </w:tcPr>
          <w:p>
            <w:pPr>
              <w:spacing w:after="0"/>
              <w:rPr>
                <w:sz w:val="5"/>
                <w:szCs w:val="5"/>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6"/>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6,826</w:t>
            </w:r>
          </w:p>
        </w:tc>
        <w:tc>
          <w:tcPr>
            <w:tcW w:w="9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5,011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487</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Total Net Sales and Revenue </w:t>
      </w:r>
      <w:r>
        <w:rPr>
          <w:rFonts w:ascii="Times New Roman" w:cs="Times New Roman" w:eastAsia="Times New Roman" w:hAnsi="Times New Roman"/>
          <w:sz w:val="18"/>
          <w:szCs w:val="18"/>
          <w:color w:val="auto"/>
        </w:rPr>
        <w:t>In the three months ended September 30, 2017 Total net sales and revenue increased due primarily to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associated with the Chevrolet Onix in Brazil and Argentina.</w:t>
      </w:r>
    </w:p>
    <w:p>
      <w:pPr>
        <w:spacing w:after="0" w:line="15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2017 Total net sales and revenue increased due primarily to: (1) increased wholesale volumes associated with the Chevrolet Onix in Brazil and Argentina; (2) favorable Mix driven by increased sales of the Chevrolet Cruze in Brazil and Argentina; (3) favorable pricing related to carryover vehicles in Argentina and Brazil; and (4) favorable Other due primarily to the foreign currency effect resulting from the strengthening of the Brazilian Real against the U.S. Dollar.</w:t>
      </w:r>
    </w:p>
    <w:p>
      <w:pPr>
        <w:spacing w:after="0" w:line="17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GMSA EBIT (Loss)-Adjusted </w:t>
      </w:r>
      <w:r>
        <w:rPr>
          <w:rFonts w:ascii="Times New Roman" w:cs="Times New Roman" w:eastAsia="Times New Roman" w:hAnsi="Times New Roman"/>
          <w:sz w:val="18"/>
          <w:szCs w:val="18"/>
          <w:color w:val="auto"/>
        </w:rPr>
        <w:t>In the three months ended September 30, 2017 EBIT (loss)-adjusted decreased due primarily to favorable Price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wholesale volumes.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nine months ended September 30, 2017 EBIT (loss)-adjusted decreased due primarily to favorable Price and increased wholesale volumes.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8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vMerge w:val="restart"/>
          </w:tcPr>
          <w:p>
            <w:pPr>
              <w:spacing w:after="0"/>
              <w:rPr>
                <w:sz w:val="5"/>
                <w:szCs w:val="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vMerge w:val="restart"/>
          </w:tcPr>
          <w:p>
            <w:pPr>
              <w:spacing w:after="0"/>
              <w:rPr>
                <w:sz w:val="5"/>
                <w:szCs w:val="5"/>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8,899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2,470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41"/>
        </w:trPr>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Borders>
              <w:right w:val="single" w:sz="8" w:color="auto"/>
            </w:tcBorders>
          </w:tcPr>
          <w:p>
            <w:pPr>
              <w:spacing w:after="0"/>
              <w:rPr>
                <w:sz w:val="20"/>
                <w:szCs w:val="20"/>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Earnings before income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taxes-adjusted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(Dollars in billions)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Average debt outstanding</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8"/>
        </w:trPr>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Effective rate of interest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paid</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September 30, 2017 Total revenue increased due primarily to increased leased vehicle income of $0.7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due to a larger lease portfolio.</w:t>
      </w:r>
    </w:p>
    <w:p>
      <w:pPr>
        <w:spacing w:after="0" w:line="15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Total revenue increased due primarily to increased leased vehicle income of $2.1 billion due to a larger lease portfolio.</w:t>
      </w:r>
    </w:p>
    <w:p>
      <w:pPr>
        <w:spacing w:after="0" w:line="15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Earnings Before Income Taxes-Adjusted </w:t>
      </w:r>
      <w:r>
        <w:rPr>
          <w:rFonts w:ascii="Times New Roman" w:cs="Times New Roman" w:eastAsia="Times New Roman" w:hAnsi="Times New Roman"/>
          <w:sz w:val="18"/>
          <w:szCs w:val="18"/>
          <w:color w:val="auto"/>
        </w:rPr>
        <w:t>In the three months ended September 30, 2017 Earnings before income taxes-adjusted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primarily to increased net leased vehicle income of $0.2 billion due primarily to a larger lease portfolio, partially offset by an increase in interest expense due to an increase in average debt outstanding.</w:t>
      </w:r>
    </w:p>
    <w:p>
      <w:pPr>
        <w:spacing w:after="0" w:line="17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Earnings before income taxes-adjusted increased due primarily to increased net leased vehicle income of $0.6 billion due primarily to a larger lease portfolio, partially offset by an increase in interest expense of $0.5 billion due to an increase in average debt outstanding.</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that our current level of cash and cash equivalents, marketable securities and availability under our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which constitute our capital allocation framework: (1) reinvest in our business;</w:t>
      </w:r>
    </w:p>
    <w:p>
      <w:pPr>
        <w:spacing w:after="0" w:line="3" w:lineRule="exact"/>
        <w:rPr>
          <w:sz w:val="20"/>
          <w:szCs w:val="20"/>
          <w:color w:val="auto"/>
        </w:rPr>
      </w:pPr>
    </w:p>
    <w:p>
      <w:pPr>
        <w:jc w:val="both"/>
        <w:ind w:firstLine="8"/>
        <w:spacing w:after="0" w:line="25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investment-grade balance sheet; and (3) return available cash to shareholders. Our known future material uses of cash include, among other possible demands: (1) capital expenditures of approximately $8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9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the “Risk Factors” section of our 2016 Form 10-K, some of which are outside of our control.</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Management's capital allocation framework includes reinvesting in our business at an average target ROIC-adjusted rate of 20% or greater, maintaining a strong investment-grade balance sheet, including a target cash balance of $18 billion, and returning available cash to shareholders. As a result of the sale of the Opel/Vauxhall Business cash of $2 billion became available to accelerate repurchases of our common stock, under our previously announced program, subject to market conditions.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As part of our capital allocation framework we announced in January 2016 that our Board of Directors had authorized a program to purchase up to $4 billion of our common stock before the end of 2017, which was completed at September 30, 2017. We also announced in January 2017 that our Board of Directors had authorized the purchase of up to an additional $5 billion of our common stock with no expiration date, subsequent to completing the remaining portion of the previously announced program. From inception of the program in 2015 through October 17, 2017 we purchased an aggregate of 274 million shares of our outstanding common stock under our common stock repurchase program for $9.4 billion. In the nine months ended September 30, 2017 we returned total cash to shareholders of $4.7 billion, consisting of dividends paid on our common stock and purchases of our common stock.</w:t>
      </w:r>
    </w:p>
    <w:p>
      <w:pPr>
        <w:spacing w:after="0" w:line="18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August 2017 we issued $3.0 billion in aggregate principal amount of senior unsecured notes and used the net proceeds to repay the $3.0 billion drawn on our three-year unsecured revolving credit facility to fund the payments to PSA Group, or one or more pension funding vehicles, for the assumed net underfunded pension liabilities in connection with the sale of the Opel/Vauxhall Business. Refer to Note 9 to our condensed consolidated financial statements for additional information on the senior unsecured notes.</w:t>
      </w:r>
    </w:p>
    <w:p>
      <w:pPr>
        <w:spacing w:after="0" w:line="176"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securities and funds available under credit facilities. The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2016. Refer to the “Liquidity and Capital Resources” section of MD&amp;A in our 2016 Form 10-K.</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The total size of our credit facilities was $14.5 billion at September 30, 2017 and December 31, 2016, which consisted principally of our two primary revolving credit facilities. We did not have any borrowings against our primary facilities, but had letters of credit outstanding under our sub-facility of $0.4 billion at September 30, 2017 and December 31, 2016. GM Financial had access to our revolving credit facilities at September 30, 2017 and December 31, 2016 but did not borrow against them. At September 30, 2017 and December 31, 2016 we had intercompany loans from GM Financial of $0.4 billion and $0.3 billion, which consisted primarily of commercial loans to dealers we consolidate, and we had no intercompany loans to GM Financial. The following table summarizes our automotive available liquidity (dollars in billions):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51"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outstanding letters of credit of $0.2 billion at December 31, 2016 under our primary credit facilities which were transferred to PSA Group at closing.</w:t>
      </w:r>
    </w:p>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0" w:type="dxa"/>
            <w:vAlign w:val="bottom"/>
          </w:tcPr>
          <w:p>
            <w:pPr>
              <w:spacing w:after="0"/>
              <w:rPr>
                <w:sz w:val="1"/>
                <w:szCs w:val="1"/>
                <w:color w:val="auto"/>
              </w:rPr>
            </w:pP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 – discontinued operations(a)</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payments to PSA Group, or one or more pension funding vehicles, of $3.4 billion for the assumed net underfunded pension liabilities in connection with the sale of the Opel/Vauxhall Business, which includes pension funding payments for active employees and the de-risking premium payment of $478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Undistributed earnings of nonconsolidated affiliates, net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2017 the decrease in Net automotive cash provided by operating activities was due primarily to: (1) a decrease in Working capital due to lower production volumes; (2) a decrease in Equipment on operating leases due to an increase in units out to daily rental car companies; and (3) a decrease in Accrued and other liabilities due to decreased sales incentives; partially offset by (4) discretionary contributions of $2.0 billion made to our U.S. hourly pension plan in the nine months ended September 30, 2016; (5) an increase in Income taxes due to the establishment of a valuation allowance related to the sale of the Opel/Vauxhall Business, partially offset by tax benefits related to tax settlements and a decrease in pre-tax earnings; and (6) an increase in Other due to several insignificant items.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Lyft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Cruise</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used in investing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3"/>
        </w:trPr>
        <w:tc>
          <w:tcPr>
            <w:tcW w:w="6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2"/>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Adjusted Automotive Free Cash Flow (Dollars in Billions)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continuing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 discretionary pension plan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 – continuing operations(a)</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operating activities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 – discontinued operations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(a)  Amounts may not add due to rounding.</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(Fitch), Moody's Investor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(Moody's) and Standard &amp; Poor's (S&amp;P). In January 2017 Moody's upgraded our revolving credit facilities rating to Baa2 from Baa3, and revised their outlook to Stable from Positive. Our senior unsecured bonds were upgraded to Baa3 from Ba1 and remain notched below our revolving credit facilities rating. Also in January 2017, S&amp;P upgraded our corporate rating, revolving credit facilities rating and senior unsecured rating to BBB from BBB– and revised their outlook to Stable from Positive. In June 2017 Fitch upgraded our corporate rating, revolving credit facilities rating and senior unsecured rating to BBB from BBB– and revised their outlook to Stable from Positive.</w:t>
      </w:r>
    </w:p>
    <w:p>
      <w:pPr>
        <w:spacing w:after="0" w:line="22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In September 2017 GM Financial issued $1.0 billion of Fixed-to-Floating Rate Cumulative Perpetual Preferred Stock, Series A, $0.01 par value, with a liquidation preference of $1,000 per share. The following table summarizes GM Financial's available liquidity (dollars in billions):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available liquidity increased due primarily to an increase in cash and additional capacity on new and renewed secured credit facilities.</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has the ability to borrow up to $1.0 billion against our three-year, $4.0 billion revolving credit facility and up to $3.0 billion against our five-year, $10.5 billion revolving credit facility.</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Net cash provided by operating activities increased due primarily to an increase in net leased vehicle income, partially offset by increased interest expense and operating expenses.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2017 Net cash used in investing activities increased due primarily to: (1) increased purchases and funding of finance receivables of $5.4 billion; partially offset by (2) increased proceeds from the termination of leased vehicles of $2.9 billion; and (3) increased collections on finance receivables of $2.0 billion.</w:t>
      </w:r>
    </w:p>
    <w:p>
      <w:pPr>
        <w:spacing w:after="0" w:line="17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2017 Net cash provided by financing activities increased due primarily to the issuance of preferred stock of $1.0 billion and a net increase in borrowings of $0.6 billion.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2016 Form 10-K.</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In this report and in reports we subsequently file and have previously filed with the SEC on Forms 10-K and 10-Q and file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and to effectively compete in autonomous, ride–sharing and transportation as a service;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 (6) 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(20) significant changes in economic, political, regulatory environment, market conditions, foreign currency exchange rates or political stability in the countries in which we operate, particularly China, with the effect of competition from new market entrants; and (21) risks and uncertainties associated with the consummation of the sale of GM Financial's European subsidiaries and branches to PSA Group, including satisfaction of the closing conditions. A further list and description of these risks, uncertainties and other factors can be found in our 2016 Form 10-K and our subsequent filings with the SEC.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2016. Refer to Item 7A of our 2016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13a-15(e) or 15d-15(e) promulgated under the Exchange Act) at September 30, 2017. Based on this evaluation required by paragraph (b) of Rules 13a-15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15d-15, our CEO and CFO concluded that our disclosure controls and procedures were effective as of September 30, 2017.</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2017 that have materially affected, or are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Refer to the discussion in the "Litigation-Related Liability and Tax Administrative Matters" section in Note 13 to our condensed consolidated financial statements and the 2016 Form 10-K for information relating to legal proceedings.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2016 Form 10-K.</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September 30,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2017 through July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19,039,928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19,005,753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 billion</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2017 through August 31, 2017</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15,242,410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14,933,968</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 billion</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2017 through September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7,543,150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7,535,445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 billion</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41,825,488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41,475,166</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shares retained by us for the payment of the exercise price upon the exercise of warrants and shares delivered by employees or directors to us for the payment of taxes resulting from issuance of common stock upon the vesting of Restricted Stock Units (RSUs) and Restricted Stock Awards relating to compensation plans. Refer to our 2016 Form 10-K for additional details on warrants outstanding and employee stock incentive plans. In June 2017 our shareholders approved the 2017 Long Term Incentive Plan which authorizes awards of stock options, stock appreciation rights, restricted stock, RSUs, performance awards or other stock-based awards to selected employees, consultants, advisors, and non-employee Directors of the Company.</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an additional $5 billion of our common stock with no expiration date.</w:t>
      </w:r>
    </w:p>
    <w:p>
      <w:pPr>
        <w:spacing w:after="0" w:line="171"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164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Underwriting Agreement, dated August 2, 2017, by and among General Motors Company, as issuer, and Deutsche</w:t>
              </w:r>
            </w:hyperlink>
          </w:p>
        </w:tc>
        <w:tc>
          <w:tcPr>
            <w:tcW w:w="16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196"/>
        </w:trPr>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300" w:type="dxa"/>
            <w:vAlign w:val="bottom"/>
            <w:tcBorders>
              <w:top w:val="single" w:sz="8" w:color="0000FF"/>
              <w:bottom w:val="single" w:sz="8" w:color="0000FF"/>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Bank Securities Inc., Merrill Lynch, Pierce, Fenner &amp; Smith Incorporated and Morgan Stanley &amp; Co. LLC, as</w:t>
              </w:r>
            </w:hyperlink>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FF"/>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representatives of the several underwriters named therein, (incorporated herein by reference to Exhibit 1.1 to the</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Current Report on Form 8-K of General Motors Company filed August 8, 2017)</w:t>
              </w:r>
            </w:hyperlink>
          </w:p>
        </w:tc>
        <w:tc>
          <w:tcPr>
            <w:tcW w:w="16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7"/>
                <w:szCs w:val="17"/>
                <w:color w:val="auto"/>
              </w:rPr>
            </w:pPr>
          </w:p>
        </w:tc>
        <w:tc>
          <w:tcPr>
            <w:tcW w:w="832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Certificate of Elimination of Series A Fixed Rate Cumulative Perpetual Preferred Stock (incorporated herein by</w:t>
              </w:r>
            </w:hyperlink>
          </w:p>
        </w:tc>
        <w:tc>
          <w:tcPr>
            <w:tcW w:w="40" w:type="dxa"/>
            <w:vAlign w:val="bottom"/>
          </w:tcPr>
          <w:p>
            <w:pPr>
              <w:spacing w:after="0"/>
              <w:rPr>
                <w:sz w:val="17"/>
                <w:szCs w:val="17"/>
                <w:color w:val="auto"/>
              </w:rPr>
            </w:pPr>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15"/>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reference to Exhibit 3.1 to the Current Report on Form 8-K of General Motors Company filed September 1, 2017)</w:t>
              </w:r>
            </w:hyperlink>
          </w:p>
        </w:tc>
        <w:tc>
          <w:tcPr>
            <w:tcW w:w="16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Certificate of Elimination of 4.75% Series B Mandatory Convertible Junior Preferred Stock (incorporated herein</w:t>
              </w:r>
            </w:hyperlink>
          </w:p>
        </w:tc>
        <w:tc>
          <w:tcPr>
            <w:tcW w:w="16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CCEEFF"/>
            </w:tcBorders>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by reference to Exhibit 3.2 to the Current Report on Form 8-K of General Motors Company filed September 1,</w:t>
              </w:r>
            </w:hyperlink>
          </w:p>
        </w:tc>
        <w:tc>
          <w:tcPr>
            <w:tcW w:w="164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5"/>
              </w:rPr>
            </w:pPr>
            <w:hyperlink r:id="rId21">
              <w:r>
                <w:rPr>
                  <w:rFonts w:ascii="Times New Roman" w:cs="Times New Roman" w:eastAsia="Times New Roman" w:hAnsi="Times New Roman"/>
                  <w:sz w:val="18"/>
                  <w:szCs w:val="18"/>
                  <w:color w:val="0000FF"/>
                  <w:w w:val="95"/>
                </w:rPr>
                <w:t>2017)</w:t>
              </w:r>
            </w:hyperlink>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24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040" w:type="dxa"/>
            <w:vAlign w:val="bottom"/>
            <w:tcBorders>
              <w:top w:val="single" w:sz="8" w:color="0000FF"/>
              <w:bottom w:val="single" w:sz="8" w:color="CCEEFF"/>
            </w:tcBorders>
            <w:shd w:val="clear" w:color="auto" w:fill="CCEEFF"/>
          </w:tcPr>
          <w:p>
            <w:pPr>
              <w:spacing w:after="0"/>
              <w:rPr>
                <w:sz w:val="21"/>
                <w:szCs w:val="21"/>
                <w:color w:val="auto"/>
              </w:rPr>
            </w:pPr>
          </w:p>
        </w:tc>
        <w:tc>
          <w:tcPr>
            <w:tcW w:w="24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7"/>
                <w:szCs w:val="17"/>
                <w:color w:val="auto"/>
              </w:rPr>
            </w:pPr>
          </w:p>
        </w:tc>
        <w:tc>
          <w:tcPr>
            <w:tcW w:w="8360" w:type="dxa"/>
            <w:vAlign w:val="bottom"/>
            <w:gridSpan w:val="15"/>
          </w:tcPr>
          <w:p>
            <w:pPr>
              <w:spacing w:after="0" w:line="202"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Restated Certificate of Incorporation, (incorporated herein by reference to Exhibit 3.2 to the Current Report on</w:t>
              </w:r>
            </w:hyperlink>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8-K of General Motors Company filed December 13, 2010)</w:t>
              </w:r>
            </w:hyperlink>
          </w:p>
        </w:tc>
        <w:tc>
          <w:tcPr>
            <w:tcW w:w="60" w:type="dxa"/>
            <w:vAlign w:val="bottom"/>
            <w:gridSpan w:val="2"/>
          </w:tcPr>
          <w:p>
            <w:pPr>
              <w:spacing w:after="0"/>
              <w:rPr>
                <w:sz w:val="17"/>
                <w:szCs w:val="17"/>
                <w:color w:val="auto"/>
              </w:rPr>
            </w:pPr>
          </w:p>
        </w:tc>
        <w:tc>
          <w:tcPr>
            <w:tcW w:w="16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Fourth Supplemental Indenture, dated as of August 7, 2017, to the Indenture, dated as of September 27, 2013,</w:t>
              </w:r>
            </w:hyperlink>
          </w:p>
        </w:tc>
        <w:tc>
          <w:tcPr>
            <w:tcW w:w="16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CCEEFF"/>
            </w:tcBorders>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FF"/>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between General Motors Company, as issuer, and The Bank of New York Mellon, as Trustee (incorporated herein</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by reference to Exhibit 4.1 to the Current Report on Form 8-K of General Motors Company filed August 8, 2017)</w:t>
              </w:r>
            </w:hyperlink>
          </w:p>
        </w:tc>
        <w:tc>
          <w:tcPr>
            <w:tcW w:w="16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2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7"/>
                <w:szCs w:val="17"/>
                <w:color w:val="auto"/>
              </w:rPr>
            </w:pPr>
          </w:p>
        </w:tc>
        <w:tc>
          <w:tcPr>
            <w:tcW w:w="8300" w:type="dxa"/>
            <w:vAlign w:val="bottom"/>
            <w:tcBorders>
              <w:bottom w:val="single" w:sz="8" w:color="0000FF"/>
            </w:tcBorders>
            <w:gridSpan w:val="13"/>
          </w:tcPr>
          <w:p>
            <w:pPr>
              <w:spacing w:after="0" w:line="202"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Calculation Agency Agreement, dated as of August 7, 2017 between General Motors Company and the Bank of</w:t>
              </w:r>
            </w:hyperlink>
          </w:p>
        </w:tc>
        <w:tc>
          <w:tcPr>
            <w:tcW w:w="60" w:type="dxa"/>
            <w:vAlign w:val="bottom"/>
            <w:gridSpan w:val="2"/>
          </w:tcPr>
          <w:p>
            <w:pPr>
              <w:spacing w:after="0"/>
              <w:rPr>
                <w:sz w:val="17"/>
                <w:szCs w:val="17"/>
                <w:color w:val="auto"/>
              </w:rPr>
            </w:pPr>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15"/>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New York Mellon, as calculation agent (incorporated herein by reference to Exhibit 4.2 to the Current Report on</w:t>
              </w:r>
            </w:hyperlink>
          </w:p>
        </w:tc>
        <w:tc>
          <w:tcPr>
            <w:tcW w:w="16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8-K of General Motors Company filed August 8, 2017)</w:t>
              </w:r>
            </w:hyperlink>
          </w:p>
        </w:tc>
        <w:tc>
          <w:tcPr>
            <w:tcW w:w="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0000FF"/>
              <w:right w:val="single" w:sz="8" w:color="CCEEFF"/>
            </w:tcBorders>
            <w:gridSpan w:val="13"/>
            <w:shd w:val="clear" w:color="auto" w:fill="CCEEFF"/>
          </w:tcPr>
          <w:p>
            <w:pPr>
              <w:spacing w:after="0" w:line="202"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Amendment Number 2, dated July 30, 2017, to the Master Agreement between General Motors Holdings, LLC</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and Peugeot S.A.</w:t>
              </w:r>
            </w:hyperlink>
          </w:p>
        </w:tc>
        <w:tc>
          <w:tcPr>
            <w:tcW w:w="16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17"/>
                <w:szCs w:val="17"/>
                <w:color w:val="auto"/>
              </w:rPr>
            </w:pPr>
          </w:p>
        </w:tc>
        <w:tc>
          <w:tcPr>
            <w:tcW w:w="8360" w:type="dxa"/>
            <w:vAlign w:val="bottom"/>
            <w:gridSpan w:val="15"/>
          </w:tcPr>
          <w:p>
            <w:pPr>
              <w:spacing w:after="0" w:line="202" w:lineRule="exact"/>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Section 302 Certification of the Chief Executive Officer</w:t>
              </w:r>
            </w:hyperlink>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8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Section 302 Certification of the Chief Financial Officer</w:t>
              </w:r>
            </w:hyperlink>
          </w:p>
        </w:tc>
        <w:tc>
          <w:tcPr>
            <w:tcW w:w="16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7"/>
                <w:szCs w:val="17"/>
                <w:color w:val="auto"/>
              </w:rPr>
            </w:pPr>
          </w:p>
        </w:tc>
        <w:tc>
          <w:tcPr>
            <w:tcW w:w="8360" w:type="dxa"/>
            <w:vAlign w:val="bottom"/>
            <w:gridSpan w:val="15"/>
          </w:tcPr>
          <w:p>
            <w:pPr>
              <w:spacing w:after="0" w:line="202" w:lineRule="exact"/>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Certification Pursuant to 18 U.S.C. Section 1350, As Adopted Pursuant to Section 906 of the Sarbanes-Oxley Act</w:t>
              </w:r>
            </w:hyperlink>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Furnished with this</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of 2002</w:t>
              </w:r>
            </w:hyperlink>
          </w:p>
        </w:tc>
        <w:tc>
          <w:tcPr>
            <w:tcW w:w="60" w:type="dxa"/>
            <w:vAlign w:val="bottom"/>
            <w:gridSpan w:val="2"/>
          </w:tcPr>
          <w:p>
            <w:pPr>
              <w:spacing w:after="0"/>
              <w:rPr>
                <w:sz w:val="17"/>
                <w:szCs w:val="17"/>
                <w:color w:val="auto"/>
              </w:rPr>
            </w:pPr>
          </w:p>
        </w:tc>
        <w:tc>
          <w:tcPr>
            <w:tcW w:w="16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Report</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36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8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836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836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8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24"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04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Thomas S. Timko, Vice President, Global Business Services and</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5"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24,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121" w:right="2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AMENDMENT NO. 2 TO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2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GENERAL MOTORS HOLDINGS LLC</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PEUGEOT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dated as of July 30, 2017</w:t>
      </w:r>
    </w:p>
    <w:p>
      <w:pPr>
        <w:sectPr>
          <w:pgSz w:w="11900" w:h="16838" w:orient="portrait"/>
          <w:cols w:equalWidth="0" w:num="1">
            <w:col w:w="10220"/>
          </w:cols>
          <w:pgMar w:left="1440" w:top="576" w:right="239" w:bottom="1440" w:gutter="0" w:footer="0" w:header="0"/>
        </w:sectPr>
      </w:pPr>
    </w:p>
    <w:bookmarkStart w:id="54" w:name="page55"/>
    <w:bookmarkEnd w:id="54"/>
    <w:p>
      <w:pPr>
        <w:ind w:right="3020" w:firstLine="3016"/>
        <w:spacing w:after="0" w:line="448"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AMENDMENT NO. 2 TO THE MASTER AGREEMENT </w:t>
      </w:r>
      <w:r>
        <w:rPr>
          <w:rFonts w:ascii="Times New Roman" w:cs="Times New Roman" w:eastAsia="Times New Roman" w:hAnsi="Times New Roman"/>
          <w:sz w:val="22"/>
          <w:szCs w:val="22"/>
          <w:color w:val="auto"/>
        </w:rPr>
        <w:t>BETWEEN THE UNDERSIGNED:</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General Motors Holdings LLC</w:t>
      </w:r>
      <w:r>
        <w:rPr>
          <w:rFonts w:ascii="Times New Roman" w:cs="Times New Roman" w:eastAsia="Times New Roman" w:hAnsi="Times New Roman"/>
          <w:sz w:val="22"/>
          <w:szCs w:val="22"/>
          <w:color w:val="auto"/>
        </w:rPr>
        <w:t>, a limited liability company organized under the laws of the State of Delaware, with its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at 300 Renaissance Center, Detroit, MI 48265, United States (“</w:t>
      </w:r>
      <w:r>
        <w:rPr>
          <w:rFonts w:ascii="Times New Roman" w:cs="Times New Roman" w:eastAsia="Times New Roman" w:hAnsi="Times New Roman"/>
          <w:sz w:val="22"/>
          <w:szCs w:val="22"/>
          <w:b w:val="1"/>
          <w:bCs w:val="1"/>
          <w:color w:val="auto"/>
        </w:rPr>
        <w:t>General Motors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Peugeot S.A.</w:t>
      </w:r>
      <w:r>
        <w:rPr>
          <w:rFonts w:ascii="Times New Roman" w:cs="Times New Roman" w:eastAsia="Times New Roman" w:hAnsi="Times New Roman"/>
          <w:sz w:val="22"/>
          <w:szCs w:val="22"/>
          <w:color w:val="auto"/>
        </w:rPr>
        <w:t>, a French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its registered office at 75, avenue de la Grande-Armée, 75116 Paris, France,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with the registry of commerce under number 552 100 554 R.C.S. Paris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Each of General Motors and the Buyer is hereinafter referred to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Capitalized terms used but not defined herein shall have the meaning set forth in the Master Agreement (as defined below) as amended by Amendment No. 1 (as defined below).</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on March 5, 2017, the Parties entered into a master agreement relating to the transfer by certain Subsidiaries of General Motors of the Shares and the Transferred Assets to the Buyer (the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WHEREAS, on May 2, 2017, the Parties entered into an amendment to the Master Agreement relating to Section 6.2, Article 9 and </w:t>
      </w:r>
      <w:r>
        <w:rPr>
          <w:rFonts w:ascii="Times New Roman" w:cs="Times New Roman" w:eastAsia="Times New Roman" w:hAnsi="Times New Roman"/>
          <w:sz w:val="22"/>
          <w:szCs w:val="22"/>
          <w:b w:val="1"/>
          <w:bCs w:val="1"/>
          <w:color w:val="auto"/>
        </w:rPr>
        <w:t>Exhibit F</w:t>
      </w:r>
      <w:r>
        <w:rPr>
          <w:rFonts w:ascii="Times New Roman" w:cs="Times New Roman" w:eastAsia="Times New Roman" w:hAnsi="Times New Roman"/>
          <w:sz w:val="22"/>
          <w:szCs w:val="22"/>
          <w:color w:val="auto"/>
        </w:rPr>
        <w:t xml:space="preserve"> of the Master Agreement (the “</w:t>
      </w: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on the basis of Section 6.4(g), the Belgian Transactions have been converted to an indirect transfer of all the shares in General Motors Belgium NV and GM Automotive Services Belgium NV to the Buyer, subject to the prior carve out of certain Belgian Excluded Assets and Belgian Excluded Liabilities from General Motors Belgium NV and from GM Automotive Services Belgium NV by way of a partial demerger to a newly incorporated Belgian entity (General Motors Belgique Automobile NV) which is a Sellers’ Retained Group Company;</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WHEREAS, in accordance with item 15 of </w:t>
      </w:r>
      <w:r>
        <w:rPr>
          <w:rFonts w:ascii="Times New Roman" w:cs="Times New Roman" w:eastAsia="Times New Roman" w:hAnsi="Times New Roman"/>
          <w:sz w:val="22"/>
          <w:szCs w:val="22"/>
          <w:b w:val="1"/>
          <w:bCs w:val="1"/>
          <w:color w:val="auto"/>
        </w:rPr>
        <w:t>Exhibit 6.4(a)(ii)</w:t>
      </w:r>
      <w:r>
        <w:rPr>
          <w:rFonts w:ascii="Times New Roman" w:cs="Times New Roman" w:eastAsia="Times New Roman" w:hAnsi="Times New Roman"/>
          <w:sz w:val="22"/>
          <w:szCs w:val="22"/>
          <w:color w:val="auto"/>
        </w:rPr>
        <w:t xml:space="preserve"> of the Master Agreement, (i) a Swiss company (“</w:t>
      </w:r>
      <w:r>
        <w:rPr>
          <w:rFonts w:ascii="Times New Roman" w:cs="Times New Roman" w:eastAsia="Times New Roman" w:hAnsi="Times New Roman"/>
          <w:sz w:val="22"/>
          <w:szCs w:val="22"/>
          <w:b w:val="1"/>
          <w:bCs w:val="1"/>
          <w:color w:val="auto"/>
        </w:rPr>
        <w:t>Opel Suisse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Swiss Newco</w:t>
      </w:r>
      <w:r>
        <w:rPr>
          <w:rFonts w:ascii="Times New Roman" w:cs="Times New Roman" w:eastAsia="Times New Roman" w:hAnsi="Times New Roman"/>
          <w:sz w:val="22"/>
          <w:szCs w:val="22"/>
          <w:color w:val="auto"/>
        </w:rPr>
        <w:t>”) has been incorporated and (ii) GM Suisse SA has transferred the Swiss Transferred Assets and the Swiss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Liabilities to Opel Suisse SA, the shares of which have been included in the AOAG Contributed Assets (as indirect shareholding of AOAG through General Motors Europe Holdings S.L. Unipersonal) and shall be indirectly transferred to the Buyer;</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have agreed that the First Closing (with respect to the Autocos Shares only) shall take place on July 31, 2017;</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have agreed that they shall perform certain transitional accounting services for a period of 90 days after the Closing Date (or, if applicable, the First Closing Date);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have therefore determined to amend the Master Agreement, as amended by Amendment No. 1, by entering into this agreement (the “</w:t>
      </w:r>
      <w:r>
        <w:rPr>
          <w:rFonts w:ascii="Times New Roman" w:cs="Times New Roman" w:eastAsia="Times New Roman" w:hAnsi="Times New Roman"/>
          <w:sz w:val="22"/>
          <w:szCs w:val="22"/>
          <w:b w:val="1"/>
          <w:bCs w:val="1"/>
          <w:color w:val="auto"/>
        </w:rPr>
        <w:t>Amendment No. 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ectPr>
          <w:pgSz w:w="11900" w:h="16838" w:orient="portrait"/>
          <w:cols w:equalWidth="0" w:num="1">
            <w:col w:w="11420"/>
          </w:cols>
          <w:pgMar w:left="240" w:top="1229" w:right="2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color w:val="auto"/>
        </w:rPr>
        <w:t>ARTICLE 1</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PRINCIPLES OF INTERPRETATION</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numbering of each Article, Section, Paragraph, Schedule or Exhibit of the Master Agreement shall not be affected by any of the amendments contained in this Amendment No. 2. For example, if a Section of an Article of the Master Agreement is deleted by this Amendment No. 2, the numbering of the other Sections contained in the same Article shall remain unchanged. Similarly, if a Paragraph of a Section of the Master Agreement is deleted by this Amendment No. 2, the numbering of the other Paragraphs contained in the same Section shall remain unchanged. For the avoidance of doubt, any reference to the “date hereof” or “date of this agreement” in the Master Agreement or in this Amendment No. 2 shall be read as “March 5, 2017”.</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AMENDMENTS TO ARTICLES AND SECTIONS</w:t>
      </w:r>
    </w:p>
    <w:p>
      <w:pPr>
        <w:spacing w:after="0" w:line="196"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Amendments to Section 1.1 of the Master Agreement</w:t>
      </w:r>
    </w:p>
    <w:p>
      <w:pPr>
        <w:spacing w:after="0" w:line="233" w:lineRule="exact"/>
        <w:rPr>
          <w:sz w:val="20"/>
          <w:szCs w:val="20"/>
          <w:color w:val="auto"/>
        </w:rPr>
      </w:pPr>
    </w:p>
    <w:p>
      <w:pPr>
        <w:jc w:val="both"/>
        <w:ind w:left="120" w:firstLine="1293"/>
        <w:spacing w:after="0" w:line="255" w:lineRule="auto"/>
        <w:tabs>
          <w:tab w:leader="none" w:pos="21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definitions of “Assets Sellers”, “Belgian Dealership Business”, “Belgian Excluded Tax Asset”, “Belgian Transferred Assets”, “Belgian Transferred Liabilities”, “Retained Fincos”, “Transferred Assets” and “Transferred Liabilities” are hereby deleted from Section 1.1 of the Master Agreement.</w:t>
      </w:r>
    </w:p>
    <w:p>
      <w:pPr>
        <w:ind w:left="2160" w:hanging="747"/>
        <w:spacing w:after="0"/>
        <w:tabs>
          <w:tab w:leader="none" w:pos="2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definitions are hereby added to Section 1.1 of the Master Agreement:</w:t>
      </w:r>
    </w:p>
    <w:p>
      <w:pPr>
        <w:spacing w:after="0" w:line="2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AOAG Contribution Agreement</w:t>
      </w:r>
      <w:r>
        <w:rPr>
          <w:rFonts w:ascii="Times New Roman" w:cs="Times New Roman" w:eastAsia="Times New Roman" w:hAnsi="Times New Roman"/>
          <w:sz w:val="22"/>
          <w:szCs w:val="22"/>
          <w:color w:val="auto"/>
        </w:rPr>
        <w:t>” means the assets transfer agreement entered into by AOAG and New AOAG dated June 27, 2017, role of deeds no. 605/2017-SF and no. 604/2017-SF of the notary public Dr. Sabine Funke, Frankfurt am Main/Germany.</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Autocos</w:t>
      </w:r>
      <w:r>
        <w:rPr>
          <w:rFonts w:ascii="Times New Roman" w:cs="Times New Roman" w:eastAsia="Times New Roman" w:hAnsi="Times New Roman"/>
          <w:sz w:val="22"/>
          <w:szCs w:val="22"/>
          <w:color w:val="auto"/>
        </w:rPr>
        <w:t>” means General Motors Belgium NV and GM Automotive Services Belgium NV, and either of them a “</w:t>
      </w:r>
      <w:r>
        <w:rPr>
          <w:rFonts w:ascii="Times New Roman" w:cs="Times New Roman" w:eastAsia="Times New Roman" w:hAnsi="Times New Roman"/>
          <w:sz w:val="22"/>
          <w:szCs w:val="22"/>
          <w:b w:val="1"/>
          <w:bCs w:val="1"/>
          <w:color w:val="auto"/>
        </w:rPr>
        <w:t>Belgian Autoco</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Partial Demergers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Exhibit 6.4(g).</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Tax Refund</w:t>
      </w:r>
      <w:r>
        <w:rPr>
          <w:rFonts w:ascii="Times New Roman" w:cs="Times New Roman" w:eastAsia="Times New Roman" w:hAnsi="Times New Roman"/>
          <w:sz w:val="22"/>
          <w:szCs w:val="22"/>
          <w:color w:val="auto"/>
        </w:rPr>
        <w:t>” means any rights of a Belgian Autoco in, and any claims of a Belgian Autoco to receive, any Tax Refund attributable to any Taxes paid by the Belgian Autocos prior to the Closing Date and attributable to a Pre-Closing Tax Period.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Closing Date</w:t>
      </w:r>
      <w:r>
        <w:rPr>
          <w:rFonts w:ascii="Times New Roman" w:cs="Times New Roman" w:eastAsia="Times New Roman" w:hAnsi="Times New Roman"/>
          <w:sz w:val="22"/>
          <w:szCs w:val="22"/>
          <w:color w:val="auto"/>
        </w:rPr>
        <w:t>” means June 9, 2017.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Transactions</w:t>
      </w:r>
      <w:r>
        <w:rPr>
          <w:rFonts w:ascii="Times New Roman" w:cs="Times New Roman" w:eastAsia="Times New Roman" w:hAnsi="Times New Roman"/>
          <w:sz w:val="22"/>
          <w:szCs w:val="22"/>
          <w:color w:val="auto"/>
        </w:rPr>
        <w:t xml:space="preserve">” means the transactions described as item 15 of </w:t>
      </w:r>
      <w:r>
        <w:rPr>
          <w:rFonts w:ascii="Times New Roman" w:cs="Times New Roman" w:eastAsia="Times New Roman" w:hAnsi="Times New Roman"/>
          <w:sz w:val="22"/>
          <w:szCs w:val="22"/>
          <w:b w:val="1"/>
          <w:bCs w:val="1"/>
          <w:color w:val="auto"/>
        </w:rPr>
        <w:t>Exhibit 6.4(a)(ii)</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20" w:right="20" w:firstLine="1293"/>
        <w:spacing w:after="0" w:line="263" w:lineRule="auto"/>
        <w:tabs>
          <w:tab w:leader="none" w:pos="21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“Controlled Dealership Entities”, “Inter-Company Non-Trading Payables”, “Inter-Company Non-Trading Receivables” and “Inter-Company Non-Trading Indebtedness” any reference to the “Assets Seller” or “Assets Sellers” is hereby deleted.</w:t>
      </w:r>
    </w:p>
    <w:p>
      <w:pPr>
        <w:spacing w:after="0" w:line="208" w:lineRule="exact"/>
        <w:rPr>
          <w:rFonts w:ascii="Times New Roman" w:cs="Times New Roman" w:eastAsia="Times New Roman" w:hAnsi="Times New Roman"/>
          <w:sz w:val="18"/>
          <w:szCs w:val="18"/>
          <w:color w:val="auto"/>
        </w:rPr>
      </w:pPr>
    </w:p>
    <w:p>
      <w:pPr>
        <w:jc w:val="both"/>
        <w:ind w:left="120" w:firstLine="1293"/>
        <w:spacing w:after="0" w:line="255" w:lineRule="auto"/>
        <w:tabs>
          <w:tab w:leader="none" w:pos="21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“Belgian Active Plan Members”, “Belgian Excluded Assets”, “Belgian Excluded Liabilities”, “Belgian Legacy Pension Liabilities” and “Belgian Vested Former Employees”, the words “Belgian Assets Sellers” are hereby deleted and replaced by the words “Belgian Autocos”.</w:t>
      </w:r>
    </w:p>
    <w:p>
      <w:pPr>
        <w:ind w:left="120" w:right="20" w:firstLine="1293"/>
        <w:spacing w:after="0" w:line="261" w:lineRule="auto"/>
        <w:tabs>
          <w:tab w:leader="none" w:pos="21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“Autoco Contributed Entities Perimeter” and “Buyer Designees”, the references to “Transferred Assets” and “Transferred Liabilities” are hereby deleted.</w:t>
      </w:r>
    </w:p>
    <w:p>
      <w:pPr>
        <w:sectPr>
          <w:pgSz w:w="11900" w:h="16838" w:orient="portrait"/>
          <w:cols w:equalWidth="0" w:num="1">
            <w:col w:w="11420"/>
          </w:cols>
          <w:pgMar w:left="240" w:top="585" w:right="239" w:bottom="1440" w:gutter="0" w:footer="0" w:header="0"/>
        </w:sectPr>
      </w:pPr>
    </w:p>
    <w:bookmarkStart w:id="56" w:name="page57"/>
    <w:bookmarkEnd w:id="56"/>
    <w:p>
      <w:pPr>
        <w:ind w:left="120" w:firstLine="1293"/>
        <w:spacing w:after="0" w:line="284" w:lineRule="auto"/>
        <w:tabs>
          <w:tab w:leader="none" w:pos="21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Paragraph (ii) of each of the definitions of “Post-Closing Taxes”, “Pre-Closing Straddle Period Taxes” and “Pre-Closing Taxes” are hereby deleted.</w:t>
      </w:r>
    </w:p>
    <w:p>
      <w:pPr>
        <w:spacing w:after="0" w:line="184" w:lineRule="exact"/>
        <w:rPr>
          <w:rFonts w:ascii="Times New Roman" w:cs="Times New Roman" w:eastAsia="Times New Roman" w:hAnsi="Times New Roman"/>
          <w:sz w:val="18"/>
          <w:szCs w:val="18"/>
          <w:color w:val="auto"/>
        </w:rPr>
      </w:pPr>
    </w:p>
    <w:p>
      <w:pPr>
        <w:jc w:val="both"/>
        <w:ind w:left="120" w:firstLine="1293"/>
        <w:spacing w:after="0" w:line="263" w:lineRule="auto"/>
        <w:tabs>
          <w:tab w:leader="none" w:pos="21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“Employees”, “Environmental Permits”, “Material Contract”, “Permitted Encumbrances”, “Target Group Companies” and “Third Party Guarantees”, any reference to the “Assets Sellers” or “Assets Seller” shall read to be made to “Swiss Assets Seller”.</w:t>
      </w:r>
    </w:p>
    <w:p>
      <w:pPr>
        <w:spacing w:after="0" w:line="208" w:lineRule="exact"/>
        <w:rPr>
          <w:rFonts w:ascii="Times New Roman" w:cs="Times New Roman" w:eastAsia="Times New Roman" w:hAnsi="Times New Roman"/>
          <w:sz w:val="18"/>
          <w:szCs w:val="18"/>
          <w:color w:val="auto"/>
        </w:rPr>
      </w:pPr>
    </w:p>
    <w:p>
      <w:pPr>
        <w:jc w:val="both"/>
        <w:ind w:left="120" w:firstLine="1293"/>
        <w:spacing w:after="0" w:line="263" w:lineRule="auto"/>
        <w:tabs>
          <w:tab w:leader="none" w:pos="21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“Swiss Transferred Assets” and “Swiss Transferred Liabilities”, the words “Closing Date” are hereby deleted and replaced by “Swiss Closing Date”. In the definition of “Swiss Transferred Liabilities”, the words “pre-Closing facts” are hereby deleted and replaced by “pre-Swiss Closing Date facts”.</w:t>
      </w:r>
    </w:p>
    <w:p>
      <w:pPr>
        <w:spacing w:after="0" w:line="208" w:lineRule="exact"/>
        <w:rPr>
          <w:rFonts w:ascii="Times New Roman" w:cs="Times New Roman" w:eastAsia="Times New Roman" w:hAnsi="Times New Roman"/>
          <w:sz w:val="18"/>
          <w:szCs w:val="18"/>
          <w:color w:val="auto"/>
        </w:rPr>
      </w:pPr>
    </w:p>
    <w:p>
      <w:pPr>
        <w:ind w:left="2120" w:hanging="707"/>
        <w:spacing w:after="0"/>
        <w:tabs>
          <w:tab w:leader="none" w:pos="2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definition of “Indemnified Taxes”, the words “or the buyers of the Transferred Assets (to the extent</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such obligation to pay is assumed as part of their assumption of the Transferred Liabilities”) are hereby deleted and paragraph (v)</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of the such definition is hereby amended as follows:</w:t>
      </w:r>
    </w:p>
    <w:p>
      <w:pPr>
        <w:spacing w:after="0" w:line="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21"/>
          <w:szCs w:val="21"/>
          <w:color w:val="auto"/>
        </w:rPr>
        <w:t xml:space="preserve">“(v) any Taxes arising out of the Pre-Closing Transactions (provided that with respect to Taxes arising from Buyer Requested Transactions this clause (v) shall only apply to Taxes that are attributable to (x) General Motors’ failure to comply with Section 8.6(a)(ii)(A) and Section 8.6(a)(ii)(B) or (y) General Motors’ failure to apply principles consistent to Section 8.6(a)(ii)(A) and Section 8.6(a)(ii)(B), to the extent applicable in the relevant jurisdiction, in connection with the Belgian Transactions and the Reorganization Transactions listed on items 13, 14 and 15 of </w:t>
      </w:r>
      <w:r>
        <w:rPr>
          <w:rFonts w:ascii="Times New Roman" w:cs="Times New Roman" w:eastAsia="Times New Roman" w:hAnsi="Times New Roman"/>
          <w:sz w:val="21"/>
          <w:szCs w:val="21"/>
          <w:b w:val="1"/>
          <w:bCs w:val="1"/>
          <w:color w:val="auto"/>
        </w:rPr>
        <w:t>Exhibit 6.4(a)(ii)</w:t>
      </w:r>
      <w:r>
        <w:rPr>
          <w:rFonts w:ascii="Times New Roman" w:cs="Times New Roman" w:eastAsia="Times New Roman" w:hAnsi="Times New Roman"/>
          <w:sz w:val="21"/>
          <w:szCs w:val="21"/>
          <w:color w:val="auto"/>
        </w:rPr>
        <w:t>) and the Belgian Excluded Tax Liability”</w:t>
      </w:r>
    </w:p>
    <w:p>
      <w:pPr>
        <w:spacing w:after="0" w:line="172" w:lineRule="exact"/>
        <w:rPr>
          <w:sz w:val="20"/>
          <w:szCs w:val="20"/>
          <w:color w:val="auto"/>
        </w:rPr>
      </w:pPr>
    </w:p>
    <w:p>
      <w:pPr>
        <w:ind w:left="660" w:right="820" w:firstLine="753"/>
        <w:spacing w:after="0" w:line="284" w:lineRule="auto"/>
        <w:tabs>
          <w:tab w:leader="none" w:pos="21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definitions of Section 1.1 of the Master Agreement are hereby amended as follows: “</w:t>
      </w:r>
      <w:r>
        <w:rPr>
          <w:rFonts w:ascii="Times New Roman" w:cs="Times New Roman" w:eastAsia="Times New Roman" w:hAnsi="Times New Roman"/>
          <w:sz w:val="22"/>
          <w:szCs w:val="22"/>
          <w:b w:val="1"/>
          <w:bCs w:val="1"/>
          <w:color w:val="auto"/>
        </w:rPr>
        <w:t>Agreed Pension Vehicles</w:t>
      </w:r>
      <w:r>
        <w:rPr>
          <w:rFonts w:ascii="Times New Roman" w:cs="Times New Roman" w:eastAsia="Times New Roman" w:hAnsi="Times New Roman"/>
          <w:sz w:val="22"/>
          <w:szCs w:val="22"/>
          <w:color w:val="auto"/>
        </w:rPr>
        <w:t>” has the meaning set forth in Section 6.9(b).</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AOAG</w:t>
      </w:r>
      <w:r>
        <w:rPr>
          <w:rFonts w:ascii="Times New Roman" w:cs="Times New Roman" w:eastAsia="Times New Roman" w:hAnsi="Times New Roman"/>
          <w:sz w:val="22"/>
          <w:szCs w:val="22"/>
          <w:color w:val="auto"/>
        </w:rPr>
        <w:t>” means Adam Opel GmbH (formerly Adam Opel AG).</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Excluded Tax Liability</w:t>
      </w:r>
      <w:r>
        <w:rPr>
          <w:rFonts w:ascii="Times New Roman" w:cs="Times New Roman" w:eastAsia="Times New Roman" w:hAnsi="Times New Roman"/>
          <w:sz w:val="22"/>
          <w:szCs w:val="22"/>
          <w:color w:val="auto"/>
        </w:rPr>
        <w:t>” means any liability related to Tax of the Belgian Autocos, other than any liability with respect to the assets of the Belgian Autocos which are not Belgian Excluded Assets (other than any Capital Gains Taxes) that is imposed on the Buyer, any Buyer Designee or the Target Group Companies or any of their Affiliates with respect to (x) any Tax Period that starts after the Closing Date or (y) the Post-Closing Straddle Period (allocated based on the same principles that apply to Target Group Companies under Section 8.6(d)).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Pension Assets Transfer</w:t>
      </w:r>
      <w:r>
        <w:rPr>
          <w:rFonts w:ascii="Times New Roman" w:cs="Times New Roman" w:eastAsia="Times New Roman" w:hAnsi="Times New Roman"/>
          <w:sz w:val="22"/>
          <w:szCs w:val="22"/>
          <w:color w:val="auto"/>
        </w:rPr>
        <w:t>” means the transfer after Closing by the Belgian Pension Fund to the pension institution of the Buyer (or the relevant Buyer Designee) (the “</w:t>
      </w:r>
      <w:r>
        <w:rPr>
          <w:rFonts w:ascii="Times New Roman" w:cs="Times New Roman" w:eastAsia="Times New Roman" w:hAnsi="Times New Roman"/>
          <w:sz w:val="22"/>
          <w:szCs w:val="22"/>
          <w:b w:val="1"/>
          <w:bCs w:val="1"/>
          <w:color w:val="auto"/>
        </w:rPr>
        <w:t>Buyer Designated Pension Institution</w:t>
      </w:r>
      <w:r>
        <w:rPr>
          <w:rFonts w:ascii="Times New Roman" w:cs="Times New Roman" w:eastAsia="Times New Roman" w:hAnsi="Times New Roman"/>
          <w:sz w:val="22"/>
          <w:szCs w:val="22"/>
          <w:color w:val="auto"/>
        </w:rPr>
        <w:t>”), of all pension assets under any Belgian Autocos Pension Plans for the Belgian Active Plan Members.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Notice</w:t>
      </w:r>
      <w:r>
        <w:rPr>
          <w:rFonts w:ascii="Times New Roman" w:cs="Times New Roman" w:eastAsia="Times New Roman" w:hAnsi="Times New Roman"/>
          <w:sz w:val="22"/>
          <w:szCs w:val="22"/>
          <w:color w:val="auto"/>
        </w:rPr>
        <w:t>” has the meaning set forth in Section 14.4(a).</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Requested Transactions</w:t>
      </w:r>
      <w:r>
        <w:rPr>
          <w:rFonts w:ascii="Times New Roman" w:cs="Times New Roman" w:eastAsia="Times New Roman" w:hAnsi="Times New Roman"/>
          <w:sz w:val="22"/>
          <w:szCs w:val="22"/>
          <w:color w:val="auto"/>
        </w:rPr>
        <w:t xml:space="preserve">” means the Reorganization Transactions listed on items 13, 14 and 15 of </w:t>
      </w:r>
      <w:r>
        <w:rPr>
          <w:rFonts w:ascii="Times New Roman" w:cs="Times New Roman" w:eastAsia="Times New Roman" w:hAnsi="Times New Roman"/>
          <w:sz w:val="22"/>
          <w:szCs w:val="22"/>
          <w:b w:val="1"/>
          <w:bCs w:val="1"/>
          <w:color w:val="auto"/>
        </w:rPr>
        <w:t>Exhibit 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the AOAG Contribution, the AOAG Sale and the Belgian Transactions.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AOAG</w:t>
      </w:r>
      <w:r>
        <w:rPr>
          <w:rFonts w:ascii="Times New Roman" w:cs="Times New Roman" w:eastAsia="Times New Roman" w:hAnsi="Times New Roman"/>
          <w:sz w:val="22"/>
          <w:szCs w:val="22"/>
          <w:color w:val="auto"/>
        </w:rPr>
        <w:t>” means Opel Automobile GmbH (formerly Opel Service GmbH).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Opel Wien Bond</w:t>
      </w:r>
      <w:r>
        <w:rPr>
          <w:rFonts w:ascii="Times New Roman" w:cs="Times New Roman" w:eastAsia="Times New Roman" w:hAnsi="Times New Roman"/>
          <w:sz w:val="22"/>
          <w:szCs w:val="22"/>
          <w:color w:val="auto"/>
        </w:rPr>
        <w:t>” means the bond referred to in Exhibit 6.4(a)(ii)(7).</w:t>
      </w:r>
    </w:p>
    <w:p>
      <w:pPr>
        <w:sectPr>
          <w:pgSz w:w="11900" w:h="16838" w:orient="portrait"/>
          <w:cols w:equalWidth="0" w:num="1">
            <w:col w:w="11420"/>
          </w:cols>
          <w:pgMar w:left="240" w:top="841" w:right="239" w:bottom="1440" w:gutter="0" w:footer="0" w:header="0"/>
        </w:sectPr>
      </w:pPr>
    </w:p>
    <w:bookmarkStart w:id="57" w:name="page58"/>
    <w:bookmarkEnd w:id="57"/>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Escrow Account Agreement</w:t>
      </w:r>
      <w:r>
        <w:rPr>
          <w:rFonts w:ascii="Times New Roman" w:cs="Times New Roman" w:eastAsia="Times New Roman" w:hAnsi="Times New Roman"/>
          <w:sz w:val="22"/>
          <w:szCs w:val="22"/>
          <w:color w:val="auto"/>
        </w:rPr>
        <w:t>” means that certain escrow deed by and among General Motors, the Buyer and the Pension Escrow Agent, dated July 28, 2017.</w:t>
      </w:r>
    </w:p>
    <w:p>
      <w:pPr>
        <w:spacing w:after="0" w:line="1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Escrow Agent</w:t>
      </w:r>
      <w:r>
        <w:rPr>
          <w:rFonts w:ascii="Times New Roman" w:cs="Times New Roman" w:eastAsia="Times New Roman" w:hAnsi="Times New Roman"/>
          <w:sz w:val="22"/>
          <w:szCs w:val="22"/>
          <w:color w:val="auto"/>
        </w:rPr>
        <w:t>” means Deutsche Bank AG, London Branch (or such other person appointed by the Parties from time to time) acting as escrow agent under the Pension Escrow Account Agreement, a copy of which is attached under no. 1 of the Reference Deed 28/29/20 July.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xml:space="preserve">” means each of the companies identified in the column headed “Seller” in </w:t>
      </w:r>
      <w:r>
        <w:rPr>
          <w:rFonts w:ascii="Times New Roman" w:cs="Times New Roman" w:eastAsia="Times New Roman" w:hAnsi="Times New Roman"/>
          <w:sz w:val="22"/>
          <w:szCs w:val="22"/>
          <w:b w:val="1"/>
          <w:bCs w:val="1"/>
          <w:color w:val="auto"/>
        </w:rPr>
        <w:t>Exhibit 4.4(a).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Excluded Liabilities</w:t>
      </w:r>
      <w:r>
        <w:rPr>
          <w:rFonts w:ascii="Times New Roman" w:cs="Times New Roman" w:eastAsia="Times New Roman" w:hAnsi="Times New Roman"/>
          <w:sz w:val="22"/>
          <w:szCs w:val="22"/>
          <w:color w:val="auto"/>
        </w:rPr>
        <w:t xml:space="preserve">” means the liabilities and obligations of the Swiss Assets Seller described on </w:t>
      </w:r>
      <w:r>
        <w:rPr>
          <w:rFonts w:ascii="Times New Roman" w:cs="Times New Roman" w:eastAsia="Times New Roman" w:hAnsi="Times New Roman"/>
          <w:sz w:val="22"/>
          <w:szCs w:val="22"/>
          <w:b w:val="1"/>
          <w:bCs w:val="1"/>
          <w:color w:val="auto"/>
        </w:rPr>
        <w:t>Exhibit H-3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Swiss Legacy Pension Liabilities</w:t>
      </w:r>
      <w:r>
        <w:rPr>
          <w:rFonts w:ascii="Times New Roman" w:cs="Times New Roman" w:eastAsia="Times New Roman" w:hAnsi="Times New Roman"/>
          <w:sz w:val="21"/>
          <w:szCs w:val="21"/>
          <w:color w:val="auto"/>
        </w:rPr>
        <w:t>” means the legacy pension liabilities of the Swiss Assets Seller and Swiss Newco to (i) current pensioners and (ii) former employees of the Swiss Assets Seller and Swiss Newco with vested rights as at the Closing Date.</w:t>
      </w:r>
    </w:p>
    <w:p>
      <w:pPr>
        <w:spacing w:after="0" w:line="132"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Amendments to Article 2 of the Master Agreement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1757418.1</w:t>
      </w:r>
    </w:p>
    <w:p>
      <w:pPr>
        <w:spacing w:after="0" w:line="24" w:lineRule="exact"/>
        <w:rPr>
          <w:sz w:val="20"/>
          <w:szCs w:val="20"/>
          <w:color w:val="auto"/>
        </w:rPr>
      </w:pPr>
    </w:p>
    <w:p>
      <w:pPr>
        <w:jc w:val="both"/>
        <w:ind w:left="120" w:firstLine="1293"/>
        <w:spacing w:after="0" w:line="247" w:lineRule="auto"/>
        <w:tabs>
          <w:tab w:leader="none" w:pos="21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definitions of “Assets Sellers”, “Belgian Dealership Business”, “Belgian Excluded Tax Asset”, “Belgian Transferred Assets”, “Belgian Transferred Liabilities”, “Retained Fincos”, “Transferred Assets” and “Transferred Liabilities” are hereby deleted from Section 1.1 of the Master Agreement.</w:t>
      </w:r>
    </w:p>
    <w:p>
      <w:pPr>
        <w:spacing w:after="0" w:line="2"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definitions are hereby added to Section 1.1 of the Master Agreement:</w:t>
      </w:r>
    </w:p>
    <w:p>
      <w:pPr>
        <w:spacing w:after="0" w:line="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AOAG Contribution Agreement</w:t>
      </w:r>
      <w:r>
        <w:rPr>
          <w:rFonts w:ascii="Times New Roman" w:cs="Times New Roman" w:eastAsia="Times New Roman" w:hAnsi="Times New Roman"/>
          <w:sz w:val="22"/>
          <w:szCs w:val="22"/>
          <w:color w:val="auto"/>
        </w:rPr>
        <w:t>” means the assets transfer agreement entered into by AOAG and New AOAG dated June 27, 2017, role of deeds no. 605/2017-SF and no. 604/2017-SF of the notary public Dr. Sabine Funke, Frankfurt am Main/Germany.</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Autocos</w:t>
      </w:r>
      <w:r>
        <w:rPr>
          <w:rFonts w:ascii="Times New Roman" w:cs="Times New Roman" w:eastAsia="Times New Roman" w:hAnsi="Times New Roman"/>
          <w:sz w:val="22"/>
          <w:szCs w:val="22"/>
          <w:color w:val="auto"/>
        </w:rPr>
        <w:t>” means General Motors Belgium NV and GM Automotive Services Belgium NV, and either of them a “</w:t>
      </w:r>
      <w:r>
        <w:rPr>
          <w:rFonts w:ascii="Times New Roman" w:cs="Times New Roman" w:eastAsia="Times New Roman" w:hAnsi="Times New Roman"/>
          <w:sz w:val="22"/>
          <w:szCs w:val="22"/>
          <w:b w:val="1"/>
          <w:bCs w:val="1"/>
          <w:color w:val="auto"/>
        </w:rPr>
        <w:t>Belgian Autoco</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Partial Demergers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Exhibit 6.4(g).</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Tax Refund</w:t>
      </w:r>
      <w:r>
        <w:rPr>
          <w:rFonts w:ascii="Times New Roman" w:cs="Times New Roman" w:eastAsia="Times New Roman" w:hAnsi="Times New Roman"/>
          <w:sz w:val="22"/>
          <w:szCs w:val="22"/>
          <w:color w:val="auto"/>
        </w:rPr>
        <w:t>” means any rights of a Belgian Autoco in, and any claims of a Belgian Autoco to receive, any Tax Refund attributable to any Taxes paid by the Belgian Autocos prior to the Closing Date and attributable to a Pre-Closing Tax Period.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Closing Date</w:t>
      </w:r>
      <w:r>
        <w:rPr>
          <w:rFonts w:ascii="Times New Roman" w:cs="Times New Roman" w:eastAsia="Times New Roman" w:hAnsi="Times New Roman"/>
          <w:sz w:val="22"/>
          <w:szCs w:val="22"/>
          <w:color w:val="auto"/>
        </w:rPr>
        <w:t>” means June 9, 2017.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Transactions</w:t>
      </w:r>
      <w:r>
        <w:rPr>
          <w:rFonts w:ascii="Times New Roman" w:cs="Times New Roman" w:eastAsia="Times New Roman" w:hAnsi="Times New Roman"/>
          <w:sz w:val="22"/>
          <w:szCs w:val="22"/>
          <w:color w:val="auto"/>
        </w:rPr>
        <w:t xml:space="preserve">” means the transactions described as item 15 of </w:t>
      </w:r>
      <w:r>
        <w:rPr>
          <w:rFonts w:ascii="Times New Roman" w:cs="Times New Roman" w:eastAsia="Times New Roman" w:hAnsi="Times New Roman"/>
          <w:sz w:val="22"/>
          <w:szCs w:val="22"/>
          <w:b w:val="1"/>
          <w:bCs w:val="1"/>
          <w:color w:val="auto"/>
        </w:rPr>
        <w:t>Exhibit 6.4(a)(ii)</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20" w:right="20" w:firstLine="1293"/>
        <w:spacing w:after="0" w:line="263" w:lineRule="auto"/>
        <w:tabs>
          <w:tab w:leader="none" w:pos="21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“Controlled Dealership Entities”, “Inter-Company Non-Trading Payables”, “Inter-Company Non-Trading Receivables” and “Inter-Company Non-Trading Indebtedness” any reference to the “Assets Seller” or “Assets Sellers” is hereby deleted.</w:t>
      </w:r>
    </w:p>
    <w:p>
      <w:pPr>
        <w:sectPr>
          <w:pgSz w:w="11900" w:h="16838" w:orient="portrait"/>
          <w:cols w:equalWidth="0" w:num="1">
            <w:col w:w="11420"/>
          </w:cols>
          <w:pgMar w:left="240" w:top="581" w:right="239" w:bottom="1440" w:gutter="0" w:footer="0" w:header="0"/>
        </w:sectPr>
      </w:pPr>
    </w:p>
    <w:bookmarkStart w:id="58" w:name="page59"/>
    <w:bookmarkEnd w:id="58"/>
    <w:p>
      <w:pPr>
        <w:jc w:val="both"/>
        <w:ind w:left="120" w:firstLine="1293"/>
        <w:spacing w:after="0" w:line="255" w:lineRule="auto"/>
        <w:tabs>
          <w:tab w:leader="none" w:pos="21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“Belgian Active Plan Members”, “Belgian Excluded Assets”, “Belgian Excluded Liabilities”, “Belgian Legacy Pension Liabilities” and “Belgian Vested Former Employees”, the words “Belgian Assets Sellers” are hereby deleted and replaced by the words “Belgian Autocos”.</w:t>
      </w:r>
    </w:p>
    <w:p>
      <w:pPr>
        <w:ind w:left="120" w:right="20" w:firstLine="1293"/>
        <w:spacing w:after="0" w:line="249" w:lineRule="auto"/>
        <w:tabs>
          <w:tab w:leader="none" w:pos="21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“Autoco Contributed Entities Perimeter” and “Buyer Designees”, the references to “Transferred Assets” and “Transferred Liabilities” are hereby deleted.</w:t>
      </w:r>
    </w:p>
    <w:p>
      <w:pPr>
        <w:spacing w:after="0" w:line="1" w:lineRule="exact"/>
        <w:rPr>
          <w:rFonts w:ascii="Times New Roman" w:cs="Times New Roman" w:eastAsia="Times New Roman" w:hAnsi="Times New Roman"/>
          <w:sz w:val="18"/>
          <w:szCs w:val="18"/>
          <w:color w:val="auto"/>
        </w:rPr>
      </w:pPr>
    </w:p>
    <w:p>
      <w:pPr>
        <w:ind w:left="120" w:firstLine="1293"/>
        <w:spacing w:after="0" w:line="249" w:lineRule="auto"/>
        <w:tabs>
          <w:tab w:leader="none" w:pos="21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Paragraph (ii) of each of the definitions of “Post-Closing Taxes”, “Pre-Closing Straddle Period Taxes” and “Pre-Closing Taxes” are hereby deleted.</w:t>
      </w:r>
    </w:p>
    <w:p>
      <w:pPr>
        <w:spacing w:after="0" w:line="1" w:lineRule="exact"/>
        <w:rPr>
          <w:rFonts w:ascii="Times New Roman" w:cs="Times New Roman" w:eastAsia="Times New Roman" w:hAnsi="Times New Roman"/>
          <w:sz w:val="18"/>
          <w:szCs w:val="18"/>
          <w:color w:val="auto"/>
        </w:rPr>
      </w:pPr>
    </w:p>
    <w:p>
      <w:pPr>
        <w:jc w:val="both"/>
        <w:ind w:left="120" w:firstLine="1293"/>
        <w:spacing w:after="0" w:line="247" w:lineRule="auto"/>
        <w:tabs>
          <w:tab w:leader="none" w:pos="21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“Employees”, “Environmental Permits”, “Material Contract”, “Permitted Encumbrances”, “Target Group Companies” and “Third Party Guarantees”, any reference to the “Assets Sellers” or “Assets Seller” shall read to be made to “Swiss Assets Seller”.</w:t>
      </w:r>
    </w:p>
    <w:p>
      <w:pPr>
        <w:spacing w:after="0" w:line="2" w:lineRule="exact"/>
        <w:rPr>
          <w:rFonts w:ascii="Times New Roman" w:cs="Times New Roman" w:eastAsia="Times New Roman" w:hAnsi="Times New Roman"/>
          <w:sz w:val="18"/>
          <w:szCs w:val="18"/>
          <w:color w:val="auto"/>
        </w:rPr>
      </w:pPr>
    </w:p>
    <w:p>
      <w:pPr>
        <w:jc w:val="both"/>
        <w:ind w:left="120" w:firstLine="1293"/>
        <w:spacing w:after="0" w:line="247" w:lineRule="auto"/>
        <w:tabs>
          <w:tab w:leader="none" w:pos="21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definitions of “Swiss Transferred Assets” and “Swiss Transferred Liabilities”, the words “Closing Date” are hereby deleted and replaced by “Swiss Closing Date”. In the definition of “Swiss Transferred Liabilities”, the words “pre-Closing facts” are hereby deleted and replaced by “pre-Swiss Closing Date facts”.</w:t>
      </w:r>
    </w:p>
    <w:p>
      <w:pPr>
        <w:spacing w:after="0" w:line="2" w:lineRule="exact"/>
        <w:rPr>
          <w:rFonts w:ascii="Times New Roman" w:cs="Times New Roman" w:eastAsia="Times New Roman" w:hAnsi="Times New Roman"/>
          <w:sz w:val="18"/>
          <w:szCs w:val="18"/>
          <w:color w:val="auto"/>
        </w:rPr>
      </w:pPr>
    </w:p>
    <w:p>
      <w:pPr>
        <w:ind w:left="2120" w:hanging="707"/>
        <w:spacing w:after="0"/>
        <w:tabs>
          <w:tab w:leader="none" w:pos="21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definition of “Indemnified Taxes”, the words “or the buyers of the Transferred Assets (to the extent</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such obligation to pay is assumed as part of their assumption of the Transferred Liabilities”) are hereby deleted and paragraph (v)</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of the such definition is hereby amended as follows:</w:t>
      </w:r>
    </w:p>
    <w:p>
      <w:pPr>
        <w:spacing w:after="0" w:line="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21"/>
          <w:szCs w:val="21"/>
          <w:color w:val="auto"/>
        </w:rPr>
        <w:t xml:space="preserve">“(v) any Taxes arising out of the Pre-Closing Transactions (provided that with respect to Taxes arising from Buyer Requested Transactions this clause (v) shall only apply to Taxes that are attributable to (x) General Motors’ failure to comply with Section 8.6(a)(ii)(A) and Section 8.6(a)(ii)(B) or (y) General Motors’ failure to apply principles consistent to Section 8.6(a)(ii)(A) and Section 8.6(a)(ii)(B), to the extent applicable in the relevant jurisdiction, in connection with the Belgian Transactions and the Reorganization Transactions listed on items 13, 14 and 15 of </w:t>
      </w:r>
      <w:r>
        <w:rPr>
          <w:rFonts w:ascii="Times New Roman" w:cs="Times New Roman" w:eastAsia="Times New Roman" w:hAnsi="Times New Roman"/>
          <w:sz w:val="21"/>
          <w:szCs w:val="21"/>
          <w:b w:val="1"/>
          <w:bCs w:val="1"/>
          <w:color w:val="auto"/>
        </w:rPr>
        <w:t>Exhibit 6.4(a)(ii)</w:t>
      </w:r>
      <w:r>
        <w:rPr>
          <w:rFonts w:ascii="Times New Roman" w:cs="Times New Roman" w:eastAsia="Times New Roman" w:hAnsi="Times New Roman"/>
          <w:sz w:val="21"/>
          <w:szCs w:val="21"/>
          <w:color w:val="auto"/>
        </w:rPr>
        <w:t>) and the Belgian Excluded Tax Liability”</w:t>
      </w:r>
    </w:p>
    <w:p>
      <w:pPr>
        <w:spacing w:after="0" w:line="172" w:lineRule="exact"/>
        <w:rPr>
          <w:sz w:val="20"/>
          <w:szCs w:val="20"/>
          <w:color w:val="auto"/>
        </w:rPr>
      </w:pPr>
    </w:p>
    <w:p>
      <w:pPr>
        <w:ind w:left="660" w:right="820" w:firstLine="753"/>
        <w:spacing w:after="0" w:line="284" w:lineRule="auto"/>
        <w:tabs>
          <w:tab w:leader="none" w:pos="2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definitions of Section 1.1 of the Master Agreement are hereby amended as follows: “</w:t>
      </w:r>
      <w:r>
        <w:rPr>
          <w:rFonts w:ascii="Times New Roman" w:cs="Times New Roman" w:eastAsia="Times New Roman" w:hAnsi="Times New Roman"/>
          <w:sz w:val="22"/>
          <w:szCs w:val="22"/>
          <w:b w:val="1"/>
          <w:bCs w:val="1"/>
          <w:color w:val="auto"/>
        </w:rPr>
        <w:t>Agreed Pension Vehicles</w:t>
      </w:r>
      <w:r>
        <w:rPr>
          <w:rFonts w:ascii="Times New Roman" w:cs="Times New Roman" w:eastAsia="Times New Roman" w:hAnsi="Times New Roman"/>
          <w:sz w:val="22"/>
          <w:szCs w:val="22"/>
          <w:color w:val="auto"/>
        </w:rPr>
        <w:t>” has the meaning set forth in Section 6.9(b).</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AOAG</w:t>
      </w:r>
      <w:r>
        <w:rPr>
          <w:rFonts w:ascii="Times New Roman" w:cs="Times New Roman" w:eastAsia="Times New Roman" w:hAnsi="Times New Roman"/>
          <w:sz w:val="22"/>
          <w:szCs w:val="22"/>
          <w:color w:val="auto"/>
        </w:rPr>
        <w:t>” means Adam Opel GmbH (formerly Adam Opel AG).</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Excluded Tax Liability</w:t>
      </w:r>
      <w:r>
        <w:rPr>
          <w:rFonts w:ascii="Times New Roman" w:cs="Times New Roman" w:eastAsia="Times New Roman" w:hAnsi="Times New Roman"/>
          <w:sz w:val="22"/>
          <w:szCs w:val="22"/>
          <w:color w:val="auto"/>
        </w:rPr>
        <w:t>” means any liability related to Tax of the Belgian Autocos, other than any liability with respect to the assets of the Belgian Autocos which are not Belgian Excluded Assets (other than any Capital Gains Taxes) that is imposed on the Buyer, any Buyer Designee or the Target Group Companies or any of their Affiliates with respect to (x) any Tax Period that starts after the Closing Date or (y) the Post-Closing Straddle Period (allocated based on the same principles that apply to Target Group Companies under Section 8.6(d)).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Belgian Pension Assets Transfer</w:t>
      </w:r>
      <w:r>
        <w:rPr>
          <w:rFonts w:ascii="Times New Roman" w:cs="Times New Roman" w:eastAsia="Times New Roman" w:hAnsi="Times New Roman"/>
          <w:sz w:val="22"/>
          <w:szCs w:val="22"/>
          <w:color w:val="auto"/>
        </w:rPr>
        <w:t>” means the transfer after Closing by the Belgian Pension Fund to the pension institution of the Buyer (or the relevant Buyer Designee) (the “</w:t>
      </w:r>
      <w:r>
        <w:rPr>
          <w:rFonts w:ascii="Times New Roman" w:cs="Times New Roman" w:eastAsia="Times New Roman" w:hAnsi="Times New Roman"/>
          <w:sz w:val="22"/>
          <w:szCs w:val="22"/>
          <w:b w:val="1"/>
          <w:bCs w:val="1"/>
          <w:color w:val="auto"/>
        </w:rPr>
        <w:t>Buyer Designated Pension Institution</w:t>
      </w:r>
      <w:r>
        <w:rPr>
          <w:rFonts w:ascii="Times New Roman" w:cs="Times New Roman" w:eastAsia="Times New Roman" w:hAnsi="Times New Roman"/>
          <w:sz w:val="22"/>
          <w:szCs w:val="22"/>
          <w:color w:val="auto"/>
        </w:rPr>
        <w:t>”), of all pension assets under any Belgian Autocos Pension Plans for the Belgian Active Plan Members.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Notice</w:t>
      </w:r>
      <w:r>
        <w:rPr>
          <w:rFonts w:ascii="Times New Roman" w:cs="Times New Roman" w:eastAsia="Times New Roman" w:hAnsi="Times New Roman"/>
          <w:sz w:val="22"/>
          <w:szCs w:val="22"/>
          <w:color w:val="auto"/>
        </w:rPr>
        <w:t>” has the meaning set forth in Section 14.4(a).</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Requested Transactions</w:t>
      </w:r>
      <w:r>
        <w:rPr>
          <w:rFonts w:ascii="Times New Roman" w:cs="Times New Roman" w:eastAsia="Times New Roman" w:hAnsi="Times New Roman"/>
          <w:sz w:val="22"/>
          <w:szCs w:val="22"/>
          <w:color w:val="auto"/>
        </w:rPr>
        <w:t xml:space="preserve">” means the Reorganization Transactions listed on items 13, 14 and 15 of </w:t>
      </w:r>
      <w:r>
        <w:rPr>
          <w:rFonts w:ascii="Times New Roman" w:cs="Times New Roman" w:eastAsia="Times New Roman" w:hAnsi="Times New Roman"/>
          <w:sz w:val="22"/>
          <w:szCs w:val="22"/>
          <w:b w:val="1"/>
          <w:bCs w:val="1"/>
          <w:color w:val="auto"/>
        </w:rPr>
        <w:t>Exhibit 6.4(a)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the AOAG Contribution, the AOAG Sale and the Belgian Transactions.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AOAG</w:t>
      </w:r>
      <w:r>
        <w:rPr>
          <w:rFonts w:ascii="Times New Roman" w:cs="Times New Roman" w:eastAsia="Times New Roman" w:hAnsi="Times New Roman"/>
          <w:sz w:val="22"/>
          <w:szCs w:val="22"/>
          <w:color w:val="auto"/>
        </w:rPr>
        <w:t>” means Opel Automobile GmbH (formerly Opel Service GmbH).</w:t>
      </w:r>
    </w:p>
    <w:p>
      <w:pPr>
        <w:sectPr>
          <w:pgSz w:w="11900" w:h="16838" w:orient="portrait"/>
          <w:cols w:equalWidth="0" w:num="1">
            <w:col w:w="11420"/>
          </w:cols>
          <w:pgMar w:left="240" w:top="585" w:right="2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Opel Wien Bond</w:t>
      </w:r>
      <w:r>
        <w:rPr>
          <w:rFonts w:ascii="Times New Roman" w:cs="Times New Roman" w:eastAsia="Times New Roman" w:hAnsi="Times New Roman"/>
          <w:sz w:val="22"/>
          <w:szCs w:val="22"/>
          <w:color w:val="auto"/>
        </w:rPr>
        <w:t>” means the bond referred to in Exhibit 6.4(a)(ii)(7).</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Escrow Account Agreement</w:t>
      </w:r>
      <w:r>
        <w:rPr>
          <w:rFonts w:ascii="Times New Roman" w:cs="Times New Roman" w:eastAsia="Times New Roman" w:hAnsi="Times New Roman"/>
          <w:sz w:val="22"/>
          <w:szCs w:val="22"/>
          <w:color w:val="auto"/>
        </w:rPr>
        <w:t>” means that certain escrow deed by and among General Motors, the Buyer and the Pension Escrow Agent, dated July 28, 2017.</w:t>
      </w:r>
    </w:p>
    <w:p>
      <w:pPr>
        <w:spacing w:after="0" w:line="1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Escrow Agent</w:t>
      </w:r>
      <w:r>
        <w:rPr>
          <w:rFonts w:ascii="Times New Roman" w:cs="Times New Roman" w:eastAsia="Times New Roman" w:hAnsi="Times New Roman"/>
          <w:sz w:val="22"/>
          <w:szCs w:val="22"/>
          <w:color w:val="auto"/>
        </w:rPr>
        <w:t>” means Deutsche Bank AG, London Branch (or such other person appointed by the Parties from time to time) acting as escrow agent under the Pension Escrow Account Agreement, a copy of which is attached under no. 1 of the Reference Deed 28/29/20 July.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xml:space="preserve">” means each of the companies identified in the column headed “Seller” in </w:t>
      </w:r>
      <w:r>
        <w:rPr>
          <w:rFonts w:ascii="Times New Roman" w:cs="Times New Roman" w:eastAsia="Times New Roman" w:hAnsi="Times New Roman"/>
          <w:sz w:val="22"/>
          <w:szCs w:val="22"/>
          <w:b w:val="1"/>
          <w:bCs w:val="1"/>
          <w:color w:val="auto"/>
        </w:rPr>
        <w:t>Exhibit 4.4(a).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Swiss Excluded Liabilities</w:t>
      </w:r>
      <w:r>
        <w:rPr>
          <w:rFonts w:ascii="Times New Roman" w:cs="Times New Roman" w:eastAsia="Times New Roman" w:hAnsi="Times New Roman"/>
          <w:sz w:val="22"/>
          <w:szCs w:val="22"/>
          <w:color w:val="auto"/>
        </w:rPr>
        <w:t xml:space="preserve">” means the liabilities and obligations of the Swiss Assets Seller described on </w:t>
      </w:r>
      <w:r>
        <w:rPr>
          <w:rFonts w:ascii="Times New Roman" w:cs="Times New Roman" w:eastAsia="Times New Roman" w:hAnsi="Times New Roman"/>
          <w:sz w:val="22"/>
          <w:szCs w:val="22"/>
          <w:b w:val="1"/>
          <w:bCs w:val="1"/>
          <w:color w:val="auto"/>
        </w:rPr>
        <w:t>Exhibit H-3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Swiss Legacy Pension Liabilities</w:t>
      </w:r>
      <w:r>
        <w:rPr>
          <w:rFonts w:ascii="Times New Roman" w:cs="Times New Roman" w:eastAsia="Times New Roman" w:hAnsi="Times New Roman"/>
          <w:sz w:val="21"/>
          <w:szCs w:val="21"/>
          <w:color w:val="auto"/>
        </w:rPr>
        <w:t>” means the legacy pension liabilities of the Swiss Assets Seller and Swiss Newco to (i) current pensioners and (ii) former employees of the Swiss Assets Seller and Swiss Newco with vested rights as at the Closing Date.</w:t>
      </w:r>
    </w:p>
    <w:p>
      <w:pPr>
        <w:spacing w:after="0" w:line="132"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Amendments to Article 2 of the Master Agreement</w:t>
      </w:r>
    </w:p>
    <w:p>
      <w:pPr>
        <w:spacing w:after="0" w:line="233" w:lineRule="exact"/>
        <w:rPr>
          <w:sz w:val="20"/>
          <w:szCs w:val="20"/>
          <w:color w:val="auto"/>
        </w:rPr>
      </w:pPr>
    </w:p>
    <w:p>
      <w:pPr>
        <w:ind w:left="2160" w:hanging="747"/>
        <w:spacing w:after="0"/>
        <w:tabs>
          <w:tab w:leader="none" w:pos="2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Article 2, all references to “Transferred Assets” and “Transferred Liabilities” are hereby deleted.</w:t>
      </w:r>
    </w:p>
    <w:p>
      <w:pPr>
        <w:spacing w:after="0" w:line="273"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2.2 and the first sentence of Section 2.3 are hereby deleted.</w:t>
      </w:r>
    </w:p>
    <w:p>
      <w:pPr>
        <w:spacing w:after="0" w:line="273"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second sentence of Section 2.3 is hereby amended as follows:</w:t>
      </w:r>
    </w:p>
    <w:p>
      <w:pPr>
        <w:spacing w:after="0" w:line="2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the avoidance of doubt, the Swiss Assets Seller and General Motors Belgique Automobile will retain, and will be responsible for paying, performing and discharging when due, and the Buyer and its Affiliates will not assume or have any responsibility for, the Belgian Excluded Liabilities, the Swiss Excluded Liabilities and, to the extent related to the Swiss Assets Seller or General Motors Belgique Automobile, respectively, the Other Excluded Liabilities.”</w:t>
      </w:r>
    </w:p>
    <w:p>
      <w:pPr>
        <w:spacing w:after="0" w:line="180" w:lineRule="exact"/>
        <w:rPr>
          <w:sz w:val="20"/>
          <w:szCs w:val="20"/>
          <w:color w:val="auto"/>
        </w:rPr>
      </w:pPr>
    </w:p>
    <w:p>
      <w:pPr>
        <w:ind w:left="1420"/>
        <w:spacing w:after="0"/>
        <w:tabs>
          <w:tab w:leader="none" w:pos="21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22"/>
          <w:szCs w:val="22"/>
          <w:color w:val="auto"/>
        </w:rPr>
        <w:t>In paragraph (v) of Section 2.6(a), the reference to “Section 2.2” is hereby deleted and replaced by</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“Section 2.5”.</w:t>
      </w:r>
    </w:p>
    <w:p>
      <w:pPr>
        <w:spacing w:after="0" w:line="248" w:lineRule="exact"/>
        <w:rPr>
          <w:sz w:val="20"/>
          <w:szCs w:val="20"/>
          <w:color w:val="auto"/>
        </w:rPr>
      </w:pPr>
    </w:p>
    <w:p>
      <w:pPr>
        <w:ind w:left="2160" w:hanging="747"/>
        <w:spacing w:after="0"/>
        <w:tabs>
          <w:tab w:leader="none" w:pos="2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last paragraph of Section 2.6, the last sentence is hereby amended as follows:</w:t>
      </w:r>
    </w:p>
    <w:p>
      <w:pPr>
        <w:spacing w:after="0" w:line="200" w:lineRule="exact"/>
        <w:rPr>
          <w:sz w:val="20"/>
          <w:szCs w:val="20"/>
          <w:color w:val="auto"/>
        </w:rPr>
      </w:pPr>
    </w:p>
    <w:p>
      <w:pPr>
        <w:spacing w:after="0" w:line="290" w:lineRule="exact"/>
        <w:rPr>
          <w:sz w:val="20"/>
          <w:szCs w:val="20"/>
          <w:color w:val="auto"/>
        </w:rPr>
      </w:pPr>
    </w:p>
    <w:p>
      <w:pPr>
        <w:jc w:val="both"/>
        <w:ind w:firstLine="621"/>
        <w:spacing w:after="0" w:line="263" w:lineRule="exact"/>
        <w:rPr>
          <w:sz w:val="20"/>
          <w:szCs w:val="20"/>
          <w:color w:val="auto"/>
        </w:rPr>
      </w:pPr>
      <w:r>
        <w:rPr>
          <w:rFonts w:ascii="Times New Roman" w:cs="Times New Roman" w:eastAsia="Times New Roman" w:hAnsi="Times New Roman"/>
          <w:sz w:val="22"/>
          <w:szCs w:val="22"/>
          <w:color w:val="auto"/>
        </w:rPr>
        <w:t>“General Motors shall be solely responsible for allocating the Estimated Purchase Price among the Sellers in accordance with the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Certificate or any different Price Allocation determined pursuant to Section 3.1. If Section 10.1(b) applies, the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Certificate delivered at the First Closing will not include the Fincos Value, and a separate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Certificate shall be delivered by General Motors to the Buyer 8 Business Days prior to the Second Closing setting out the Fincos Value.”</w:t>
      </w:r>
    </w:p>
    <w:p>
      <w:pPr>
        <w:spacing w:after="0" w:line="193"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Amendments to Article 3 of the Master Agreement</w:t>
      </w:r>
    </w:p>
    <w:p>
      <w:pPr>
        <w:spacing w:after="0" w:line="233" w:lineRule="exact"/>
        <w:rPr>
          <w:sz w:val="20"/>
          <w:szCs w:val="20"/>
          <w:color w:val="auto"/>
        </w:rPr>
      </w:pPr>
    </w:p>
    <w:p>
      <w:pPr>
        <w:ind w:left="2160" w:hanging="747"/>
        <w:spacing w:after="0"/>
        <w:tabs>
          <w:tab w:leader="none" w:pos="2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Sections 3.1(a) and 3.4, all references to “Transferred Assets” are hereby deleted.</w:t>
      </w:r>
    </w:p>
    <w:p>
      <w:pPr>
        <w:sectPr>
          <w:pgSz w:w="11900" w:h="16838" w:orient="portrait"/>
          <w:cols w:equalWidth="0" w:num="1">
            <w:col w:w="11420"/>
          </w:cols>
          <w:pgMar w:left="240" w:top="581" w:right="239" w:bottom="1440" w:gutter="0" w:footer="0" w:header="0"/>
        </w:sectPr>
      </w:pPr>
    </w:p>
    <w:bookmarkStart w:id="60" w:name="page61"/>
    <w:bookmarkEnd w:id="60"/>
    <w:p>
      <w:pPr>
        <w:ind w:left="2160" w:hanging="747"/>
        <w:spacing w:after="0"/>
        <w:tabs>
          <w:tab w:leader="none" w:pos="2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3.1(e), the reference to the “Assets Sellers” is hereby deleted and replaced by “Swiss Assets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Seller”.</w:t>
      </w:r>
    </w:p>
    <w:p>
      <w:pPr>
        <w:spacing w:after="0" w:line="248" w:lineRule="exact"/>
        <w:rPr>
          <w:sz w:val="20"/>
          <w:szCs w:val="20"/>
          <w:color w:val="auto"/>
        </w:rPr>
      </w:pPr>
    </w:p>
    <w:p>
      <w:pPr>
        <w:ind w:left="2160" w:hanging="747"/>
        <w:spacing w:after="0"/>
        <w:tabs>
          <w:tab w:leader="none" w:pos="2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3.2, all references to “Belgian Assets Sellers” are hereby deleted and replaced by “Belgian</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Autocos”.</w:t>
      </w:r>
    </w:p>
    <w:p>
      <w:pPr>
        <w:spacing w:after="0" w:line="200" w:lineRule="exact"/>
        <w:rPr>
          <w:sz w:val="20"/>
          <w:szCs w:val="20"/>
          <w:color w:val="auto"/>
        </w:rPr>
      </w:pPr>
    </w:p>
    <w:p>
      <w:pPr>
        <w:spacing w:after="0" w:line="304"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Amendments to Article 4 of the Master Agreement</w:t>
      </w:r>
    </w:p>
    <w:p>
      <w:pPr>
        <w:spacing w:after="0" w:line="2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w:t>
      </w:r>
    </w:p>
    <w:p>
      <w:pPr>
        <w:spacing w:after="0" w:line="27" w:lineRule="exact"/>
        <w:rPr>
          <w:sz w:val="20"/>
          <w:szCs w:val="20"/>
          <w:color w:val="auto"/>
        </w:rPr>
      </w:pPr>
    </w:p>
    <w:p>
      <w:pPr>
        <w:ind w:left="2160" w:hanging="747"/>
        <w:spacing w:after="0"/>
        <w:tabs>
          <w:tab w:leader="none" w:pos="2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paragraphs (iv) and (v) shall be added to the end of the first sentence of Article 4:</w:t>
      </w:r>
    </w:p>
    <w:p>
      <w:pPr>
        <w:spacing w:after="0" w:line="2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“(iv) that any representation and warranty made in respect of the Swiss Assets Seller is made as of the date of this Agreement and as of the Swiss Closing Date immediately prior to the completion of the Swiss Transactions and (v) that any representation made in respect of Swiss Newco is made as of the Swiss Closing Date immediately after the completion of the Swiss Transactions and as of the Closing Date.”</w:t>
      </w:r>
    </w:p>
    <w:p>
      <w:pPr>
        <w:spacing w:after="0" w:line="180" w:lineRule="exact"/>
        <w:rPr>
          <w:sz w:val="20"/>
          <w:szCs w:val="20"/>
          <w:color w:val="auto"/>
        </w:rPr>
      </w:pPr>
    </w:p>
    <w:p>
      <w:pPr>
        <w:ind w:left="2160" w:hanging="747"/>
        <w:spacing w:after="0"/>
        <w:tabs>
          <w:tab w:leader="none" w:pos="21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Article 4, all references to “Assets Sellers” or “Assets Seller” are hereby deleted and replaced by “Swiss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Assets Seller”.</w:t>
      </w:r>
    </w:p>
    <w:p>
      <w:pPr>
        <w:spacing w:after="0" w:line="248" w:lineRule="exact"/>
        <w:rPr>
          <w:sz w:val="20"/>
          <w:szCs w:val="20"/>
          <w:color w:val="auto"/>
        </w:rPr>
      </w:pPr>
    </w:p>
    <w:p>
      <w:pPr>
        <w:ind w:left="2160" w:hanging="747"/>
        <w:spacing w:after="0"/>
        <w:tabs>
          <w:tab w:leader="none" w:pos="2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4.4(a), all references to “Belgian Assets Sellers” are hereby deleted.</w:t>
      </w:r>
    </w:p>
    <w:p>
      <w:pPr>
        <w:spacing w:after="0" w:line="273"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4.5 is hereby amended as follows:</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u w:val="single" w:color="auto"/>
          <w:color w:val="auto"/>
        </w:rPr>
        <w:t>“AOAG Contributed Assets and Swiss Transferred Assets</w:t>
      </w:r>
    </w:p>
    <w:p>
      <w:pPr>
        <w:spacing w:after="0" w:line="220" w:lineRule="exact"/>
        <w:rPr>
          <w:sz w:val="20"/>
          <w:szCs w:val="20"/>
          <w:color w:val="auto"/>
        </w:rPr>
      </w:pPr>
    </w:p>
    <w:p>
      <w:pPr>
        <w:jc w:val="both"/>
        <w:ind w:firstLine="621"/>
        <w:spacing w:after="0" w:line="249" w:lineRule="auto"/>
        <w:rPr>
          <w:sz w:val="20"/>
          <w:szCs w:val="20"/>
          <w:color w:val="auto"/>
        </w:rPr>
      </w:pPr>
      <w:r>
        <w:rPr>
          <w:rFonts w:ascii="Times New Roman" w:cs="Times New Roman" w:eastAsia="Times New Roman" w:hAnsi="Times New Roman"/>
          <w:sz w:val="22"/>
          <w:szCs w:val="22"/>
          <w:color w:val="auto"/>
        </w:rPr>
        <w:t>The Swiss Transferred Assets are owned by the Swiss Assets Seller as of the date hereof, free and clear of any Encumbrances, the AOAG Contributed Assets are owned by AOAG as of the date hereof, free and clear of any Encumbrances and the AOAG Contributed Assets that have been validly contributed to New AOAG on the Contribution Date will be owned by New AOAG on the Closing Date, free and clear of any Encumbrances, and the Swiss Transferred Assets that have been validly transferred to Swiss NewCo on the Swiss Closing Date will be owned by Swiss Newco on the Closing Date, free and clear of any Encumbrances.”</w:t>
      </w:r>
    </w:p>
    <w:p>
      <w:pPr>
        <w:spacing w:after="0" w:line="181" w:lineRule="exact"/>
        <w:rPr>
          <w:sz w:val="20"/>
          <w:szCs w:val="20"/>
          <w:color w:val="auto"/>
        </w:rPr>
      </w:pPr>
    </w:p>
    <w:p>
      <w:pPr>
        <w:ind w:left="2160" w:hanging="747"/>
        <w:spacing w:after="0"/>
        <w:tabs>
          <w:tab w:leader="none" w:pos="2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4.7, the words “included among the Transferred Assets or” are hereby deleted.</w:t>
      </w:r>
    </w:p>
    <w:p>
      <w:pPr>
        <w:spacing w:after="0" w:line="29" w:lineRule="exact"/>
        <w:rPr>
          <w:rFonts w:ascii="Times New Roman" w:cs="Times New Roman" w:eastAsia="Times New Roman" w:hAnsi="Times New Roman"/>
          <w:sz w:val="18"/>
          <w:szCs w:val="18"/>
          <w:color w:val="auto"/>
        </w:rPr>
      </w:pPr>
    </w:p>
    <w:p>
      <w:pPr>
        <w:ind w:left="2140" w:hanging="727"/>
        <w:spacing w:after="0"/>
        <w:tabs>
          <w:tab w:leader="none" w:pos="2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4.10(c) is hereby amended as follows:</w:t>
      </w:r>
    </w:p>
    <w:p>
      <w:pPr>
        <w:spacing w:after="0" w:line="257"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b w:val="1"/>
          <w:bCs w:val="1"/>
          <w:color w:val="auto"/>
        </w:rPr>
        <w:t>Exhibit 4.10(c)</w:t>
      </w:r>
      <w:r>
        <w:rPr>
          <w:rFonts w:ascii="Times New Roman" w:cs="Times New Roman" w:eastAsia="Times New Roman" w:hAnsi="Times New Roman"/>
          <w:sz w:val="22"/>
          <w:szCs w:val="22"/>
          <w:color w:val="auto"/>
        </w:rPr>
        <w:t>, the certificates, licenses, permits, governmental authorizations and approvals (including Environmental Permits and accreditations)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required to be held by AOAG, the Swiss Assets Seller, the Target Group Companies and the Controlled Dealership Entities under applicable Laws to carry out their activities as currently carried out have been duly issued or granted to AOAG, the Swiss Assets Seller, the Target Group Companies and the Controlled Dealership Entities and are in full force and effect; provided that the foregoing representation and warranty shall not apply to New AOAG or Swiss Newco as of the Closing Date with respect to the activities transferred to New AOAG pursuant to the AOAG Contribution or to Swiss Newco by the Swiss Assets Seller, respectively.”</w:t>
      </w:r>
    </w:p>
    <w:p>
      <w:pPr>
        <w:spacing w:after="0" w:line="186" w:lineRule="exact"/>
        <w:rPr>
          <w:sz w:val="20"/>
          <w:szCs w:val="20"/>
          <w:color w:val="auto"/>
        </w:rPr>
      </w:pPr>
    </w:p>
    <w:p>
      <w:pPr>
        <w:ind w:left="2160" w:hanging="747"/>
        <w:spacing w:after="0"/>
        <w:tabs>
          <w:tab w:leader="none" w:pos="2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4.13(d), the following words are hereby added at the end of the first sentence: “or the Swiss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Transactions”.</w:t>
      </w:r>
    </w:p>
    <w:p>
      <w:pPr>
        <w:sectPr>
          <w:pgSz w:w="11900" w:h="16838" w:orient="portrait"/>
          <w:cols w:equalWidth="0" w:num="1">
            <w:col w:w="11420"/>
          </w:cols>
          <w:pgMar w:left="240" w:top="585" w:right="239" w:bottom="1440" w:gutter="0" w:footer="0" w:header="0"/>
        </w:sectPr>
      </w:pPr>
    </w:p>
    <w:bookmarkStart w:id="61" w:name="page62"/>
    <w:bookmarkEnd w:id="61"/>
    <w:p>
      <w:pPr>
        <w:ind w:left="2160" w:hanging="747"/>
        <w:spacing w:after="0"/>
        <w:tabs>
          <w:tab w:leader="none" w:pos="2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4.13(j) is hereby amended as follows:</w:t>
      </w:r>
    </w:p>
    <w:p>
      <w:pPr>
        <w:spacing w:after="0" w:line="274"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22"/>
          <w:szCs w:val="22"/>
          <w:color w:val="auto"/>
        </w:rPr>
        <w:t>“The Target Group Companies will be at and immediately following the Closing either the rightful owner or the valid licensee or sublicensee (including under the Ancillary Agreements), to the extent such licenses or sublicenses are legally required, of all trademarks, trade names and domain names that are used in their operations as currently conducted and as planned to be conducted in accordance with the Ancillary Agreements (excluding any rights pursuant to licenses or sublicenses included within the AOAG Contributed Assets or the Swiss Transferred Assets that have not validly transferred to New AOAG as of the Closing Date or to Swiss Newco as of the Swiss Closing Date, respectively), provided that (i) in any case of conflict between this Section 4.13(j) and Section 4.13(k) below with respect to Third Party intellectual property assertions, 4.13(k) shall prevail and (ii) in case of conflict between this Section 4.13(j) and 4.13(i), Section 4.13(i) shall prevail.”</w:t>
      </w:r>
    </w:p>
    <w:p>
      <w:pPr>
        <w:spacing w:after="0" w:line="186" w:lineRule="exact"/>
        <w:rPr>
          <w:sz w:val="20"/>
          <w:szCs w:val="20"/>
          <w:color w:val="auto"/>
        </w:rPr>
      </w:pPr>
    </w:p>
    <w:p>
      <w:pPr>
        <w:ind w:left="2120" w:hanging="707"/>
        <w:spacing w:after="0"/>
        <w:tabs>
          <w:tab w:leader="none" w:pos="2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4.14(b)(i) is hereby amended as follows:</w:t>
      </w:r>
    </w:p>
    <w:p>
      <w:pPr>
        <w:spacing w:after="0" w:line="30"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21"/>
          <w:szCs w:val="21"/>
          <w:color w:val="auto"/>
        </w:rPr>
        <w:t>“each Material Contract is in full force and effect, and is a valid and binding agreement of AOAG, the Swiss Assets Seller, the relevant Target Group Company or the relevant Controlled Dealership Entity (excluding any Material Contracts included within the AOAG Contributed Assets or the Swiss Transferred Assets that have not validly transferred to New AOAG or Swiss Newco);”</w:t>
      </w:r>
    </w:p>
    <w:p>
      <w:pPr>
        <w:spacing w:after="0" w:line="161" w:lineRule="exact"/>
        <w:rPr>
          <w:sz w:val="20"/>
          <w:szCs w:val="20"/>
          <w:color w:val="auto"/>
        </w:rPr>
      </w:pPr>
    </w:p>
    <w:p>
      <w:pPr>
        <w:ind w:left="2120" w:hanging="707"/>
        <w:spacing w:after="0"/>
        <w:tabs>
          <w:tab w:leader="none" w:pos="2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4.14(b)(iv) is hereby amended as follows:</w:t>
      </w:r>
    </w:p>
    <w:p>
      <w:pPr>
        <w:spacing w:after="0" w:line="274"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22"/>
          <w:szCs w:val="22"/>
          <w:color w:val="auto"/>
        </w:rPr>
        <w:t>“no written notice of termination has been given, and to the Knowledge of General Motors, no termination has been threatened or announced, to AOAG, the Swiss Assets Seller, a Target Group Company or a Controlled Dealership Entity with respect to any Material Contract (excluding any Material Contracts included within the AOAG Contributed Assets or the Swiss Transferred Assets for which a notice of termination has been received in relation to the AOAG Contribution or the Swiss Transactions); and”</w:t>
      </w:r>
    </w:p>
    <w:p>
      <w:pPr>
        <w:spacing w:after="0" w:line="181" w:lineRule="exact"/>
        <w:rPr>
          <w:sz w:val="20"/>
          <w:szCs w:val="20"/>
          <w:color w:val="auto"/>
        </w:rPr>
      </w:pPr>
    </w:p>
    <w:p>
      <w:pPr>
        <w:ind w:left="120" w:firstLine="1293"/>
        <w:spacing w:after="0" w:line="284" w:lineRule="auto"/>
        <w:tabs>
          <w:tab w:leader="none" w:pos="21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4.15, the words “Assets Sellers” are hereby replaced by the words “Swiss Assets Seller” and the words “Transferred Assets” are hereby replaced by “Swiss Transferred Assets”.</w:t>
      </w:r>
    </w:p>
    <w:p>
      <w:pPr>
        <w:spacing w:after="0" w:line="184" w:lineRule="exact"/>
        <w:rPr>
          <w:rFonts w:ascii="Times New Roman" w:cs="Times New Roman" w:eastAsia="Times New Roman" w:hAnsi="Times New Roman"/>
          <w:sz w:val="18"/>
          <w:szCs w:val="18"/>
          <w:color w:val="auto"/>
        </w:rPr>
      </w:pPr>
    </w:p>
    <w:p>
      <w:pPr>
        <w:ind w:left="120" w:firstLine="1293"/>
        <w:spacing w:after="0" w:line="284" w:lineRule="auto"/>
        <w:tabs>
          <w:tab w:leader="none" w:pos="21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first sentence of Section 4.17, the words “Target Companies” are hereby deleted and replaced by the words “Target Group Companies”.</w:t>
      </w:r>
    </w:p>
    <w:p>
      <w:pPr>
        <w:spacing w:after="0" w:line="184" w:lineRule="exact"/>
        <w:rPr>
          <w:rFonts w:ascii="Times New Roman" w:cs="Times New Roman" w:eastAsia="Times New Roman" w:hAnsi="Times New Roman"/>
          <w:sz w:val="18"/>
          <w:szCs w:val="18"/>
          <w:color w:val="auto"/>
        </w:rPr>
      </w:pPr>
    </w:p>
    <w:p>
      <w:pPr>
        <w:ind w:left="120" w:firstLine="1293"/>
        <w:spacing w:after="0" w:line="284" w:lineRule="auto"/>
        <w:tabs>
          <w:tab w:leader="none" w:pos="22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sentence of Section 4.17, the words “, Swiss Newco,” are hereby added between “New AOAG” and “or the Buyer”, and the words “, as applicable,” are hereby added between “Buyer” and “will”.</w:t>
      </w:r>
    </w:p>
    <w:p>
      <w:pPr>
        <w:spacing w:after="0" w:line="184" w:lineRule="exact"/>
        <w:rPr>
          <w:rFonts w:ascii="Times New Roman" w:cs="Times New Roman" w:eastAsia="Times New Roman" w:hAnsi="Times New Roman"/>
          <w:sz w:val="18"/>
          <w:szCs w:val="18"/>
          <w:color w:val="auto"/>
        </w:rPr>
      </w:pPr>
    </w:p>
    <w:p>
      <w:pPr>
        <w:jc w:val="both"/>
        <w:ind w:left="120" w:firstLine="1293"/>
        <w:spacing w:after="0" w:line="263" w:lineRule="auto"/>
        <w:tabs>
          <w:tab w:leader="none" w:pos="21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4.20, the word “Swiss” is hereby added immediately before the words “Transferred Assets” and “Transferred Liabilities”, and the words “the Swiss Assets Seller,” are hereby added between “the Sellers” and “the Target Group Companies”.</w:t>
      </w:r>
    </w:p>
    <w:p>
      <w:pPr>
        <w:spacing w:after="0" w:line="208"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Amendments to Article 6 of the Master Agreement</w:t>
      </w:r>
    </w:p>
    <w:p>
      <w:pPr>
        <w:spacing w:after="0" w:line="233" w:lineRule="exact"/>
        <w:rPr>
          <w:sz w:val="20"/>
          <w:szCs w:val="20"/>
          <w:color w:val="auto"/>
        </w:rPr>
      </w:pPr>
    </w:p>
    <w:p>
      <w:pPr>
        <w:ind w:left="2160" w:hanging="747"/>
        <w:spacing w:after="0"/>
        <w:tabs>
          <w:tab w:leader="none" w:pos="2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6.1, all references to “Assets Sellers” or “Assets Seller” are hereby deleted and replaced by</w:t>
      </w:r>
    </w:p>
    <w:p>
      <w:pPr>
        <w:spacing w:after="0" w:line="2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“Swiss Assets Seller”.</w:t>
      </w:r>
    </w:p>
    <w:p>
      <w:pPr>
        <w:spacing w:after="0" w:line="247"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first sentence of Section 6.1(a) is hereby amended as follows:</w:t>
      </w:r>
    </w:p>
    <w:p>
      <w:pPr>
        <w:spacing w:after="0" w:line="274" w:lineRule="exact"/>
        <w:rPr>
          <w:sz w:val="20"/>
          <w:szCs w:val="20"/>
          <w:color w:val="auto"/>
        </w:rPr>
      </w:pPr>
    </w:p>
    <w:p>
      <w:pPr>
        <w:ind w:firstLine="621"/>
        <w:spacing w:after="0" w:line="271" w:lineRule="auto"/>
        <w:rPr>
          <w:sz w:val="20"/>
          <w:szCs w:val="20"/>
          <w:color w:val="auto"/>
        </w:rPr>
      </w:pPr>
      <w:r>
        <w:rPr>
          <w:rFonts w:ascii="Times New Roman" w:cs="Times New Roman" w:eastAsia="Times New Roman" w:hAnsi="Times New Roman"/>
          <w:sz w:val="22"/>
          <w:szCs w:val="22"/>
          <w:color w:val="auto"/>
        </w:rPr>
        <w:t>“From the date hereof until the Closing Date, General Motors shall procure that AOAG (until the Contribution Date with respect to AOAG Contributed Assets, and until the Closing Date with respect to the</w:t>
      </w:r>
    </w:p>
    <w:p>
      <w:pPr>
        <w:sectPr>
          <w:pgSz w:w="11900" w:h="16838" w:orient="portrait"/>
          <w:cols w:equalWidth="0" w:num="1">
            <w:col w:w="11420"/>
          </w:cols>
          <w:pgMar w:left="240" w:top="585" w:right="239" w:bottom="1440" w:gutter="0" w:footer="0" w:header="0"/>
        </w:sectPr>
      </w:pPr>
    </w:p>
    <w:bookmarkStart w:id="62" w:name="page63"/>
    <w:bookmarkEnd w:id="62"/>
    <w:p>
      <w:pPr>
        <w:jc w:val="both"/>
        <w:spacing w:after="0" w:line="249" w:lineRule="auto"/>
        <w:rPr>
          <w:sz w:val="20"/>
          <w:szCs w:val="20"/>
          <w:color w:val="auto"/>
        </w:rPr>
      </w:pPr>
      <w:r>
        <w:rPr>
          <w:rFonts w:ascii="Times New Roman" w:cs="Times New Roman" w:eastAsia="Times New Roman" w:hAnsi="Times New Roman"/>
          <w:sz w:val="22"/>
          <w:szCs w:val="22"/>
          <w:color w:val="auto"/>
        </w:rPr>
        <w:t>AOAG Contributed Assets with respect to which legal ownership has not yet been validly transferred to New AOAG on the Contribution Date), New AOAG, the Swiss Assets Seller (until the Swiss Closing Date with respect to Swiss Transferred Assets, and until the Closing Date with respect to the Swiss Transferred Assets with respect to which legal ownership has not yet been validly transferred to Swiss Newco on the Swiss Closing Date), the Target Group Companies and the Controlled Dealership Entities operate and carry on their activities in the ordinary course of business and in substantially the same manner as conducted at the date hereof and shall not:”</w:t>
      </w:r>
    </w:p>
    <w:p>
      <w:pPr>
        <w:spacing w:after="0" w:line="181" w:lineRule="exact"/>
        <w:rPr>
          <w:sz w:val="20"/>
          <w:szCs w:val="20"/>
          <w:color w:val="auto"/>
        </w:rPr>
      </w:pPr>
    </w:p>
    <w:p>
      <w:pPr>
        <w:ind w:left="2160" w:hanging="747"/>
        <w:spacing w:after="0"/>
        <w:tabs>
          <w:tab w:leader="none" w:pos="2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6.1(xiii), the words “for the Delayed Fincos” are hereby deleted and replaced by “if Section</w:t>
      </w:r>
    </w:p>
    <w:p>
      <w:pPr>
        <w:spacing w:after="0" w:line="2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10.1(b) applies”.</w:t>
      </w:r>
    </w:p>
    <w:p>
      <w:pPr>
        <w:spacing w:after="0" w:line="247" w:lineRule="exact"/>
        <w:rPr>
          <w:rFonts w:ascii="Times New Roman" w:cs="Times New Roman" w:eastAsia="Times New Roman" w:hAnsi="Times New Roman"/>
          <w:sz w:val="18"/>
          <w:szCs w:val="18"/>
          <w:color w:val="auto"/>
        </w:rPr>
      </w:pPr>
    </w:p>
    <w:p>
      <w:pPr>
        <w:jc w:val="both"/>
        <w:ind w:left="120" w:firstLine="1293"/>
        <w:spacing w:after="0" w:line="263" w:lineRule="auto"/>
        <w:tabs>
          <w:tab w:leader="none" w:pos="21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6.2, all references to “Assets Sellers” or “Assets Seller” are hereby deleted and replaced by “Swiss Assets Seller” and all references to “Transferred Assets” and “Transferred Liabilities” are hereby deleted and respectively replaced by “Swiss Transferred Assets” and “Swiss Transferred Liabilities”.</w:t>
      </w:r>
    </w:p>
    <w:p>
      <w:pPr>
        <w:spacing w:after="0" w:line="208" w:lineRule="exact"/>
        <w:rPr>
          <w:rFonts w:ascii="Times New Roman" w:cs="Times New Roman" w:eastAsia="Times New Roman" w:hAnsi="Times New Roman"/>
          <w:sz w:val="18"/>
          <w:szCs w:val="18"/>
          <w:color w:val="auto"/>
        </w:rPr>
      </w:pPr>
    </w:p>
    <w:p>
      <w:pPr>
        <w:ind w:left="120" w:firstLine="1293"/>
        <w:spacing w:after="0" w:line="309" w:lineRule="auto"/>
        <w:tabs>
          <w:tab w:leader="none" w:pos="215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Section 6.3(c), the words “the Buyer (or the relevant Buyer Designee)” are hereby deleted and replaced by “Swiss Newco” and the words “Transferred Assets” are hereby deleted and replaced by “Swiss Transferred Assets”.</w:t>
      </w:r>
    </w:p>
    <w:p>
      <w:pPr>
        <w:spacing w:after="0" w:line="161" w:lineRule="exact"/>
        <w:rPr>
          <w:rFonts w:ascii="Times New Roman" w:cs="Times New Roman" w:eastAsia="Times New Roman" w:hAnsi="Times New Roman"/>
          <w:sz w:val="17"/>
          <w:szCs w:val="17"/>
          <w:color w:val="auto"/>
        </w:rPr>
      </w:pPr>
    </w:p>
    <w:p>
      <w:pPr>
        <w:ind w:left="2160" w:hanging="747"/>
        <w:spacing w:after="0"/>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6.3(d), the word “Swiss” is added immediately before the words “Closing Date” and “Assets</w:t>
      </w:r>
    </w:p>
    <w:p>
      <w:pPr>
        <w:spacing w:after="0" w:line="27"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w:t>
      </w:r>
    </w:p>
    <w:p>
      <w:pPr>
        <w:spacing w:after="0" w:line="236" w:lineRule="exact"/>
        <w:rPr>
          <w:rFonts w:ascii="Times New Roman" w:cs="Times New Roman" w:eastAsia="Times New Roman" w:hAnsi="Times New Roman"/>
          <w:sz w:val="22"/>
          <w:szCs w:val="22"/>
          <w:color w:val="auto"/>
        </w:rPr>
      </w:pPr>
    </w:p>
    <w:p>
      <w:pPr>
        <w:jc w:val="both"/>
        <w:ind w:left="120" w:firstLine="1293"/>
        <w:spacing w:after="0" w:line="250" w:lineRule="auto"/>
        <w:tabs>
          <w:tab w:leader="none" w:pos="21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Section 6.4(c), the Parties hereby (i) acknowledge and agree that the note referred to therein shall be denominated in U.S. Dollars and has been issued for an amount of $ 3,329,844,900.00 on June 30, 2017 and (ii) agree that such note shall be settled by General Motors in cash in Euros on or prior to the Closing by way of payment to New AOAG (as the holder of such note) in an amount equal to the aggregate principal and interest outstanding as of such settlement date. This note will be settled by General Motors for the Euro equivalent of the principal and interest; AOAG will contribute to New AOAG prior to Closing any additional funds needed to satisfy the required First Estimated Pension Closing Amount and Second Estimated Pension Closing Amount.</w:t>
      </w:r>
    </w:p>
    <w:p>
      <w:pPr>
        <w:spacing w:after="0" w:line="221"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6.4(g) is hereby amended as follows:</w:t>
      </w:r>
    </w:p>
    <w:p>
      <w:pPr>
        <w:spacing w:after="0" w:line="270" w:lineRule="exact"/>
        <w:rPr>
          <w:sz w:val="20"/>
          <w:szCs w:val="20"/>
          <w:color w:val="auto"/>
        </w:rPr>
      </w:pPr>
    </w:p>
    <w:p>
      <w:pPr>
        <w:ind w:firstLine="621"/>
        <w:spacing w:after="0" w:line="275" w:lineRule="auto"/>
        <w:rPr>
          <w:sz w:val="20"/>
          <w:szCs w:val="20"/>
          <w:color w:val="auto"/>
        </w:rPr>
      </w:pPr>
      <w:r>
        <w:rPr>
          <w:rFonts w:ascii="Times New Roman" w:cs="Times New Roman" w:eastAsia="Times New Roman" w:hAnsi="Times New Roman"/>
          <w:sz w:val="22"/>
          <w:szCs w:val="22"/>
          <w:color w:val="auto"/>
        </w:rPr>
        <w:t xml:space="preserve">“The Parties shall reasonably cooperate to implement the transactions set forth in </w:t>
      </w:r>
      <w:r>
        <w:rPr>
          <w:rFonts w:ascii="Times New Roman" w:cs="Times New Roman" w:eastAsia="Times New Roman" w:hAnsi="Times New Roman"/>
          <w:sz w:val="22"/>
          <w:szCs w:val="22"/>
          <w:b w:val="1"/>
          <w:bCs w:val="1"/>
          <w:color w:val="auto"/>
        </w:rPr>
        <w:t>Exhibit 6.4(g)</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Belgian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to be performed prior to or after the Closing in accordance with such Exhibit.”</w:t>
      </w:r>
    </w:p>
    <w:p>
      <w:pPr>
        <w:spacing w:after="0" w:line="154" w:lineRule="exact"/>
        <w:rPr>
          <w:sz w:val="20"/>
          <w:szCs w:val="20"/>
          <w:color w:val="auto"/>
        </w:rPr>
      </w:pPr>
    </w:p>
    <w:p>
      <w:pPr>
        <w:ind w:left="120" w:firstLine="1293"/>
        <w:spacing w:after="0" w:line="284" w:lineRule="auto"/>
        <w:tabs>
          <w:tab w:leader="none" w:pos="212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Sections 6.5, 6.6 and 6.10, the words “Assets Sellers” and “Assets Seller” shall be deleted and replaced by “Swiss Assets Seller”.</w:t>
      </w:r>
    </w:p>
    <w:p>
      <w:pPr>
        <w:spacing w:after="0" w:line="184" w:lineRule="exact"/>
        <w:rPr>
          <w:rFonts w:ascii="Times New Roman" w:cs="Times New Roman" w:eastAsia="Times New Roman" w:hAnsi="Times New Roman"/>
          <w:sz w:val="18"/>
          <w:szCs w:val="18"/>
          <w:color w:val="auto"/>
        </w:rPr>
      </w:pPr>
    </w:p>
    <w:p>
      <w:pPr>
        <w:ind w:left="2120" w:hanging="707"/>
        <w:spacing w:after="0"/>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is added at the end of Section 6.9(b):</w:t>
      </w:r>
    </w:p>
    <w:p>
      <w:pPr>
        <w:spacing w:after="0" w:line="269" w:lineRule="exact"/>
        <w:rPr>
          <w:rFonts w:ascii="Times New Roman" w:cs="Times New Roman" w:eastAsia="Times New Roman" w:hAnsi="Times New Roman"/>
          <w:sz w:val="18"/>
          <w:szCs w:val="18"/>
          <w:color w:val="auto"/>
        </w:rPr>
      </w:pPr>
    </w:p>
    <w:p>
      <w:pPr>
        <w:jc w:val="both"/>
        <w:ind w:firstLine="656"/>
        <w:spacing w:after="0" w:line="252" w:lineRule="auto"/>
        <w:tabs>
          <w:tab w:leader="none" w:pos="107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Exhibit 6.9(b)(i) </w:t>
      </w:r>
      <w:r>
        <w:rPr>
          <w:rFonts w:ascii="Times New Roman" w:cs="Times New Roman" w:eastAsia="Times New Roman" w:hAnsi="Times New Roman"/>
          <w:sz w:val="22"/>
          <w:szCs w:val="22"/>
          <w:color w:val="auto"/>
        </w:rPr>
        <w:t>sets forth a list, by country and by Pension Plan, of the jointly determined Agreed Pension Vehicles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Autoco Pension Plans and the relevant portion of the Buyer Restricted Second Pension Closing Amount allocated to the respective Pension Plan for which such Agreed Pension Vehicle is established (the “</w:t>
      </w:r>
      <w:r>
        <w:rPr>
          <w:rFonts w:ascii="Times New Roman" w:cs="Times New Roman" w:eastAsia="Times New Roman" w:hAnsi="Times New Roman"/>
          <w:sz w:val="22"/>
          <w:szCs w:val="22"/>
          <w:b w:val="1"/>
          <w:bCs w:val="1"/>
          <w:color w:val="auto"/>
        </w:rPr>
        <w:t>Agreed Pension Vehicles List</w:t>
      </w:r>
      <w:r>
        <w:rPr>
          <w:rFonts w:ascii="Times New Roman" w:cs="Times New Roman" w:eastAsia="Times New Roman" w:hAnsi="Times New Roman"/>
          <w:sz w:val="22"/>
          <w:szCs w:val="22"/>
          <w:color w:val="auto"/>
        </w:rPr>
        <w:t>”). The Parties acknowledge and agree that Agreed Pension Vehicles for Finco Pension Plans included in the Third Pension Closing Payment Amount and/or Fourth Pension Closing Payment Amount shall be separately agreed in good faith by the Parties in advance of the Finco Closing.</w:t>
      </w:r>
    </w:p>
    <w:p>
      <w:pPr>
        <w:sectPr>
          <w:pgSz w:w="11900" w:h="16838" w:orient="portrait"/>
          <w:cols w:equalWidth="0" w:num="1">
            <w:col w:w="11420"/>
          </w:cols>
          <w:pgMar w:left="240" w:top="585" w:right="239" w:bottom="1440" w:gutter="0" w:footer="0" w:header="0"/>
        </w:sectPr>
      </w:pPr>
    </w:p>
    <w:bookmarkStart w:id="63" w:name="page64"/>
    <w:bookmarkEnd w:id="63"/>
    <w:p>
      <w:pPr>
        <w:jc w:val="both"/>
        <w:ind w:left="-656" w:firstLine="656"/>
        <w:spacing w:after="0" w:line="260" w:lineRule="auto"/>
        <w:tabs>
          <w:tab w:leader="none" w:pos="46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it is intended that each Agreed Pension Vehicle shall qualify as “plan assets” under IAS 19 (the “</w:t>
      </w:r>
      <w:r>
        <w:rPr>
          <w:rFonts w:ascii="Times New Roman" w:cs="Times New Roman" w:eastAsia="Times New Roman" w:hAnsi="Times New Roman"/>
          <w:sz w:val="21"/>
          <w:szCs w:val="21"/>
          <w:b w:val="1"/>
          <w:bCs w:val="1"/>
          <w:color w:val="auto"/>
        </w:rPr>
        <w:t>Plan Assets Qualification</w:t>
      </w:r>
      <w:r>
        <w:rPr>
          <w:rFonts w:ascii="Times New Roman" w:cs="Times New Roman" w:eastAsia="Times New Roman" w:hAnsi="Times New Roman"/>
          <w:sz w:val="21"/>
          <w:szCs w:val="21"/>
          <w:color w:val="auto"/>
        </w:rPr>
        <w:t>”). To the extent necessary, any such determinations in this regard shall be made by the Buyer’s auditor or the auditor of the relevant Affiliate of the Buyer (as the case may be) in good faith, and shall be memorialized in writing. The Buyer or its relevant Affiliate shall use reasonable best efforts to procure that the documentation for each Agreed Pension Vehicle shall reflect the exclusive purpose for which the relevant portion of the Restricted Pension Closing Amounts deposited in that Agreed Pension Vehicle may be used, being the payment of the applicable benefits to the Employees whose benefits were included in the calculation of the portion of the relevant Pension Closing Payment Amount held (or to be held) by such Agreed Pension Vehicle (the “</w:t>
      </w:r>
      <w:r>
        <w:rPr>
          <w:rFonts w:ascii="Times New Roman" w:cs="Times New Roman" w:eastAsia="Times New Roman" w:hAnsi="Times New Roman"/>
          <w:sz w:val="21"/>
          <w:szCs w:val="21"/>
          <w:b w:val="1"/>
          <w:bCs w:val="1"/>
          <w:color w:val="auto"/>
        </w:rPr>
        <w:t>APV Exclusive Purpose</w:t>
      </w:r>
      <w:r>
        <w:rPr>
          <w:rFonts w:ascii="Times New Roman" w:cs="Times New Roman" w:eastAsia="Times New Roman" w:hAnsi="Times New Roman"/>
          <w:sz w:val="21"/>
          <w:szCs w:val="21"/>
          <w:color w:val="auto"/>
        </w:rPr>
        <w:t>”). The APV Exclusive Purpose may include reimbursements to the Buyer or its relevant Affiliate of an insurance premium or Pension Fund contribution, in each case only to the extent that such reimbursement of premium or contribution relates to payments within the purpose set forth in Section 6.9(d). The Buyer acknowledges that all Restricted Pension Closing Amounts shall be used only for the purpose set forth in Section 6.9(d).</w:t>
      </w:r>
    </w:p>
    <w:p>
      <w:pPr>
        <w:spacing w:after="0" w:line="174" w:lineRule="exact"/>
        <w:rPr>
          <w:rFonts w:ascii="Times New Roman" w:cs="Times New Roman" w:eastAsia="Times New Roman" w:hAnsi="Times New Roman"/>
          <w:sz w:val="21"/>
          <w:szCs w:val="21"/>
          <w:color w:val="auto"/>
        </w:rPr>
      </w:pPr>
    </w:p>
    <w:p>
      <w:pPr>
        <w:jc w:val="both"/>
        <w:ind w:left="-656" w:firstLine="656"/>
        <w:spacing w:after="0" w:line="262" w:lineRule="auto"/>
        <w:tabs>
          <w:tab w:leader="none" w:pos="56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Pension Plan for which (A) due to the inability of the Buyer using reasonable best efforts to establish an Agreed Pension Vehicle because it would not be possible to obtain a written confirmation of the Plan Assets Qualification as set forth in Section 6.9(b)(ii) for such Agreed Pension Vehicle or (B) to change an Agreed Pension Vehicle from an escrow account to another form of Agreed Pension Vehicle, the Buyer may propose an alternative form of Agreed Pension Vehicle to that already set forth in the Agreed Pension Vehicles List for the relevant Pension Plan. Any such proposal from the Buyer to General Motors shall be in writing, delivered in accordance with Section 17.11 and shall propose a form of Agreed Pension Vehicle that satisfies the criteria set forth in Section 6.9(b)(ii). Each Party acknowledges that the Buyer may propose an arrangement under which more than one Agreed Pension Vehicle and/or Individual Escrow Account is to be established for any relevant Pension Plan.</w:t>
      </w:r>
    </w:p>
    <w:p>
      <w:pPr>
        <w:spacing w:after="0" w:line="169" w:lineRule="exact"/>
        <w:rPr>
          <w:rFonts w:ascii="Times New Roman" w:cs="Times New Roman" w:eastAsia="Times New Roman" w:hAnsi="Times New Roman"/>
          <w:sz w:val="21"/>
          <w:szCs w:val="21"/>
          <w:color w:val="auto"/>
        </w:rPr>
      </w:pPr>
    </w:p>
    <w:p>
      <w:pPr>
        <w:jc w:val="both"/>
        <w:ind w:left="-656" w:firstLine="656"/>
        <w:spacing w:after="0" w:line="246" w:lineRule="auto"/>
        <w:tabs>
          <w:tab w:leader="none" w:pos="3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Agreed Pension Vehicle that is a separate escrow account (each, an “</w:t>
      </w:r>
      <w:r>
        <w:rPr>
          <w:rFonts w:ascii="Times New Roman" w:cs="Times New Roman" w:eastAsia="Times New Roman" w:hAnsi="Times New Roman"/>
          <w:sz w:val="22"/>
          <w:szCs w:val="22"/>
          <w:b w:val="1"/>
          <w:bCs w:val="1"/>
          <w:color w:val="auto"/>
        </w:rPr>
        <w:t>Individual Escrow Account</w:t>
      </w:r>
      <w:r>
        <w:rPr>
          <w:rFonts w:ascii="Times New Roman" w:cs="Times New Roman" w:eastAsia="Times New Roman" w:hAnsi="Times New Roman"/>
          <w:sz w:val="22"/>
          <w:szCs w:val="22"/>
          <w:color w:val="auto"/>
        </w:rPr>
        <w:t>”) shall be established with a commercial banking institution, a trust company or any other third-party escrow agent capable of duly administering such escrow account and is not required to satisfy the Plan Assets Qualification. Restricted Pension Closing Amount funds placed in an Individual Escrow Account shall be released to the Buyer (or the applicable Affiliate) exclusively for payment of the applicable benefits to the Employees whose benefits were included in the calculation of the relevant Restricted Pension Closing Amount (the “</w:t>
      </w:r>
      <w:r>
        <w:rPr>
          <w:rFonts w:ascii="Times New Roman" w:cs="Times New Roman" w:eastAsia="Times New Roman" w:hAnsi="Times New Roman"/>
          <w:sz w:val="22"/>
          <w:szCs w:val="22"/>
          <w:b w:val="1"/>
          <w:bCs w:val="1"/>
          <w:color w:val="auto"/>
        </w:rPr>
        <w:t>IEA Exclusive Purpose</w:t>
      </w:r>
      <w:r>
        <w:rPr>
          <w:rFonts w:ascii="Times New Roman" w:cs="Times New Roman" w:eastAsia="Times New Roman" w:hAnsi="Times New Roman"/>
          <w:sz w:val="22"/>
          <w:szCs w:val="22"/>
          <w:color w:val="auto"/>
        </w:rPr>
        <w:t>”). The IEA Exclusive Purpose may include reimbursements to the Buyer or its relevant Affiliate of an insurance premium or Pension Fund contribution, in each case only to the extent that such reimbursement of premium or contribution relates to payments within the purpose set forth in Section 6.9(d). The Buyer or its relevant Affiliate shall use reasonable efforts to procure that the IEA Exclusive Purpose shall be reflected in the documentation establishing the Individual Escrow Account. The Buyer acknowledges that all Restricted Pension Closing Amount shall be used only for the purpose set forth in Section 6.9(d).</w:t>
      </w:r>
    </w:p>
    <w:p>
      <w:pPr>
        <w:spacing w:after="0" w:line="190"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46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of any such proposal pursuant to Section 6.9(b)(iii), General Motors shall be entitled to review the proposal during a 30-day review period for the purpose of verifying that the proposal is in accordance with the requirements of this Agreement. During such period and to the extent necessary, the Buyer shall make itself available to discuss its proposal and shall provide (and shall cause its Affiliates to provide) General Motors with all information about the proposal as may be reasonably required by General Motors. At any time prior to the expiration of the 30-calendar day review period, General Motors may deliver a written notice to the Buyer stating that the Buyer's proposal is not in accordance with the requirements of this Agreement (a “</w:t>
      </w:r>
      <w:r>
        <w:rPr>
          <w:rFonts w:ascii="Times New Roman" w:cs="Times New Roman" w:eastAsia="Times New Roman" w:hAnsi="Times New Roman"/>
          <w:sz w:val="22"/>
          <w:szCs w:val="22"/>
          <w:b w:val="1"/>
          <w:bCs w:val="1"/>
          <w:color w:val="auto"/>
        </w:rPr>
        <w:t>Disputed APV Notice</w:t>
      </w:r>
      <w:r>
        <w:rPr>
          <w:rFonts w:ascii="Times New Roman" w:cs="Times New Roman" w:eastAsia="Times New Roman" w:hAnsi="Times New Roman"/>
          <w:sz w:val="22"/>
          <w:szCs w:val="22"/>
          <w:color w:val="auto"/>
        </w:rPr>
        <w:t>”) and the basis for such objection.</w:t>
      </w:r>
    </w:p>
    <w:p>
      <w:pPr>
        <w:spacing w:after="0" w:line="181" w:lineRule="exact"/>
        <w:rPr>
          <w:rFonts w:ascii="Times New Roman" w:cs="Times New Roman" w:eastAsia="Times New Roman" w:hAnsi="Times New Roman"/>
          <w:sz w:val="22"/>
          <w:szCs w:val="22"/>
          <w:color w:val="auto"/>
        </w:rPr>
      </w:pPr>
    </w:p>
    <w:p>
      <w:pPr>
        <w:ind w:left="-656" w:firstLine="656"/>
        <w:spacing w:after="0" w:line="284" w:lineRule="auto"/>
        <w:tabs>
          <w:tab w:leader="none" w:pos="49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of a Disputed APV Notice by General Motors, the Buyer and General Motors shall use their good faith efforts to resolve the disputed items and determine the terms of the relevant Agreed</w:t>
      </w:r>
    </w:p>
    <w:p>
      <w:pPr>
        <w:sectPr>
          <w:pgSz w:w="11900" w:h="16838" w:orient="portrait"/>
          <w:cols w:equalWidth="0" w:num="1">
            <w:col w:w="10764"/>
          </w:cols>
          <w:pgMar w:left="896" w:top="585" w:right="2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22"/>
          <w:szCs w:val="22"/>
          <w:color w:val="auto"/>
        </w:rPr>
        <w:t>Pension Vehicle or Individual Escrow Account, as applicable, as promptly as practicable. If the Buyer and General Motors fail to reach an agreement upon any such matter within 30 calendar days after delivery of the Disputed APV Notice by General Motors stating any objections as to any such proposal by the Buyer, the disputed items shall be resolved in good faith jointly by the CFOs of the Buyer and General Motors Company within 15 calendar days following the end of such 30-calendar day Disputed APV Notice discussion period.</w:t>
      </w:r>
    </w:p>
    <w:p>
      <w:pPr>
        <w:spacing w:after="0" w:line="181" w:lineRule="exact"/>
        <w:rPr>
          <w:sz w:val="20"/>
          <w:szCs w:val="20"/>
          <w:color w:val="auto"/>
        </w:rPr>
      </w:pPr>
    </w:p>
    <w:p>
      <w:pPr>
        <w:jc w:val="both"/>
        <w:ind w:firstLine="656"/>
        <w:spacing w:after="0" w:line="257" w:lineRule="auto"/>
        <w:tabs>
          <w:tab w:leader="none" w:pos="13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CFOs cannot jointly resolve the disputed items, the relevant portion of the Restricted Pension Closing Amounts shall be contributed into an Individual Escrow Account (such Individual Escrow Account to be established by the Buyer or its relevant Affiliate) that complies with the requirements of this Agreement (including, for the avoidance of doubt, as to the release of funds for the IEA Exclusive Purpose).</w:t>
      </w:r>
    </w:p>
    <w:p>
      <w:pPr>
        <w:spacing w:after="0" w:line="172" w:lineRule="exact"/>
        <w:rPr>
          <w:rFonts w:ascii="Times New Roman" w:cs="Times New Roman" w:eastAsia="Times New Roman" w:hAnsi="Times New Roman"/>
          <w:sz w:val="22"/>
          <w:szCs w:val="22"/>
          <w:color w:val="auto"/>
        </w:rPr>
      </w:pPr>
    </w:p>
    <w:p>
      <w:pPr>
        <w:jc w:val="both"/>
        <w:ind w:firstLine="656"/>
        <w:spacing w:after="0" w:line="248" w:lineRule="auto"/>
        <w:tabs>
          <w:tab w:leader="none" w:pos="13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Buyer acting in good faith and with reasonable best efforts is unable to establish one or more Agreed Pension Vehicles for the relevant Pension Plan within 9 months after the Closing Date (the “</w:t>
      </w:r>
      <w:r>
        <w:rPr>
          <w:rFonts w:ascii="Times New Roman" w:cs="Times New Roman" w:eastAsia="Times New Roman" w:hAnsi="Times New Roman"/>
          <w:sz w:val="22"/>
          <w:szCs w:val="22"/>
          <w:b w:val="1"/>
          <w:bCs w:val="1"/>
          <w:color w:val="auto"/>
        </w:rPr>
        <w:t>Escrow Maturity Date</w:t>
      </w:r>
      <w:r>
        <w:rPr>
          <w:rFonts w:ascii="Times New Roman" w:cs="Times New Roman" w:eastAsia="Times New Roman" w:hAnsi="Times New Roman"/>
          <w:sz w:val="22"/>
          <w:szCs w:val="22"/>
          <w:color w:val="auto"/>
        </w:rPr>
        <w:t>”), the Buyer shall notify General Motors in writing and the Escrow Maturity Date shall be extended under the Pension Escrow Account Agreement for a further 8-month period (the expiration of which being the “</w:t>
      </w:r>
      <w:r>
        <w:rPr>
          <w:rFonts w:ascii="Times New Roman" w:cs="Times New Roman" w:eastAsia="Times New Roman" w:hAnsi="Times New Roman"/>
          <w:sz w:val="22"/>
          <w:szCs w:val="22"/>
          <w:b w:val="1"/>
          <w:bCs w:val="1"/>
          <w:color w:val="auto"/>
        </w:rPr>
        <w:t>Extended Escrow Maturity Date</w:t>
      </w:r>
      <w:r>
        <w:rPr>
          <w:rFonts w:ascii="Times New Roman" w:cs="Times New Roman" w:eastAsia="Times New Roman" w:hAnsi="Times New Roman"/>
          <w:sz w:val="22"/>
          <w:szCs w:val="22"/>
          <w:color w:val="auto"/>
        </w:rPr>
        <w:t>”). To the extent the Buyer acting in good faith and with reasonable best efforts is unable to establish one or more Agreed Pension Vehicles on or before the Extended Escrow Maturity Date, any escrow funds placed under the Pension Escrow Account Agreement in respect of such Agreed Pension Vehicle shall be released and contributed to an Individual Escrow Account, which in this case may be held by New AOAG (and if established by New AOAG shall be held separately from other assets of New AOAG) and used exclusively for the purpose described in Section 6.9(d) as applied to each such Restricted Pension Closing Amount.</w:t>
      </w:r>
    </w:p>
    <w:p>
      <w:pPr>
        <w:spacing w:after="0" w:line="186" w:lineRule="exact"/>
        <w:rPr>
          <w:rFonts w:ascii="Times New Roman" w:cs="Times New Roman" w:eastAsia="Times New Roman" w:hAnsi="Times New Roman"/>
          <w:sz w:val="22"/>
          <w:szCs w:val="22"/>
          <w:color w:val="auto"/>
        </w:rPr>
      </w:pPr>
    </w:p>
    <w:p>
      <w:pPr>
        <w:jc w:val="both"/>
        <w:ind w:firstLine="656"/>
        <w:spacing w:after="0" w:line="249" w:lineRule="auto"/>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notice by the Buyer to General Motors in writing that an Agreed Pension Vehicle or Individual Escrow Account jointly determined in accordance with this Section 6.9 has been established in compliance with the terms of this Agreement, which notice shall include a copy of the Agreed Pension Vehicle or Individual Escrow Account documentation (as applicable) for the purpose of allowing General Motors to confirm the inclusion of the IEA Exclusive Purpose or APV Exclusive Purpose, as applicable, the Parties shall, in accordance with the terms and procedures of the Pension Escrow Account Agreement, release such portion of the Restricted Pension Closing Amounts from the escrow established under the Pension Escrow Account Agreement in accordance with Section 6.9(f), and contribute such portion of the Restricted Pension Closing Amounts into the respective Agreed Pension Vehicle or Individual Escrow Account.</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1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there shall be no change to the APV Exclusive Purpose or the IEA Exclusive Purpose applicable to any Agreed Pension Vehicle or Individual Escrow Account, as applicable, without the prior written consent of General Motors. The Parties acknowledge that if any funds retained in any Buyer CTA, Agreed Pension Vehicle or Individual Escrow Account in respect of any jubilee or termination indemnity benefit which are no longer required for the payment of the applicable jubilee or termination indemnity benefits to the Employees whose benefits were included in the calculation of the relevant portion of the Restricted Pension Closing Amounts deposited thereunder due to termination of such employees prior to receipt of a jubilee payment or prior to qualification for a termination indemnity, such funds shall be available for the Buyer or its respective Affiliate for payment or reimbursement of applicable benefits for other employees under the relevant Pension Plans as so determined by the Buyer’s actuary or auditor or the actuary or auditor of the relevant Affiliate of the Buyer (as the case may be) in good faith. For the avoidance of doubt, all Restricted Pension Closing Amount funds shall be used exclusively for the purpose set forth in Section 6.9(d).</w:t>
      </w:r>
    </w:p>
    <w:p>
      <w:pPr>
        <w:sectPr>
          <w:pgSz w:w="11900" w:h="16838" w:orient="portrait"/>
          <w:cols w:equalWidth="0" w:num="1">
            <w:col w:w="11420"/>
          </w:cols>
          <w:pgMar w:left="240" w:top="585" w:right="239" w:bottom="1440" w:gutter="0" w:footer="0" w:header="0"/>
        </w:sectPr>
      </w:pPr>
    </w:p>
    <w:bookmarkStart w:id="65" w:name="page66"/>
    <w:bookmarkEnd w:id="6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avoidance of doubt, it is being understood that where in any case the funds so released in any Agreed Pension Vehicle, Individual Escrow Account or such long-term escrow account are lower than the relevant portion of the Restricted Pension Closing Payment Amount deposited in escrow due to applicable (negative) interest rates, fees, costs or charges occurring during the time in which the funds are held in escrow, only such lower amount is to be contributed into the relevant Agreed Pension Vehicle, Individual Escrow Account or such long-term escrow account.”</w:t>
      </w:r>
    </w:p>
    <w:p>
      <w:pPr>
        <w:spacing w:after="0" w:line="181" w:lineRule="exact"/>
        <w:rPr>
          <w:sz w:val="20"/>
          <w:szCs w:val="20"/>
          <w:color w:val="auto"/>
        </w:rPr>
      </w:pPr>
    </w:p>
    <w:p>
      <w:pPr>
        <w:ind w:left="2160" w:hanging="747"/>
        <w:spacing w:after="0"/>
        <w:tabs>
          <w:tab w:leader="none" w:pos="2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6.9 is hereby amended as follows to add Section 6.9(f):</w:t>
      </w:r>
    </w:p>
    <w:p>
      <w:pPr>
        <w:spacing w:after="0" w:line="274"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22"/>
          <w:szCs w:val="22"/>
          <w:color w:val="auto"/>
        </w:rPr>
        <w:t>“(i) To the extent that Agreed Pension Vehicles in respect of the Autoco Pension Plans have not been established by the Closing Date as contemplated by the first sentence of Section 6.9(b), General Motors shall, or shall, in the event General Motors has contributed the respective amounts to New AOAG, cause New AOAG to, place the relevant portion of the Buyer Restricted Second Pension Closing Payment Amount into an escrow account established by New AOAG pursuant to the Pension Escrow Account Agreement for which, for the avoidance of doubt, Sections 6.9(b)(i) - (x) and Section 6.9(d) shall apply. For the avoidance of doubt, Sections 10.3 (a), (b) and (c) are, with respect to the relevant portions of the Buyer Restricted Second Pension Closing Amount only, subject to the provisions of this Section 6.9(f).</w:t>
      </w:r>
    </w:p>
    <w:p>
      <w:pPr>
        <w:spacing w:after="0" w:line="181" w:lineRule="exact"/>
        <w:rPr>
          <w:sz w:val="20"/>
          <w:szCs w:val="20"/>
          <w:color w:val="auto"/>
        </w:rPr>
      </w:pPr>
    </w:p>
    <w:p>
      <w:pPr>
        <w:ind w:right="20" w:firstLine="656"/>
        <w:spacing w:after="0" w:line="284" w:lineRule="auto"/>
        <w:tabs>
          <w:tab w:leader="none" w:pos="117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if upon termination of the escrow account established by the Pension Escrow Account Agreement residual amounts are transferred to New AOAG, these shall be used exclusively for the purpose described in 6.9(d).”</w:t>
      </w:r>
    </w:p>
    <w:p>
      <w:pPr>
        <w:spacing w:after="0" w:line="144" w:lineRule="exact"/>
        <w:rPr>
          <w:rFonts w:ascii="Times New Roman" w:cs="Times New Roman" w:eastAsia="Times New Roman" w:hAnsi="Times New Roman"/>
          <w:sz w:val="22"/>
          <w:szCs w:val="22"/>
          <w:color w:val="auto"/>
        </w:rPr>
      </w:pPr>
    </w:p>
    <w:p>
      <w:pPr>
        <w:ind w:left="120" w:firstLine="1293"/>
        <w:spacing w:after="0" w:line="284" w:lineRule="auto"/>
        <w:tabs>
          <w:tab w:leader="none" w:pos="212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6.10, the words “Assets Sellers” and “Assets Seller” shall be deleted and replaced by “Swiss Assets Seller (until the Swiss Closing Date)”.</w:t>
      </w:r>
    </w:p>
    <w:p>
      <w:pPr>
        <w:spacing w:after="0" w:line="184" w:lineRule="exact"/>
        <w:rPr>
          <w:rFonts w:ascii="Times New Roman" w:cs="Times New Roman" w:eastAsia="Times New Roman" w:hAnsi="Times New Roman"/>
          <w:sz w:val="18"/>
          <w:szCs w:val="18"/>
          <w:color w:val="auto"/>
        </w:rPr>
      </w:pPr>
    </w:p>
    <w:p>
      <w:pPr>
        <w:ind w:left="2220" w:hanging="807"/>
        <w:spacing w:after="0"/>
        <w:tabs>
          <w:tab w:leader="none" w:pos="2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6.13(b), the words “Assets Sellers” are hereby deleted and replaced by “Swiss Assets Seller”.</w:t>
      </w:r>
    </w:p>
    <w:p>
      <w:pPr>
        <w:spacing w:after="0" w:line="274"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Amendments to Article 7 of the Master Agreement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Section 7.1(c), the words “the relevant Buyer Designee” are hereby deleted and replaced by “Swiss Newco”.</w:t>
      </w:r>
    </w:p>
    <w:p>
      <w:pPr>
        <w:spacing w:after="0" w:line="220"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Amendments to Article 8 of the Master Agreement</w:t>
      </w:r>
    </w:p>
    <w:p>
      <w:pPr>
        <w:spacing w:after="0" w:line="233" w:lineRule="exact"/>
        <w:rPr>
          <w:sz w:val="20"/>
          <w:szCs w:val="20"/>
          <w:color w:val="auto"/>
        </w:rPr>
      </w:pPr>
    </w:p>
    <w:p>
      <w:pPr>
        <w:ind w:left="2160" w:hanging="747"/>
        <w:spacing w:after="0"/>
        <w:tabs>
          <w:tab w:leader="none" w:pos="2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8.1(a) is hereby amended as follows:</w:t>
      </w:r>
    </w:p>
    <w:p>
      <w:pPr>
        <w:spacing w:after="0" w:line="274" w:lineRule="exact"/>
        <w:rPr>
          <w:sz w:val="20"/>
          <w:szCs w:val="20"/>
          <w:color w:val="auto"/>
        </w:rPr>
      </w:pPr>
    </w:p>
    <w:p>
      <w:pPr>
        <w:jc w:val="both"/>
        <w:ind w:firstLine="621"/>
        <w:spacing w:after="0" w:line="246" w:lineRule="auto"/>
        <w:rPr>
          <w:sz w:val="20"/>
          <w:szCs w:val="20"/>
          <w:color w:val="auto"/>
        </w:rPr>
      </w:pPr>
      <w:r>
        <w:rPr>
          <w:rFonts w:ascii="Times New Roman" w:cs="Times New Roman" w:eastAsia="Times New Roman" w:hAnsi="Times New Roman"/>
          <w:sz w:val="22"/>
          <w:szCs w:val="22"/>
          <w:color w:val="auto"/>
        </w:rPr>
        <w:t>“The Buyer shall bear, or shall cause the relevant Buyer Designee to bear, the cost of any stamp duty, registration duty, real property transfer, transaction duty or similar Tax (including interest, fines and penalties) in all jurisdictions where they are payable in relation to the transfer of the Shares, the Belgian Transactions or the Swiss Transactions or otherwise arising as a result of this Agreement and any other Transaction Document, excluding (i) any of such costs arising as a result of the Pre-Closing Transactions (other than (i) the AOAG Contribution, (ii) the AOAG Sale and (iii) an amount equal to the sum of the aggregate costs that would have been incurred and borne by the Buyer in respect of the Belgian Transactions had they been structured as a transfer of the assets by the Belgian Autocos to the Buyer at Closing and in respect of the Swiss Transactions had they been structured as a transfer of assets by the Swiss Assets Seller to the Buyer at Closing), and (ii) any such costs which comprise Degrouping Taxation, which shall, in each case, be exclusively borne by Seller (such Taxes borne by the Buyer pursuant to this section 8.1(a),“</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85" w:right="239" w:bottom="1440" w:gutter="0" w:footer="0" w:header="0"/>
        </w:sectPr>
      </w:pPr>
    </w:p>
    <w:bookmarkStart w:id="66" w:name="page67"/>
    <w:bookmarkEnd w:id="66"/>
    <w:p>
      <w:pPr>
        <w:ind w:left="120" w:firstLine="1293"/>
        <w:spacing w:after="0" w:line="284" w:lineRule="auto"/>
        <w:tabs>
          <w:tab w:leader="none" w:pos="21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fourth sentence of Section 8.4(a), the words “on any supply or service by General Motors or a Seller (or any of its Affiliates)” are replaced by the words “on the payment of the Purchase Price”.</w:t>
      </w:r>
    </w:p>
    <w:p>
      <w:pPr>
        <w:spacing w:after="0" w:line="184"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8.4(c) and Section 8.4(d) are hereby deleted.</w:t>
      </w:r>
    </w:p>
    <w:p>
      <w:pPr>
        <w:spacing w:after="0" w:line="273" w:lineRule="exact"/>
        <w:rPr>
          <w:rFonts w:ascii="Times New Roman" w:cs="Times New Roman" w:eastAsia="Times New Roman" w:hAnsi="Times New Roman"/>
          <w:sz w:val="18"/>
          <w:szCs w:val="18"/>
          <w:color w:val="auto"/>
        </w:rPr>
      </w:pPr>
    </w:p>
    <w:p>
      <w:pPr>
        <w:jc w:val="both"/>
        <w:ind w:left="120" w:firstLine="1293"/>
        <w:spacing w:after="0" w:line="257" w:lineRule="auto"/>
        <w:tabs>
          <w:tab w:leader="none" w:pos="21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8.5, the words “or Assets Sellers” are hereby replaced by “or AOAG, or the Swiss Assets Seller” and the words “(or for Assets Sellers, not related to the Transferred Assets)” are hereby replaced by “(or for Swiss Assets Seller, not related to the Swiss Transferred Assets and the Swiss Transferred Liabilities, or for AOAG, not related to the AOAG Contributed Assets and AOAG Contributed Liabilities)”.</w:t>
      </w:r>
    </w:p>
    <w:p>
      <w:pPr>
        <w:spacing w:after="0" w:line="212"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last sentence of Section 8.6(a)(ii)(A) is hereby amended as follows:</w:t>
      </w:r>
    </w:p>
    <w:p>
      <w:pPr>
        <w:spacing w:after="0" w:line="274"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22"/>
          <w:szCs w:val="22"/>
          <w:color w:val="auto"/>
        </w:rPr>
        <w:t xml:space="preserve">“To the extent similar mechanisms are available under Belgian and Swiss laws in connection with the transactions to be made pursuant to items 13 and 14 of </w:t>
      </w:r>
      <w:r>
        <w:rPr>
          <w:rFonts w:ascii="Times New Roman" w:cs="Times New Roman" w:eastAsia="Times New Roman" w:hAnsi="Times New Roman"/>
          <w:sz w:val="22"/>
          <w:szCs w:val="22"/>
          <w:b w:val="1"/>
          <w:bCs w:val="1"/>
          <w:color w:val="auto"/>
        </w:rPr>
        <w:t>Exhibit 6.4(a)(ii</w:t>
      </w:r>
      <w:r>
        <w:rPr>
          <w:rFonts w:ascii="Times New Roman" w:cs="Times New Roman" w:eastAsia="Times New Roman" w:hAnsi="Times New Roman"/>
          <w:sz w:val="22"/>
          <w:szCs w:val="22"/>
          <w:color w:val="auto"/>
        </w:rPr>
        <w:t xml:space="preserve">), the Belgian Transactions or the Swiss Transactions, the same position shall be adopted in the relevant Tax Return,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All such Tax Returns will be filed on a timely basis (taking into account available extensions) and all Taxes indicated as due and payable on such Tax Returns filed pursuant to this Section 8.6(a)(ii) shall be paid by the applicable Target Group Company as and when required by law.”</w:t>
      </w:r>
    </w:p>
    <w:p>
      <w:pPr>
        <w:spacing w:after="0" w:line="181" w:lineRule="exact"/>
        <w:rPr>
          <w:sz w:val="20"/>
          <w:szCs w:val="20"/>
          <w:color w:val="auto"/>
        </w:rPr>
      </w:pPr>
    </w:p>
    <w:p>
      <w:pPr>
        <w:ind w:left="2140" w:hanging="727"/>
        <w:spacing w:after="0"/>
        <w:tabs>
          <w:tab w:leader="none" w:pos="2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last sentence of Section 8.6(a)(ii)(B) is hereby amended as follows:</w:t>
      </w:r>
    </w:p>
    <w:p>
      <w:pPr>
        <w:spacing w:after="0" w:line="274"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22"/>
          <w:szCs w:val="22"/>
          <w:color w:val="auto"/>
        </w:rPr>
        <w:t>“For the avoidance of doubt and if, for any reason, (x) any profit pursuant to Sec. 5 para 7 sentence 1 German Income Tax Act (</w:t>
      </w:r>
      <w:r>
        <w:rPr>
          <w:rFonts w:ascii="Times New Roman" w:cs="Times New Roman" w:eastAsia="Times New Roman" w:hAnsi="Times New Roman"/>
          <w:sz w:val="22"/>
          <w:szCs w:val="22"/>
          <w:i w:val="1"/>
          <w:iCs w:val="1"/>
          <w:color w:val="auto"/>
        </w:rPr>
        <w:t>Einkommensteuergesetz</w:t>
      </w:r>
      <w:r>
        <w:rPr>
          <w:rFonts w:ascii="Times New Roman" w:cs="Times New Roman" w:eastAsia="Times New Roman" w:hAnsi="Times New Roman"/>
          <w:sz w:val="22"/>
          <w:szCs w:val="22"/>
          <w:color w:val="auto"/>
        </w:rPr>
        <w:t>) relating to pension liabilities would fall within the Tax Return of a Straddle Period, Buyer and General Motors already agree that such profit shall not be spread pursuant to Sec. 5 para 7 sentence 5 German Income Tax Act (</w:t>
      </w:r>
      <w:r>
        <w:rPr>
          <w:rFonts w:ascii="Times New Roman" w:cs="Times New Roman" w:eastAsia="Times New Roman" w:hAnsi="Times New Roman"/>
          <w:sz w:val="22"/>
          <w:szCs w:val="22"/>
          <w:i w:val="1"/>
          <w:iCs w:val="1"/>
          <w:color w:val="auto"/>
        </w:rPr>
        <w:t>Einkommensteuergesetz</w:t>
      </w:r>
      <w:r>
        <w:rPr>
          <w:rFonts w:ascii="Times New Roman" w:cs="Times New Roman" w:eastAsia="Times New Roman" w:hAnsi="Times New Roman"/>
          <w:sz w:val="22"/>
          <w:szCs w:val="22"/>
          <w:color w:val="auto"/>
        </w:rPr>
        <w:t xml:space="preserve">) but shall rather be realized in full immediately, resulting in a Pre-Closing Tax and (y) to the extent similar mechanisms are available under Belgian and Swiss laws in connection with the transactions to be made pursuant to items 13 and 14 of </w:t>
      </w:r>
      <w:r>
        <w:rPr>
          <w:rFonts w:ascii="Times New Roman" w:cs="Times New Roman" w:eastAsia="Times New Roman" w:hAnsi="Times New Roman"/>
          <w:sz w:val="22"/>
          <w:szCs w:val="22"/>
          <w:b w:val="1"/>
          <w:bCs w:val="1"/>
          <w:color w:val="auto"/>
        </w:rPr>
        <w:t>Exhibit 6.4(a)(ii)</w:t>
      </w:r>
      <w:r>
        <w:rPr>
          <w:rFonts w:ascii="Times New Roman" w:cs="Times New Roman" w:eastAsia="Times New Roman" w:hAnsi="Times New Roman"/>
          <w:sz w:val="22"/>
          <w:szCs w:val="22"/>
          <w:color w:val="auto"/>
        </w:rPr>
        <w:t xml:space="preserve">, the Belgian Transactions or the Swiss Transactions , the same approach as described in clause (x)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120" w:firstLine="1293"/>
        <w:spacing w:after="0" w:line="257" w:lineRule="auto"/>
        <w:tabs>
          <w:tab w:leader="none" w:pos="21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8.7(a), the words “Assets Sellers” are hereby deleted and replaced by “Swiss Assets Seller” and in Section 8.7(a)(x), the words “(including, for the avoidance of doubt, the Belgian Tax Refund and any other Pre-Closing Taxes paid by the Belgian Autocos)” are hereby added between the words “Pre-Closing Taxes paid by the Target Group Companies” and “(or Taxes paid by AOAG…)”.</w:t>
      </w:r>
    </w:p>
    <w:p>
      <w:pPr>
        <w:spacing w:after="0" w:line="212"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new Section 8.9(c) is added to Section 8.9, which shall read as follows:</w:t>
      </w:r>
    </w:p>
    <w:p>
      <w:pPr>
        <w:spacing w:after="0" w:line="274"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“General Motors and the Buyer acknowledge and agree that they will (and will cause their applicable Affiliates to) file all Tax Returns and forms reflecting that the Belgian Partial Demergers were carried out in accordance with the provisions of Book XI, Title II, Chapter III, Section I of the Belgian Company Code and the tax neutrality regime set forth in Articles 211, §1, 212 and 183bis of the Belgian Income Tax Code 1992 and on the basis that any supplies comprised in the Belgian Partial Demergers shall be exempt from VAT under Article 44, §3, 6°-9° of the Belgian VAT Code.”</w:t>
      </w:r>
    </w:p>
    <w:p>
      <w:pPr>
        <w:spacing w:after="0" w:line="181"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Amendments to Article 9 of the Master Agreement</w:t>
      </w:r>
    </w:p>
    <w:p>
      <w:pPr>
        <w:spacing w:after="0" w:line="233" w:lineRule="exact"/>
        <w:rPr>
          <w:sz w:val="20"/>
          <w:szCs w:val="20"/>
          <w:color w:val="auto"/>
        </w:rPr>
      </w:pPr>
    </w:p>
    <w:p>
      <w:pPr>
        <w:ind w:left="2160" w:hanging="747"/>
        <w:spacing w:after="0"/>
        <w:tabs>
          <w:tab w:leader="none" w:pos="2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Paragraph (f) of Section 9.2 is hereby amended as follows:</w:t>
      </w:r>
    </w:p>
    <w:p>
      <w:pPr>
        <w:sectPr>
          <w:pgSz w:w="11900" w:h="16838" w:orient="portrait"/>
          <w:cols w:equalWidth="0" w:num="1">
            <w:col w:w="11420"/>
          </w:cols>
          <w:pgMar w:left="240" w:top="585" w:right="239" w:bottom="1440" w:gutter="0" w:footer="0" w:header="0"/>
        </w:sectPr>
      </w:pPr>
    </w:p>
    <w:bookmarkStart w:id="67" w:name="page68"/>
    <w:bookmarkEnd w:id="67"/>
    <w:p>
      <w:pPr>
        <w:jc w:val="both"/>
        <w:ind w:firstLine="621"/>
        <w:spacing w:after="0" w:line="259" w:lineRule="exact"/>
        <w:rPr>
          <w:sz w:val="20"/>
          <w:szCs w:val="20"/>
          <w:color w:val="auto"/>
        </w:rPr>
      </w:pPr>
      <w:r>
        <w:rPr>
          <w:rFonts w:ascii="Times New Roman" w:cs="Times New Roman" w:eastAsia="Times New Roman" w:hAnsi="Times New Roman"/>
          <w:sz w:val="22"/>
          <w:szCs w:val="22"/>
          <w:color w:val="auto"/>
        </w:rPr>
        <w:t>“the representations and warranties made by General Motors in Sections 4.8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4.10 (</w:t>
      </w:r>
      <w:r>
        <w:rPr>
          <w:rFonts w:ascii="Times New Roman" w:cs="Times New Roman" w:eastAsia="Times New Roman" w:hAnsi="Times New Roman"/>
          <w:sz w:val="22"/>
          <w:szCs w:val="22"/>
          <w:i w:val="1"/>
          <w:iCs w:val="1"/>
          <w:color w:val="auto"/>
        </w:rPr>
        <w:t>Compliance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Laws and Permits</w:t>
      </w:r>
      <w:r>
        <w:rPr>
          <w:rFonts w:ascii="Times New Roman" w:cs="Times New Roman" w:eastAsia="Times New Roman" w:hAnsi="Times New Roman"/>
          <w:sz w:val="22"/>
          <w:szCs w:val="22"/>
          <w:color w:val="auto"/>
        </w:rPr>
        <w:t>) and 4.17 (</w:t>
      </w:r>
      <w:r>
        <w:rPr>
          <w:rFonts w:ascii="Times New Roman" w:cs="Times New Roman" w:eastAsia="Times New Roman" w:hAnsi="Times New Roman"/>
          <w:sz w:val="22"/>
          <w:szCs w:val="22"/>
          <w:i w:val="1"/>
          <w:iCs w:val="1"/>
          <w:color w:val="auto"/>
        </w:rPr>
        <w:t>Sufficiency of Assets</w:t>
      </w:r>
      <w:r>
        <w:rPr>
          <w:rFonts w:ascii="Times New Roman" w:cs="Times New Roman" w:eastAsia="Times New Roman" w:hAnsi="Times New Roman"/>
          <w:sz w:val="22"/>
          <w:szCs w:val="22"/>
          <w:color w:val="auto"/>
        </w:rPr>
        <w:t>) shall be true and correct as of the Closing Date, except to the extent that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failures to be so true and correct in the aggregate would not result in (i) a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cost and/or (ii) an annual recurring cost over a period not to exceed five years from the Closing Date, having in the aggregate a combined cash value impact in excess of 500,000,000 Euro; provided that, for the purposes of determining the accuracy as of the Closing Date of the representation and warranty set forth in Section 4.17 (S</w:t>
      </w:r>
      <w:r>
        <w:rPr>
          <w:rFonts w:ascii="Times New Roman" w:cs="Times New Roman" w:eastAsia="Times New Roman" w:hAnsi="Times New Roman"/>
          <w:sz w:val="22"/>
          <w:szCs w:val="22"/>
          <w:i w:val="1"/>
          <w:iCs w:val="1"/>
          <w:color w:val="auto"/>
        </w:rPr>
        <w:t>ufficiency of Assets</w:t>
      </w:r>
      <w:r>
        <w:rPr>
          <w:rFonts w:ascii="Times New Roman" w:cs="Times New Roman" w:eastAsia="Times New Roman" w:hAnsi="Times New Roman"/>
          <w:sz w:val="22"/>
          <w:szCs w:val="22"/>
          <w:color w:val="auto"/>
        </w:rPr>
        <w:t xml:space="preserve">), the benefits of any AOAG Contributed Asset or Swiss Transferred Asset in respect of which an objection has been received prior to the Closing Date by General Motors, AOAG, the Swiss Assets Seller, any Target Group Company or the Buyer in respect of (i) the contribution of such AOAG Contributed Asset to New AOAG or the transfer of the Swiss Transferred Assets to Swiss Newco, or (ii) the change of control of New AOAG, any Target Group Company or Controlled Dealership Entity (or, where such objection has been received but such Third Party has been notified of the implementation of an Alternate Arrangement in accordance with </w:t>
      </w:r>
      <w:r>
        <w:rPr>
          <w:rFonts w:ascii="Times New Roman" w:cs="Times New Roman" w:eastAsia="Times New Roman" w:hAnsi="Times New Roman"/>
          <w:sz w:val="22"/>
          <w:szCs w:val="22"/>
          <w:b w:val="1"/>
          <w:bCs w:val="1"/>
          <w:color w:val="auto"/>
        </w:rPr>
        <w:t>Exhibit 6.3(d)</w:t>
      </w:r>
      <w:r>
        <w:rPr>
          <w:rFonts w:ascii="Times New Roman" w:cs="Times New Roman" w:eastAsia="Times New Roman" w:hAnsi="Times New Roman"/>
          <w:sz w:val="22"/>
          <w:szCs w:val="22"/>
          <w:color w:val="auto"/>
        </w:rPr>
        <w:t>, an objection has been so received in respect of such Alternate Arrangement) shall be deemed not to be available to the Buyer (or the relevant Buyer Designee) as from the Closing Date unless the Buyer (or the relevant Buyer Designee) or Swiss Newco validly and effectively receives as of the Closing Date the benefits of any such AOAG Contributed Asset or Swiss Transferred Asset on terms and conditions substantially similar to those prevailing prior to the Closing Date, including through an Alternate Arrangement or otherwise through continued performance of General Motors or a Third Party; and”</w:t>
      </w:r>
    </w:p>
    <w:p>
      <w:pPr>
        <w:spacing w:after="0" w:line="194" w:lineRule="exact"/>
        <w:rPr>
          <w:sz w:val="20"/>
          <w:szCs w:val="20"/>
          <w:color w:val="auto"/>
        </w:rPr>
      </w:pPr>
    </w:p>
    <w:p>
      <w:pPr>
        <w:ind w:left="2160" w:hanging="747"/>
        <w:spacing w:after="0"/>
        <w:tabs>
          <w:tab w:leader="none" w:pos="2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following words are added at the end of paragraph (d) of Section 9.1 and at the end of paragraph (g)</w:t>
      </w:r>
    </w:p>
    <w:p>
      <w:pPr>
        <w:spacing w:after="0" w:line="29" w:lineRule="exact"/>
        <w:rPr>
          <w:rFonts w:ascii="Times New Roman" w:cs="Times New Roman" w:eastAsia="Times New Roman" w:hAnsi="Times New Roman"/>
          <w:sz w:val="18"/>
          <w:szCs w:val="18"/>
          <w:color w:val="auto"/>
        </w:rPr>
      </w:pPr>
    </w:p>
    <w:p>
      <w:pPr>
        <w:ind w:left="1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of Section 9.2: “or, with respect to Italy, the relevant Governmental Authority shall have approved in writing the terms of any proposed workaround arrangement in that respect”.</w:t>
      </w:r>
    </w:p>
    <w:p>
      <w:pPr>
        <w:spacing w:after="0" w:line="211"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Amendments to Article 10 of the Master Agreement</w:t>
      </w:r>
    </w:p>
    <w:p>
      <w:pPr>
        <w:spacing w:after="0" w:line="233" w:lineRule="exact"/>
        <w:rPr>
          <w:sz w:val="20"/>
          <w:szCs w:val="20"/>
          <w:color w:val="auto"/>
        </w:rPr>
      </w:pPr>
    </w:p>
    <w:p>
      <w:pPr>
        <w:ind w:left="2160" w:hanging="747"/>
        <w:spacing w:after="0"/>
        <w:tabs>
          <w:tab w:leader="none" w:pos="21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Section 10.2(a)(iii) and in the first paragraph of Section 10.2(c), the reference to “Transferred Assets” is</w:t>
      </w:r>
    </w:p>
    <w:p>
      <w:pPr>
        <w:spacing w:after="0" w:line="4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hereby deleted.</w:t>
      </w:r>
    </w:p>
    <w:p>
      <w:pPr>
        <w:spacing w:after="0" w:line="247" w:lineRule="exact"/>
        <w:rPr>
          <w:rFonts w:ascii="Times New Roman" w:cs="Times New Roman" w:eastAsia="Times New Roman" w:hAnsi="Times New Roman"/>
          <w:sz w:val="17"/>
          <w:szCs w:val="17"/>
          <w:color w:val="auto"/>
        </w:rPr>
      </w:pPr>
    </w:p>
    <w:p>
      <w:pPr>
        <w:ind w:left="2160" w:hanging="747"/>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new sentence is hereby added to the end of Section 10.3(a) as follows:</w:t>
      </w:r>
    </w:p>
    <w:p>
      <w:pPr>
        <w:spacing w:after="0" w:line="2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Parties hereby agree and acknowledge that New AOAG shall cause the respective funds that have been paid by General Motors to it pursuant to this Section 10.3 to be contributed at Closing by New AOAG to the Affiliate that has established the relevant Buyer CTA or Agreed Pension Vehicle (with the exception of the Buyer CTA which shall be established by New AOAG), and Buyer shall procure that any such Affiliate shall, upon receipt, promptly deposit such funds into the relevant Buyer CTA or Agreed Pension Vehicle (as applicable) and further that upon receipt of any funds from the Pension Escrow Account, Buyer shall cause such funds to be contributed to the Affiliate that has established the relevant Agreed Pension Vehicle, and Buyer shall procure that such Affiliate shall, upon receipt, promptly deposit such funds into the relevant Agreed Pension Vehiclie.”</w:t>
      </w:r>
    </w:p>
    <w:p>
      <w:pPr>
        <w:spacing w:after="0" w:line="174"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Amendments to Article 12 of the Master Agreement</w:t>
      </w:r>
    </w:p>
    <w:p>
      <w:pPr>
        <w:spacing w:after="0" w:line="233" w:lineRule="exact"/>
        <w:rPr>
          <w:sz w:val="20"/>
          <w:szCs w:val="20"/>
          <w:color w:val="auto"/>
        </w:rPr>
      </w:pPr>
    </w:p>
    <w:p>
      <w:pPr>
        <w:ind w:left="2160" w:hanging="747"/>
        <w:spacing w:after="0"/>
        <w:tabs>
          <w:tab w:leader="none" w:pos="2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12.1(a), the words “the Transferred Assets” are hereby deleted and replaced by “the Swiss</w:t>
      </w:r>
    </w:p>
    <w:p>
      <w:pPr>
        <w:spacing w:after="0" w:line="2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Transferred Assets”.</w:t>
      </w:r>
    </w:p>
    <w:p>
      <w:pPr>
        <w:spacing w:after="0" w:line="247"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12.1(a)(ii), the word “AOAG" shall be included before the words “Contributed Assets”.</w:t>
      </w:r>
    </w:p>
    <w:p>
      <w:pPr>
        <w:spacing w:after="0" w:line="273" w:lineRule="exact"/>
        <w:rPr>
          <w:rFonts w:ascii="Times New Roman" w:cs="Times New Roman" w:eastAsia="Times New Roman" w:hAnsi="Times New Roman"/>
          <w:sz w:val="18"/>
          <w:szCs w:val="18"/>
          <w:color w:val="auto"/>
        </w:rPr>
      </w:pPr>
    </w:p>
    <w:p>
      <w:pPr>
        <w:ind w:left="2160" w:hanging="747"/>
        <w:spacing w:after="0"/>
        <w:tabs>
          <w:tab w:leader="none" w:pos="2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12.2(c)(vi) is hereby amended as follows:</w:t>
      </w:r>
    </w:p>
    <w:p>
      <w:pPr>
        <w:sectPr>
          <w:pgSz w:w="11900" w:h="16838" w:orient="portrait"/>
          <w:cols w:equalWidth="0" w:num="1">
            <w:col w:w="11420"/>
          </w:cols>
          <w:pgMar w:left="240" w:top="581" w:right="239" w:bottom="1440" w:gutter="0" w:footer="0" w:header="0"/>
        </w:sectPr>
      </w:pPr>
    </w:p>
    <w:bookmarkStart w:id="68" w:name="page69"/>
    <w:bookmarkEnd w:id="68"/>
    <w:p>
      <w:pPr>
        <w:jc w:val="both"/>
        <w:ind w:firstLine="621"/>
        <w:spacing w:after="0" w:line="257" w:lineRule="auto"/>
        <w:rPr>
          <w:sz w:val="20"/>
          <w:szCs w:val="20"/>
          <w:color w:val="auto"/>
        </w:rPr>
      </w:pPr>
      <w:r>
        <w:rPr>
          <w:rFonts w:ascii="Times New Roman" w:cs="Times New Roman" w:eastAsia="Times New Roman" w:hAnsi="Times New Roman"/>
          <w:sz w:val="22"/>
          <w:szCs w:val="22"/>
          <w:color w:val="auto"/>
        </w:rPr>
        <w:t>“retaining and operating any Finco between the First Closing and the Second Closing and, if this Agreement terminates in respect of the Fincos pursuant to Section 10.1(b)(iv), retaining and operating the Fincos for the purpose of their orderly liquidation; or”</w:t>
      </w:r>
    </w:p>
    <w:p>
      <w:pPr>
        <w:spacing w:after="0" w:line="173" w:lineRule="exact"/>
        <w:rPr>
          <w:sz w:val="20"/>
          <w:szCs w:val="20"/>
          <w:color w:val="auto"/>
        </w:rPr>
      </w:pPr>
    </w:p>
    <w:p>
      <w:pPr>
        <w:ind w:left="120" w:right="20" w:firstLine="1293"/>
        <w:spacing w:after="0" w:line="284" w:lineRule="auto"/>
        <w:tabs>
          <w:tab w:leader="none" w:pos="21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12.4(a)(ii)(A), the words “, or the Transferred Assets and Transferred Liabilities” are hereby deleted and replaced by “, or the Swiss Transferred Assets and Swiss Transferred Liabilities”.</w:t>
      </w:r>
    </w:p>
    <w:p>
      <w:pPr>
        <w:spacing w:after="0" w:line="184" w:lineRule="exact"/>
        <w:rPr>
          <w:rFonts w:ascii="Times New Roman" w:cs="Times New Roman" w:eastAsia="Times New Roman" w:hAnsi="Times New Roman"/>
          <w:sz w:val="18"/>
          <w:szCs w:val="18"/>
          <w:color w:val="auto"/>
        </w:rPr>
      </w:pPr>
    </w:p>
    <w:p>
      <w:pPr>
        <w:jc w:val="both"/>
        <w:ind w:left="120" w:firstLine="1293"/>
        <w:spacing w:after="0" w:line="257" w:lineRule="auto"/>
        <w:tabs>
          <w:tab w:leader="none" w:pos="21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12.6, the words “the Buyer (or a Buyer Designee)” and “the relevant Buyer Designee” are hereby deleted and replaced by “Swiss Newco”, the words “Transferred Assets” are hereby deleted and replaced by “Swiss Transferred Assets”, the words “Closing Date” are hereby deleted and replaced by “Swiss Closing Date” and the words “relevant Assets Seller” or “Assets Sellers” are hereby deleted and replaced by “Swiss Assets Seller”.</w:t>
      </w:r>
    </w:p>
    <w:p>
      <w:pPr>
        <w:spacing w:after="0" w:line="212" w:lineRule="exact"/>
        <w:rPr>
          <w:rFonts w:ascii="Times New Roman" w:cs="Times New Roman" w:eastAsia="Times New Roman" w:hAnsi="Times New Roman"/>
          <w:sz w:val="18"/>
          <w:szCs w:val="18"/>
          <w:color w:val="auto"/>
        </w:rPr>
      </w:pPr>
    </w:p>
    <w:p>
      <w:pPr>
        <w:ind w:left="2140" w:hanging="727"/>
        <w:spacing w:after="0"/>
        <w:tabs>
          <w:tab w:leader="none" w:pos="2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new Section 12.11 is added to Article 12, which shall read as follows:</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Transitional Accounting Services</w:t>
      </w:r>
    </w:p>
    <w:p>
      <w:pPr>
        <w:spacing w:after="0" w:line="220" w:lineRule="exact"/>
        <w:rPr>
          <w:sz w:val="20"/>
          <w:szCs w:val="20"/>
          <w:color w:val="auto"/>
        </w:rPr>
      </w:pPr>
    </w:p>
    <w:p>
      <w:pPr>
        <w:jc w:val="both"/>
        <w:ind w:firstLine="621"/>
        <w:spacing w:after="0" w:line="252" w:lineRule="auto"/>
        <w:rPr>
          <w:sz w:val="20"/>
          <w:szCs w:val="20"/>
          <w:color w:val="auto"/>
        </w:rPr>
      </w:pPr>
      <w:r>
        <w:rPr>
          <w:rFonts w:ascii="Times New Roman" w:cs="Times New Roman" w:eastAsia="Times New Roman" w:hAnsi="Times New Roman"/>
          <w:sz w:val="22"/>
          <w:szCs w:val="22"/>
          <w:color w:val="auto"/>
        </w:rPr>
        <w:t xml:space="preserve">During a period of 90 days after the Closing Date (or, if applicable, the First Closing Date), General Motors (or its Affiliates) shall provide to the Buyer (or its Affiliates) the services identified in paragraph A of </w:t>
      </w:r>
      <w:r>
        <w:rPr>
          <w:rFonts w:ascii="Times New Roman" w:cs="Times New Roman" w:eastAsia="Times New Roman" w:hAnsi="Times New Roman"/>
          <w:sz w:val="22"/>
          <w:szCs w:val="22"/>
          <w:b w:val="1"/>
          <w:bCs w:val="1"/>
          <w:color w:val="auto"/>
        </w:rPr>
        <w:t>Exhibit 12.11</w:t>
      </w:r>
      <w:r>
        <w:rPr>
          <w:rFonts w:ascii="Times New Roman" w:cs="Times New Roman" w:eastAsia="Times New Roman" w:hAnsi="Times New Roman"/>
          <w:sz w:val="22"/>
          <w:szCs w:val="22"/>
          <w:color w:val="auto"/>
        </w:rPr>
        <w:t xml:space="preserve"> and the Buyer (or its Affiliates) shall provide to General Motors (or its Affiliates) the services identified in paragraph B of </w:t>
      </w:r>
      <w:r>
        <w:rPr>
          <w:rFonts w:ascii="Times New Roman" w:cs="Times New Roman" w:eastAsia="Times New Roman" w:hAnsi="Times New Roman"/>
          <w:sz w:val="22"/>
          <w:szCs w:val="22"/>
          <w:b w:val="1"/>
          <w:bCs w:val="1"/>
          <w:color w:val="auto"/>
        </w:rPr>
        <w:t>Exhibit 12.11</w:t>
      </w:r>
      <w:r>
        <w:rPr>
          <w:rFonts w:ascii="Times New Roman" w:cs="Times New Roman" w:eastAsia="Times New Roman" w:hAnsi="Times New Roman"/>
          <w:sz w:val="22"/>
          <w:szCs w:val="22"/>
          <w:color w:val="auto"/>
        </w:rPr>
        <w:t>. The costs or expenses incurred by any Party in relation to such services shall not be charged to the other Party.”</w:t>
      </w:r>
    </w:p>
    <w:p>
      <w:pPr>
        <w:spacing w:after="0" w:line="180" w:lineRule="exact"/>
        <w:rPr>
          <w:sz w:val="20"/>
          <w:szCs w:val="20"/>
          <w:color w:val="auto"/>
        </w:rPr>
      </w:pPr>
    </w:p>
    <w:p>
      <w:pPr>
        <w:ind w:left="2160" w:hanging="747"/>
        <w:spacing w:after="0"/>
        <w:tabs>
          <w:tab w:leader="none" w:pos="2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new Section 12.12 is added to Article 12, which shall read as follows:</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Transactions</w:t>
      </w:r>
    </w:p>
    <w:p>
      <w:pPr>
        <w:spacing w:after="0" w:line="220" w:lineRule="exact"/>
        <w:rPr>
          <w:sz w:val="20"/>
          <w:szCs w:val="20"/>
          <w:color w:val="auto"/>
        </w:rPr>
      </w:pPr>
    </w:p>
    <w:p>
      <w:pPr>
        <w:ind w:firstLine="621"/>
        <w:spacing w:after="0" w:line="271" w:lineRule="auto"/>
        <w:rPr>
          <w:sz w:val="20"/>
          <w:szCs w:val="20"/>
          <w:color w:val="auto"/>
        </w:rPr>
      </w:pPr>
      <w:r>
        <w:rPr>
          <w:rFonts w:ascii="Times New Roman" w:cs="Times New Roman" w:eastAsia="Times New Roman" w:hAnsi="Times New Roman"/>
          <w:sz w:val="22"/>
          <w:szCs w:val="22"/>
          <w:color w:val="auto"/>
        </w:rPr>
        <w:t xml:space="preserve">As soon as possible after the Closing, the Parties shall cause the implementation of the Belgian Transactions to be performed after the Closing Date in accordance with </w:t>
      </w:r>
      <w:r>
        <w:rPr>
          <w:rFonts w:ascii="Times New Roman" w:cs="Times New Roman" w:eastAsia="Times New Roman" w:hAnsi="Times New Roman"/>
          <w:sz w:val="22"/>
          <w:szCs w:val="22"/>
          <w:b w:val="1"/>
          <w:bCs w:val="1"/>
          <w:color w:val="auto"/>
        </w:rPr>
        <w:t>Exhibit 6.4(g)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Amendments to Article 13 of the Master Agreement</w:t>
      </w:r>
    </w:p>
    <w:p>
      <w:pPr>
        <w:spacing w:after="0" w:line="233" w:lineRule="exact"/>
        <w:rPr>
          <w:sz w:val="20"/>
          <w:szCs w:val="20"/>
          <w:color w:val="auto"/>
        </w:rPr>
      </w:pPr>
    </w:p>
    <w:p>
      <w:pPr>
        <w:jc w:val="both"/>
        <w:ind w:left="660" w:firstLine="1293"/>
        <w:spacing w:after="0" w:line="251" w:lineRule="auto"/>
        <w:tabs>
          <w:tab w:leader="none" w:pos="28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13.2(a) is hereby amended as follows: “General Motors and the Buyer shall reasonably cooperate to effect as soon as practicable (i) the vehicle convergence plan (the “</w:t>
      </w:r>
      <w:r>
        <w:rPr>
          <w:rFonts w:ascii="Times New Roman" w:cs="Times New Roman" w:eastAsia="Times New Roman" w:hAnsi="Times New Roman"/>
          <w:sz w:val="22"/>
          <w:szCs w:val="22"/>
          <w:b w:val="1"/>
          <w:bCs w:val="1"/>
          <w:color w:val="auto"/>
        </w:rPr>
        <w:t>Vehicle Convergence Plan</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b w:val="1"/>
          <w:bCs w:val="1"/>
          <w:color w:val="auto"/>
        </w:rPr>
        <w:t xml:space="preserve">Exhibit 13.2(a)(i) </w:t>
      </w:r>
      <w:r>
        <w:rPr>
          <w:rFonts w:ascii="Times New Roman" w:cs="Times New Roman" w:eastAsia="Times New Roman" w:hAnsi="Times New Roman"/>
          <w:sz w:val="22"/>
          <w:szCs w:val="22"/>
          <w:color w:val="auto"/>
        </w:rPr>
        <w:t>and (ii) the propulsion convergence plan (the “</w:t>
      </w:r>
      <w:r>
        <w:rPr>
          <w:rFonts w:ascii="Times New Roman" w:cs="Times New Roman" w:eastAsia="Times New Roman" w:hAnsi="Times New Roman"/>
          <w:sz w:val="22"/>
          <w:szCs w:val="22"/>
          <w:b w:val="1"/>
          <w:bCs w:val="1"/>
          <w:color w:val="auto"/>
        </w:rPr>
        <w:t>Propulsion Convergence Plan</w:t>
      </w:r>
      <w:r>
        <w:rPr>
          <w:rFonts w:ascii="Times New Roman" w:cs="Times New Roman" w:eastAsia="Times New Roman" w:hAnsi="Times New Roman"/>
          <w:sz w:val="22"/>
          <w:szCs w:val="22"/>
          <w:color w:val="auto"/>
        </w:rPr>
        <w:t>”) set forth on</w:t>
      </w:r>
      <w:r>
        <w:rPr>
          <w:rFonts w:ascii="Times New Roman" w:cs="Times New Roman" w:eastAsia="Times New Roman" w:hAnsi="Times New Roman"/>
          <w:sz w:val="22"/>
          <w:szCs w:val="22"/>
          <w:b w:val="1"/>
          <w:bCs w:val="1"/>
          <w:color w:val="auto"/>
        </w:rPr>
        <w:t xml:space="preserve"> Exhibit 13.2(a)(ii) </w:t>
      </w:r>
      <w:r>
        <w:rPr>
          <w:rFonts w:ascii="Times New Roman" w:cs="Times New Roman" w:eastAsia="Times New Roman" w:hAnsi="Times New Roman"/>
          <w:sz w:val="22"/>
          <w:szCs w:val="22"/>
          <w:color w:val="auto"/>
        </w:rPr>
        <w:t>(the Vehicle Convergence Plan and the Propulsion Convergence Plan, together the “</w:t>
      </w:r>
      <w:r>
        <w:rPr>
          <w:rFonts w:ascii="Times New Roman" w:cs="Times New Roman" w:eastAsia="Times New Roman" w:hAnsi="Times New Roman"/>
          <w:sz w:val="22"/>
          <w:szCs w:val="22"/>
          <w:b w:val="1"/>
          <w:bCs w:val="1"/>
          <w:color w:val="auto"/>
        </w:rPr>
        <w:t>Convergence Plan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limiting the foregoing, the Buyer shall (and shall cause its Affiliates to) use its reasonable best efforts to support AOAG’s transition to the Buyer’s Intellectual Property as memorialized in such Convergence Plan.”</w:t>
      </w:r>
    </w:p>
    <w:p>
      <w:pPr>
        <w:spacing w:after="0" w:line="222" w:lineRule="exact"/>
        <w:rPr>
          <w:rFonts w:ascii="Times New Roman" w:cs="Times New Roman" w:eastAsia="Times New Roman" w:hAnsi="Times New Roman"/>
          <w:sz w:val="18"/>
          <w:szCs w:val="18"/>
          <w:color w:val="auto"/>
        </w:rPr>
      </w:pPr>
    </w:p>
    <w:p>
      <w:pPr>
        <w:jc w:val="both"/>
        <w:ind w:firstLine="1305"/>
        <w:spacing w:after="0" w:line="268" w:lineRule="auto"/>
        <w:tabs>
          <w:tab w:leader="none" w:pos="215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A new paragraph (d) is hereby added to Section 13.2, which shall read as follows: “The Parties agree to facilitate the continued cooperation of the Parties to participate in the exchange of information and data as well as the processing / recording of payments to individuals and remittances of tax information to the appropriate tax authorities on an as needed basis until such time as both Parties will agree in writing that this is no longer required. The Parties agree to designate a point of contact and a process to initiate said exchanges and transactions and neither of the Parties will unduly withhold the agreed services.”</w:t>
      </w:r>
    </w:p>
    <w:p>
      <w:pPr>
        <w:spacing w:after="0" w:line="205"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Amendments to Article 14 of the Master Agreement</w:t>
      </w:r>
    </w:p>
    <w:p>
      <w:pPr>
        <w:sectPr>
          <w:pgSz w:w="11900" w:h="16838" w:orient="portrait"/>
          <w:cols w:equalWidth="0" w:num="1">
            <w:col w:w="11420"/>
          </w:cols>
          <w:pgMar w:left="240" w:top="841" w:right="239" w:bottom="1440" w:gutter="0" w:footer="0" w:header="0"/>
        </w:sectPr>
      </w:pPr>
    </w:p>
    <w:bookmarkStart w:id="69" w:name="page70"/>
    <w:bookmarkEnd w:id="69"/>
    <w:p>
      <w:pPr>
        <w:jc w:val="both"/>
        <w:ind w:left="120" w:right="20" w:firstLine="1293"/>
        <w:spacing w:after="0" w:line="257" w:lineRule="auto"/>
        <w:tabs>
          <w:tab w:leader="none" w:pos="21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14.1(a)(iii), the words “to which such payment relates” are added between “the relevant given set of Shares” and “(meaning, for the purposes of this Section…”; the words “or the relevant set of Transferred Assets to which such payment relates” and “or a set of Transferred Assets” are hereby deleted and the reference to “Section 14.1(a)(iv)” is hereby deleted and replaced by “Section 14.1(b)”.</w:t>
      </w:r>
    </w:p>
    <w:p>
      <w:pPr>
        <w:spacing w:after="0" w:line="212" w:lineRule="exact"/>
        <w:rPr>
          <w:rFonts w:ascii="Times New Roman" w:cs="Times New Roman" w:eastAsia="Times New Roman" w:hAnsi="Times New Roman"/>
          <w:sz w:val="18"/>
          <w:szCs w:val="18"/>
          <w:color w:val="auto"/>
        </w:rPr>
      </w:pPr>
    </w:p>
    <w:p>
      <w:pPr>
        <w:jc w:val="both"/>
        <w:ind w:left="120" w:firstLine="1293"/>
        <w:spacing w:after="0" w:line="252" w:lineRule="auto"/>
        <w:tabs>
          <w:tab w:leader="none" w:pos="21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14.1(b), the words “or Transferred Assets”, “or set of Transferred Assets” and “or a given set of Transferred Assets” are hereby deleted, and the last sentence “Any disclosure made with respect to, or against a given representation of General Motors is deemed to be made with respect to, and against all the other representations of General Motors.” is hereby deleted.</w:t>
      </w:r>
    </w:p>
    <w:p>
      <w:pPr>
        <w:spacing w:after="0" w:line="1" w:lineRule="exact"/>
        <w:rPr>
          <w:rFonts w:ascii="Times New Roman" w:cs="Times New Roman" w:eastAsia="Times New Roman" w:hAnsi="Times New Roman"/>
          <w:sz w:val="18"/>
          <w:szCs w:val="18"/>
          <w:color w:val="auto"/>
        </w:rPr>
      </w:pPr>
    </w:p>
    <w:p>
      <w:pPr>
        <w:jc w:val="both"/>
        <w:ind w:left="120" w:firstLine="1293"/>
        <w:spacing w:after="0" w:line="252" w:lineRule="auto"/>
        <w:tabs>
          <w:tab w:leader="none" w:pos="21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new Section 14.1(bb) is inserted as follows: “(bb) Any disclosure made with respect to, or against a given representation of General Motors is deemed to be made with respect to, and against all the other representations of General Motors.”</w:t>
      </w:r>
    </w:p>
    <w:p>
      <w:pPr>
        <w:spacing w:after="0" w:line="219" w:lineRule="exact"/>
        <w:rPr>
          <w:rFonts w:ascii="Times New Roman" w:cs="Times New Roman" w:eastAsia="Times New Roman" w:hAnsi="Times New Roman"/>
          <w:sz w:val="18"/>
          <w:szCs w:val="18"/>
          <w:color w:val="auto"/>
        </w:rPr>
      </w:pPr>
    </w:p>
    <w:p>
      <w:pPr>
        <w:ind w:left="120" w:firstLine="1293"/>
        <w:spacing w:after="0" w:line="284" w:lineRule="auto"/>
        <w:tabs>
          <w:tab w:leader="none" w:pos="21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first sentence of Section 14.4, the words “, Transferred Asset, Shares, or Transferred Liability” are hereby deleted and replaced by “or the Shares”.</w:t>
      </w:r>
    </w:p>
    <w:p>
      <w:pPr>
        <w:spacing w:after="0" w:line="185"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Amendments to Article 15 of the Master Agreement</w:t>
      </w:r>
    </w:p>
    <w:p>
      <w:pPr>
        <w:spacing w:after="0" w:line="233" w:lineRule="exact"/>
        <w:rPr>
          <w:sz w:val="20"/>
          <w:szCs w:val="20"/>
          <w:color w:val="auto"/>
        </w:rPr>
      </w:pPr>
    </w:p>
    <w:p>
      <w:pPr>
        <w:ind w:left="2160" w:hanging="747"/>
        <w:spacing w:after="0"/>
        <w:tabs>
          <w:tab w:leader="none" w:pos="2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paragraph (b) of Section 15.1, the words “Transferred Assets or Transferred Liabilities” are hereby</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deleted.</w:t>
      </w:r>
    </w:p>
    <w:p>
      <w:pPr>
        <w:spacing w:after="0" w:line="248" w:lineRule="exact"/>
        <w:rPr>
          <w:sz w:val="20"/>
          <w:szCs w:val="20"/>
          <w:color w:val="auto"/>
        </w:rPr>
      </w:pPr>
    </w:p>
    <w:p>
      <w:pPr>
        <w:ind w:left="2160" w:hanging="747"/>
        <w:spacing w:after="0"/>
        <w:tabs>
          <w:tab w:leader="none" w:pos="2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Item (z) of the third paragraph of Section 15.1 is hereby amended as follows:</w:t>
      </w:r>
    </w:p>
    <w:p>
      <w:pPr>
        <w:spacing w:after="0" w:line="274" w:lineRule="exact"/>
        <w:rPr>
          <w:sz w:val="20"/>
          <w:szCs w:val="20"/>
          <w:color w:val="auto"/>
        </w:rPr>
      </w:pPr>
    </w:p>
    <w:p>
      <w:pPr>
        <w:ind w:right="20" w:firstLine="621"/>
        <w:spacing w:after="0" w:line="271" w:lineRule="auto"/>
        <w:rPr>
          <w:sz w:val="20"/>
          <w:szCs w:val="20"/>
          <w:color w:val="auto"/>
        </w:rPr>
      </w:pPr>
      <w:r>
        <w:rPr>
          <w:rFonts w:ascii="Times New Roman" w:cs="Times New Roman" w:eastAsia="Times New Roman" w:hAnsi="Times New Roman"/>
          <w:sz w:val="22"/>
          <w:szCs w:val="22"/>
          <w:color w:val="auto"/>
        </w:rPr>
        <w:t>“shall be allocated to the purchase price of the Shares of each Target Group Company or Controlled Dealership Entity, to which such payment related (and the Parties shall notify each other and cooperate in reflecting such payment).”</w:t>
      </w:r>
    </w:p>
    <w:p>
      <w:pPr>
        <w:spacing w:after="0" w:line="158" w:lineRule="exact"/>
        <w:rPr>
          <w:sz w:val="20"/>
          <w:szCs w:val="20"/>
          <w:color w:val="auto"/>
        </w:rPr>
      </w:pPr>
    </w:p>
    <w:p>
      <w:pPr>
        <w:ind w:left="2160" w:hanging="747"/>
        <w:spacing w:after="0"/>
        <w:tabs>
          <w:tab w:leader="none" w:pos="2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15.3 is hereby amended as follows:</w:t>
      </w:r>
    </w:p>
    <w:p>
      <w:pPr>
        <w:spacing w:after="0" w:line="27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“Any Sellers’ Claim pursuant to Section 15.1(a) may give rise to indemnification only if notified by General Motors to the Buyer prior to the expiration of an 18-month period following the Closing Date. Any Sellers’ Claim pursuant to Section 15.1(d) may give rise to indemnification only if notified by General Motors to the Buyer prior to the end of a 3-month period after the expiration of a 10-year period following the Closing Date. Any Sellers’ Claim pursuant to Section 15.1(c) may give rise to indemnification only if notified by General Motors to the Buyer prior to the expiration of a 6-month period following the full satisfaction of the indebtedness, loan, or Derivative Transaction underlying the applicable guarantee. Any Sellers’ Claim pursuant to Sections 15.1(b), 15.1(e), 15.1(f) and 15.1(g) may give rise to indemnification only if notified by General Motors to the Buyer prior to the end of a 3-month period following the expiration of the applicable statute of limitations.”</w:t>
      </w:r>
    </w:p>
    <w:p>
      <w:pPr>
        <w:spacing w:after="0" w:line="186" w:lineRule="exact"/>
        <w:rPr>
          <w:sz w:val="20"/>
          <w:szCs w:val="20"/>
          <w:color w:val="auto"/>
        </w:rPr>
      </w:pPr>
    </w:p>
    <w:p>
      <w:pPr>
        <w:ind w:left="380" w:right="580" w:firstLine="1033"/>
        <w:spacing w:after="0" w:line="491" w:lineRule="auto"/>
        <w:tabs>
          <w:tab w:leader="none" w:pos="21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Section 15.8, the words ”the Transferred Assets or the Transferred Liabilities” are hereby deleted. 2.14 </w:t>
      </w:r>
      <w:r>
        <w:rPr>
          <w:rFonts w:ascii="Times New Roman" w:cs="Times New Roman" w:eastAsia="Times New Roman" w:hAnsi="Times New Roman"/>
          <w:sz w:val="22"/>
          <w:szCs w:val="22"/>
          <w:u w:val="single" w:color="auto"/>
          <w:color w:val="auto"/>
        </w:rPr>
        <w:t>Amendments to Article 17 of the Master Agreement</w:t>
      </w:r>
    </w:p>
    <w:p>
      <w:pPr>
        <w:ind w:left="1420"/>
        <w:spacing w:after="0"/>
        <w:rPr>
          <w:sz w:val="20"/>
          <w:szCs w:val="20"/>
          <w:color w:val="auto"/>
        </w:rPr>
      </w:pPr>
      <w:r>
        <w:rPr>
          <w:rFonts w:ascii="Times New Roman" w:cs="Times New Roman" w:eastAsia="Times New Roman" w:hAnsi="Times New Roman"/>
          <w:sz w:val="18"/>
          <w:szCs w:val="18"/>
          <w:color w:val="auto"/>
        </w:rPr>
        <w:t>(l)</w:t>
      </w:r>
    </w:p>
    <w:p>
      <w:pPr>
        <w:spacing w:after="0" w:line="27" w:lineRule="exact"/>
        <w:rPr>
          <w:sz w:val="20"/>
          <w:szCs w:val="20"/>
          <w:color w:val="auto"/>
        </w:rPr>
      </w:pPr>
    </w:p>
    <w:p>
      <w:pPr>
        <w:ind w:left="1300" w:right="2620" w:firstLine="113"/>
        <w:spacing w:after="0" w:line="527" w:lineRule="auto"/>
        <w:tabs>
          <w:tab w:leader="none" w:pos="21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17.11, the following is added at the end of “75116, Paris, France”: “As from September 1, 2017</w:t>
      </w:r>
    </w:p>
    <w:p>
      <w:pPr>
        <w:sectPr>
          <w:pgSz w:w="11900" w:h="16838" w:orient="portrait"/>
          <w:cols w:equalWidth="0" w:num="1">
            <w:col w:w="11420"/>
          </w:cols>
          <w:pgMar w:left="240" w:top="585" w:right="2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22"/>
          <w:szCs w:val="22"/>
          <w:color w:val="auto"/>
        </w:rPr>
        <w:t>Peugeot SA</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 rue Henri Sainte-Claire Deville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CS 60125 - 92563 RUEIL-MALMAISON CEDEX”.</w:t>
      </w:r>
    </w:p>
    <w:p>
      <w:pPr>
        <w:spacing w:after="0" w:line="196" w:lineRule="exact"/>
        <w:rPr>
          <w:sz w:val="20"/>
          <w:szCs w:val="20"/>
          <w:color w:val="auto"/>
        </w:rPr>
      </w:pPr>
    </w:p>
    <w:p>
      <w:pPr>
        <w:ind w:left="120" w:firstLine="1293"/>
        <w:spacing w:after="0" w:line="284" w:lineRule="auto"/>
        <w:tabs>
          <w:tab w:leader="none" w:pos="21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Section 17.7, the words “or the Transferred Assets and the Transferred Liabilities”, “or Transferred Assets” and “or in relation to the Transferred Assets” are hereby deleted.</w:t>
      </w:r>
    </w:p>
    <w:p>
      <w:pPr>
        <w:spacing w:after="0" w:line="184" w:lineRule="exact"/>
        <w:rPr>
          <w:rFonts w:ascii="Times New Roman" w:cs="Times New Roman" w:eastAsia="Times New Roman" w:hAnsi="Times New Roman"/>
          <w:sz w:val="18"/>
          <w:szCs w:val="18"/>
          <w:color w:val="auto"/>
        </w:rPr>
      </w:pPr>
    </w:p>
    <w:p>
      <w:pPr>
        <w:jc w:val="both"/>
        <w:ind w:left="120" w:firstLine="1293"/>
        <w:spacing w:after="0" w:line="249" w:lineRule="auto"/>
        <w:tabs>
          <w:tab w:leader="none" w:pos="21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Section 17.9 of the Agreement is hereby amended and replaced in its entirety by the following: “For purposes of this Agreement (i) amounts received by, or paid by, General Motors pursuant to this Agreement shall be received by, or paid by, General Motors as agent for the relevant Sellers (provided however that nothing in this Section 17.9 shall be read as limiting the liability of General Motors with respect to the Buyer and its Affiliates) and (ii) amounts received by, or paid by, the Buyer pursuant to this Agreement, excluding amounts received by Buyer pursuant to Section 3.3(b), Section 10.3(b), or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shall be received by, or paid by, the Buyer as agent for the relevant Buyer Designee and the licensee, in respect of the fraction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Purchase Price allocated to the granting of the IP License Agreement (provided however that nothing in this Section 17.9 shall be read as limiting the liability of Buyer with respect to the General Motors and its Affiliates).”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AMENDMENTS TO exhibits; ANCILLARY AGREEMENTS</w:t>
      </w:r>
    </w:p>
    <w:p>
      <w:pPr>
        <w:spacing w:after="0" w:line="196"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Exhibit 4.5</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 xml:space="preserve">Exhibit 4.5 </w:t>
      </w:r>
      <w:r>
        <w:rPr>
          <w:rFonts w:ascii="Times New Roman" w:cs="Times New Roman" w:eastAsia="Times New Roman" w:hAnsi="Times New Roman"/>
          <w:sz w:val="22"/>
          <w:szCs w:val="22"/>
          <w:color w:val="auto"/>
        </w:rPr>
        <w:t>of the Master Agreement is hereby deleted.</w:t>
      </w:r>
    </w:p>
    <w:p>
      <w:pPr>
        <w:spacing w:after="0" w:line="224"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Exhibit 4.8</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The “Autoco Special Purpose Financial Schedules - Balance Sheet” for the year ended December 31, 2016 included as part of the Autoco Special Purpose Financial Schedules in </w:t>
      </w:r>
      <w:r>
        <w:rPr>
          <w:rFonts w:ascii="Times New Roman" w:cs="Times New Roman" w:eastAsia="Times New Roman" w:hAnsi="Times New Roman"/>
          <w:sz w:val="21"/>
          <w:szCs w:val="21"/>
          <w:b w:val="1"/>
          <w:bCs w:val="1"/>
          <w:color w:val="auto"/>
        </w:rPr>
        <w:t>Exhibit 4.8</w:t>
      </w:r>
      <w:r>
        <w:rPr>
          <w:rFonts w:ascii="Times New Roman" w:cs="Times New Roman" w:eastAsia="Times New Roman" w:hAnsi="Times New Roman"/>
          <w:sz w:val="21"/>
          <w:szCs w:val="21"/>
          <w:color w:val="auto"/>
        </w:rPr>
        <w:t xml:space="preserve"> of the Master Agreement reported USD 3,732 million of deferred income tax assets (“</w:t>
      </w:r>
      <w:r>
        <w:rPr>
          <w:rFonts w:ascii="Times New Roman" w:cs="Times New Roman" w:eastAsia="Times New Roman" w:hAnsi="Times New Roman"/>
          <w:sz w:val="21"/>
          <w:szCs w:val="21"/>
          <w:b w:val="1"/>
          <w:bCs w:val="1"/>
          <w:color w:val="auto"/>
        </w:rPr>
        <w:t>DTAs</w:t>
      </w:r>
      <w:r>
        <w:rPr>
          <w:rFonts w:ascii="Times New Roman" w:cs="Times New Roman" w:eastAsia="Times New Roman" w:hAnsi="Times New Roman"/>
          <w:sz w:val="21"/>
          <w:szCs w:val="21"/>
          <w:color w:val="auto"/>
        </w:rPr>
        <w:t>”), of which USD 2,681 million were reported as a preliminary estimate of the non-transferrable DTAs and USD 1,048 million were reported as the DTAs that would transfer to the Autoco Contributed Entities Perimeter. As a result of the AOAG Contribution, the non-transferrable DTA balance has been decreased by USD 799 million primarily relating to post-closing deductions for pension payments (USD 507 million) and timing differences for property, plant and equipment (USD 292 million). The non-transferrable DTA balance was also increased by USD 24 million to account for DTAs relating to UK and Belgian pension payments. As a result, the amount of non-transferrable DTAs as of December 31, 2016 has been decreased to USD 1,906 million and the DTAs transferred to the Autoco Contributed Entities Perimeter has been increased to USD 1,823 million. The Autoco Special Purpose Financial Schedules is hereby amended in accordance with the foregoing.</w:t>
      </w:r>
    </w:p>
    <w:p>
      <w:pPr>
        <w:spacing w:after="0" w:line="176"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Exhibit 6.9(b)(i)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Exhibit 6.9(b)(i) </w:t>
      </w:r>
      <w:r>
        <w:rPr>
          <w:rFonts w:ascii="Times New Roman" w:cs="Times New Roman" w:eastAsia="Times New Roman" w:hAnsi="Times New Roman"/>
          <w:sz w:val="22"/>
          <w:szCs w:val="22"/>
          <w:color w:val="auto"/>
        </w:rPr>
        <w:t>is hereby added to the Master Agreement.</w:t>
      </w:r>
    </w:p>
    <w:p>
      <w:pPr>
        <w:spacing w:after="0" w:line="224"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Exhibit 13.2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Exhibit 13.2(a)(i)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Exhibit 13.2(a)(ii) </w:t>
      </w:r>
      <w:r>
        <w:rPr>
          <w:rFonts w:ascii="Times New Roman" w:cs="Times New Roman" w:eastAsia="Times New Roman" w:hAnsi="Times New Roman"/>
          <w:sz w:val="22"/>
          <w:szCs w:val="22"/>
          <w:color w:val="auto"/>
        </w:rPr>
        <w:t>are hereby added to the Master Agreement.</w:t>
      </w:r>
    </w:p>
    <w:p>
      <w:pPr>
        <w:spacing w:after="0" w:line="224"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Exhibit 16</w:t>
      </w:r>
    </w:p>
    <w:p>
      <w:pPr>
        <w:sectPr>
          <w:pgSz w:w="11900" w:h="16838" w:orient="portrait"/>
          <w:cols w:equalWidth="0" w:num="1">
            <w:col w:w="11420"/>
          </w:cols>
          <w:pgMar w:left="240" w:top="585" w:right="2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Exhibit 16 </w:t>
      </w:r>
      <w:r>
        <w:rPr>
          <w:rFonts w:ascii="Times New Roman" w:cs="Times New Roman" w:eastAsia="Times New Roman" w:hAnsi="Times New Roman"/>
          <w:sz w:val="22"/>
          <w:szCs w:val="22"/>
          <w:color w:val="auto"/>
        </w:rPr>
        <w:t>of the Master Agreement is amended as follows: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Article 6, the words “Sections 14.1(a)(iii) and (iv)” are hereby deleted and replaced by “Sections 14.1(a)(iii) and 14.1(b)”.</w:t>
      </w:r>
    </w:p>
    <w:p>
      <w:pPr>
        <w:spacing w:after="0" w:line="158"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Exhibit A</w:t>
      </w:r>
    </w:p>
    <w:p>
      <w:pPr>
        <w:spacing w:after="0" w:line="229" w:lineRule="exact"/>
        <w:rPr>
          <w:sz w:val="20"/>
          <w:szCs w:val="20"/>
          <w:color w:val="auto"/>
        </w:rPr>
      </w:pPr>
    </w:p>
    <w:p>
      <w:pPr>
        <w:jc w:val="both"/>
        <w:ind w:left="120" w:firstLine="1293"/>
        <w:spacing w:after="0" w:line="258" w:lineRule="auto"/>
        <w:tabs>
          <w:tab w:leader="none" w:pos="21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the definition of “Closing Cash”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of the Master Agreement, the following words are hereby added immediately after item (vi) (but before the words “determined in accordance with the Closing Accounting Principles (…)”):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an amount of 2.553 million Euros (corresponding to the purchase price for certain assets that will be paid on the Closing Date by Peugeot Chile SA to General Motors Chile Industria Automotriz Limitada)”</w:t>
      </w:r>
      <w:r>
        <w:rPr>
          <w:rFonts w:ascii="Arial" w:cs="Arial" w:eastAsia="Arial" w:hAnsi="Arial"/>
          <w:sz w:val="19"/>
          <w:szCs w:val="19"/>
          <w:color w:val="auto"/>
        </w:rPr>
        <w:t>.</w:t>
      </w:r>
    </w:p>
    <w:p>
      <w:pPr>
        <w:spacing w:after="0" w:line="199" w:lineRule="exact"/>
        <w:rPr>
          <w:rFonts w:ascii="Times New Roman" w:cs="Times New Roman" w:eastAsia="Times New Roman" w:hAnsi="Times New Roman"/>
          <w:sz w:val="18"/>
          <w:szCs w:val="18"/>
          <w:color w:val="auto"/>
        </w:rPr>
      </w:pPr>
    </w:p>
    <w:p>
      <w:pPr>
        <w:ind w:left="120" w:firstLine="1293"/>
        <w:spacing w:after="0" w:line="284" w:lineRule="auto"/>
        <w:tabs>
          <w:tab w:leader="none" w:pos="21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Executed versions of the Ancillary Agreements and further documents related to the Transaction are attached hereto for evidence purposes.</w:t>
      </w:r>
    </w:p>
    <w:p>
      <w:pPr>
        <w:spacing w:after="0" w:line="185"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Certain Other Exhibits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H-1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H-2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6.4(a) (ii)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6.4(b)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Exhibit 6.4(g) </w:t>
      </w:r>
      <w:r>
        <w:rPr>
          <w:rFonts w:ascii="Times New Roman" w:cs="Times New Roman" w:eastAsia="Times New Roman" w:hAnsi="Times New Roman"/>
          <w:sz w:val="22"/>
          <w:szCs w:val="22"/>
          <w:color w:val="auto"/>
        </w:rPr>
        <w:t>of the Master Agreement are hereby deleted and respectively replaced by</w:t>
      </w:r>
      <w:r>
        <w:rPr>
          <w:rFonts w:ascii="Times New Roman" w:cs="Times New Roman" w:eastAsia="Times New Roman" w:hAnsi="Times New Roman"/>
          <w:sz w:val="22"/>
          <w:szCs w:val="22"/>
          <w:b w:val="1"/>
          <w:bCs w:val="1"/>
          <w:color w:val="auto"/>
        </w:rPr>
        <w:t xml:space="preserve"> Exhibit 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G-3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H-1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H-2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6.4(a)(ii)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Exhibit 6.4(b) </w:t>
      </w: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b w:val="1"/>
          <w:bCs w:val="1"/>
          <w:color w:val="auto"/>
        </w:rPr>
        <w:t>Exhibit 6.4(g)</w:t>
      </w:r>
      <w:r>
        <w:rPr>
          <w:rFonts w:ascii="Times New Roman" w:cs="Times New Roman" w:eastAsia="Times New Roman" w:hAnsi="Times New Roman"/>
          <w:sz w:val="22"/>
          <w:szCs w:val="22"/>
          <w:color w:val="auto"/>
        </w:rPr>
        <w:t xml:space="preserve"> attached hereto.</w:t>
      </w:r>
    </w:p>
    <w:p>
      <w:pPr>
        <w:spacing w:after="0" w:line="176"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u w:val="single" w:color="auto"/>
          <w:color w:val="auto"/>
        </w:rPr>
        <w:t>Exhibit 12.11</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 xml:space="preserve">Exhibit 12.11 </w:t>
      </w:r>
      <w:r>
        <w:rPr>
          <w:rFonts w:ascii="Times New Roman" w:cs="Times New Roman" w:eastAsia="Times New Roman" w:hAnsi="Times New Roman"/>
          <w:sz w:val="22"/>
          <w:szCs w:val="22"/>
          <w:color w:val="auto"/>
        </w:rPr>
        <w:t>attached hereto is hereby added to the Master Agreement.</w:t>
      </w:r>
    </w:p>
    <w:p>
      <w:pPr>
        <w:spacing w:after="0" w:line="224" w:lineRule="exact"/>
        <w:rPr>
          <w:sz w:val="20"/>
          <w:szCs w:val="20"/>
          <w:color w:val="auto"/>
        </w:rPr>
      </w:pPr>
    </w:p>
    <w:p>
      <w:pPr>
        <w:ind w:left="380"/>
        <w:spacing w:after="0"/>
        <w:tabs>
          <w:tab w:leader="none" w:pos="8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u w:val="single" w:color="auto"/>
          <w:color w:val="auto"/>
        </w:rPr>
        <w:t>Executed Further Documents</w:t>
      </w:r>
    </w:p>
    <w:p>
      <w:pPr>
        <w:spacing w:after="0" w:line="233"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22"/>
          <w:szCs w:val="22"/>
          <w:color w:val="auto"/>
        </w:rPr>
        <w:t xml:space="preserve">Prior to the date hereof, the Parties and/or certain other parties have entered into the Ancillary Agreements as well as certain other agreements and/or have executed certain other documents as listed in </w:t>
      </w:r>
      <w:r>
        <w:rPr>
          <w:rFonts w:ascii="Times New Roman" w:cs="Times New Roman" w:eastAsia="Times New Roman" w:hAnsi="Times New Roman"/>
          <w:sz w:val="22"/>
          <w:szCs w:val="22"/>
          <w:b w:val="1"/>
          <w:bCs w:val="1"/>
          <w:u w:val="single" w:color="auto"/>
          <w:color w:val="auto"/>
        </w:rPr>
        <w:t>Exhibit 3.9</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Executed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Documents</w:t>
      </w:r>
      <w:r>
        <w:rPr>
          <w:rFonts w:ascii="Times New Roman" w:cs="Times New Roman" w:eastAsia="Times New Roman" w:hAnsi="Times New Roman"/>
          <w:sz w:val="22"/>
          <w:szCs w:val="22"/>
          <w:color w:val="auto"/>
        </w:rPr>
        <w:t>"). The Parties have handed over to the acting notary one original or copy of each of the Executed Further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acting notary shall hold (</w:t>
      </w:r>
      <w:r>
        <w:rPr>
          <w:rFonts w:ascii="Times New Roman" w:cs="Times New Roman" w:eastAsia="Times New Roman" w:hAnsi="Times New Roman"/>
          <w:sz w:val="22"/>
          <w:szCs w:val="22"/>
          <w:i w:val="1"/>
          <w:iCs w:val="1"/>
          <w:color w:val="auto"/>
        </w:rPr>
        <w:t>verwahren</w:t>
      </w:r>
      <w:r>
        <w:rPr>
          <w:rFonts w:ascii="Times New Roman" w:cs="Times New Roman" w:eastAsia="Times New Roman" w:hAnsi="Times New Roman"/>
          <w:sz w:val="22"/>
          <w:szCs w:val="22"/>
          <w:color w:val="auto"/>
        </w:rPr>
        <w:t>) such originals or copies of the Executed Further Documents for a term of 10 years after the date hereof. Upon request of a Party, the acting notary shall make available a certified copy (</w:t>
      </w:r>
      <w:r>
        <w:rPr>
          <w:rFonts w:ascii="Times New Roman" w:cs="Times New Roman" w:eastAsia="Times New Roman" w:hAnsi="Times New Roman"/>
          <w:sz w:val="22"/>
          <w:szCs w:val="22"/>
          <w:i w:val="1"/>
          <w:iCs w:val="1"/>
          <w:color w:val="auto"/>
        </w:rPr>
        <w:t>beglaubigte Abschrift</w:t>
      </w:r>
      <w:r>
        <w:rPr>
          <w:rFonts w:ascii="Times New Roman" w:cs="Times New Roman" w:eastAsia="Times New Roman" w:hAnsi="Times New Roman"/>
          <w:sz w:val="22"/>
          <w:szCs w:val="22"/>
          <w:color w:val="auto"/>
        </w:rPr>
        <w:t>) or copy (</w:t>
      </w:r>
      <w:r>
        <w:rPr>
          <w:rFonts w:ascii="Times New Roman" w:cs="Times New Roman" w:eastAsia="Times New Roman" w:hAnsi="Times New Roman"/>
          <w:sz w:val="22"/>
          <w:szCs w:val="22"/>
          <w:i w:val="1"/>
          <w:iCs w:val="1"/>
          <w:color w:val="auto"/>
        </w:rPr>
        <w:t>einfache Fotokopie</w:t>
      </w:r>
      <w:r>
        <w:rPr>
          <w:rFonts w:ascii="Times New Roman" w:cs="Times New Roman" w:eastAsia="Times New Roman" w:hAnsi="Times New Roman"/>
          <w:sz w:val="22"/>
          <w:szCs w:val="22"/>
          <w:color w:val="auto"/>
        </w:rPr>
        <w:t>), as requested by the relevant Party, to the relevant Party and at the cost of the relevant Party. After the end of the 10 year period, i.e. on July 31, 2027, the acting notary (or his successor in office, as the case may be) shall destroy (</w:t>
      </w:r>
      <w:r>
        <w:rPr>
          <w:rFonts w:ascii="Times New Roman" w:cs="Times New Roman" w:eastAsia="Times New Roman" w:hAnsi="Times New Roman"/>
          <w:sz w:val="22"/>
          <w:szCs w:val="22"/>
          <w:i w:val="1"/>
          <w:iCs w:val="1"/>
          <w:color w:val="auto"/>
        </w:rPr>
        <w:t>vernichten</w:t>
      </w:r>
      <w:r>
        <w:rPr>
          <w:rFonts w:ascii="Times New Roman" w:cs="Times New Roman" w:eastAsia="Times New Roman" w:hAnsi="Times New Roman"/>
          <w:sz w:val="22"/>
          <w:szCs w:val="22"/>
          <w:color w:val="auto"/>
        </w:rPr>
        <w:t>) the Executed Further Documents held by the acting notary.</w:t>
      </w:r>
    </w:p>
    <w:p>
      <w:pPr>
        <w:spacing w:after="0" w:line="186" w:lineRule="exact"/>
        <w:rPr>
          <w:sz w:val="20"/>
          <w:szCs w:val="20"/>
          <w:color w:val="auto"/>
        </w:rPr>
      </w:pPr>
    </w:p>
    <w:p>
      <w:pPr>
        <w:ind w:left="380"/>
        <w:spacing w:after="0"/>
        <w:tabs>
          <w:tab w:leader="none" w:pos="9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Outstanding Further Documents</w:t>
      </w:r>
    </w:p>
    <w:p>
      <w:pPr>
        <w:spacing w:after="0" w:line="233" w:lineRule="exact"/>
        <w:rPr>
          <w:sz w:val="20"/>
          <w:szCs w:val="20"/>
          <w:color w:val="auto"/>
        </w:rPr>
      </w:pPr>
    </w:p>
    <w:p>
      <w:pPr>
        <w:jc w:val="both"/>
        <w:ind w:firstLine="621"/>
        <w:spacing w:after="0" w:line="271" w:lineRule="auto"/>
        <w:rPr>
          <w:sz w:val="20"/>
          <w:szCs w:val="20"/>
          <w:color w:val="auto"/>
        </w:rPr>
      </w:pPr>
      <w:r>
        <w:rPr>
          <w:rFonts w:ascii="Times New Roman" w:cs="Times New Roman" w:eastAsia="Times New Roman" w:hAnsi="Times New Roman"/>
          <w:sz w:val="22"/>
          <w:szCs w:val="22"/>
          <w:color w:val="auto"/>
        </w:rPr>
        <w:t>The Parties acknowledge and agree that certain other agreements, in the form attached under no. 3 to 7 of the Reference Deed 28/29/30 July, shall be executed and delivered by the relevant parties prior to the First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ectPr>
          <w:pgSz w:w="11900" w:h="16838" w:orient="portrait"/>
          <w:cols w:equalWidth="0" w:num="1">
            <w:col w:w="11420"/>
          </w:cols>
          <w:pgMar w:left="240" w:top="581" w:right="239" w:bottom="1440" w:gutter="0" w:footer="0" w:header="0"/>
        </w:sectPr>
      </w:pPr>
    </w:p>
    <w:bookmarkStart w:id="72" w:name="page73"/>
    <w:bookmarkEnd w:id="72"/>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No Other Amendment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amended hereby, the Master Agreement shall continue in full force and effect and shall otherwise be unaffected by this Amendment No. 2.</w:t>
      </w:r>
    </w:p>
    <w:p>
      <w:pPr>
        <w:spacing w:after="0" w:line="158" w:lineRule="exact"/>
        <w:rPr>
          <w:sz w:val="20"/>
          <w:szCs w:val="20"/>
          <w:color w:val="auto"/>
        </w:rPr>
      </w:pPr>
    </w:p>
    <w:p>
      <w:pPr>
        <w:ind w:left="380"/>
        <w:spacing w:after="0"/>
        <w:tabs>
          <w:tab w:leader="none" w:pos="8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Incorporation by Reference</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provisions of Sections 17.3, 17.4, 17.14 and 17.16 of the Master Agreement are incorporated herein by reference and shall apply to the terms of this Amendment No. 2 and the Parties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85"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24, 2017</w:t>
      </w:r>
    </w:p>
    <w:p>
      <w:pPr>
        <w:sectPr>
          <w:pgSz w:w="11900" w:h="16838" w:orient="portrait"/>
          <w:cols w:equalWidth="0" w:num="1">
            <w:col w:w="11420"/>
          </w:cols>
          <w:pgMar w:left="240" w:top="576"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24, 2017</w:t>
      </w:r>
    </w:p>
    <w:p>
      <w:pPr>
        <w:sectPr>
          <w:pgSz w:w="11900" w:h="16838" w:orient="portrait"/>
          <w:cols w:equalWidth="0" w:num="1">
            <w:col w:w="11420"/>
          </w:cols>
          <w:pgMar w:left="240" w:top="57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2017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76" w:lineRule="exact"/>
        <w:rPr>
          <w:sz w:val="20"/>
          <w:szCs w:val="20"/>
          <w:color w:val="auto"/>
        </w:rPr>
      </w:pPr>
    </w:p>
    <w:p>
      <w:pPr>
        <w:ind w:left="720" w:hanging="172"/>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172"/>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24,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lowerLetter"/>
      <w:start w:val="1"/>
    </w:lvl>
  </w:abstractNum>
  <w:abstractNum w:abstractNumId="3">
    <w:nsid w:val="580BD78F"/>
    <w:multiLevelType w:val="hybridMultilevel"/>
    <w:lvl w:ilvl="0">
      <w:lvlJc w:val="left"/>
      <w:lvlText w:val="(%1)"/>
      <w:numFmt w:val="lowerLetter"/>
      <w:start w:val="1"/>
    </w:lvl>
  </w:abstractNum>
  <w:abstractNum w:abstractNumId="4">
    <w:nsid w:val="153EA438"/>
    <w:multiLevelType w:val="hybridMultilevel"/>
    <w:lvl w:ilvl="0">
      <w:lvlJc w:val="left"/>
      <w:lvlText w:val="(%1)"/>
      <w:numFmt w:val="lowerLetter"/>
      <w:start w:val="1"/>
    </w:lvl>
  </w:abstractNum>
  <w:abstractNum w:abstractNumId="5">
    <w:nsid w:val="3855585C"/>
    <w:multiLevelType w:val="hybridMultilevel"/>
    <w:lvl w:ilvl="0">
      <w:lvlJc w:val="left"/>
      <w:lvlText w:val="\endash "/>
      <w:numFmt w:val="bullet"/>
      <w:start w:val="1"/>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1)"/>
      <w:numFmt w:val="lowerLetter"/>
      <w:start w:val="1"/>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1)"/>
      <w:numFmt w:val="lowerLetter"/>
      <w:start w:val="1"/>
    </w:lvl>
    <w:lvl w:ilvl="1">
      <w:lvlJc w:val="left"/>
      <w:lvlText w:val="*"/>
      <w:numFmt w:val="bullet"/>
      <w:start w:val="1"/>
    </w:lvl>
  </w:abstractNum>
  <w:abstractNum w:abstractNumId="12">
    <w:nsid w:val="57E4CCAF"/>
    <w:multiLevelType w:val="hybridMultilevel"/>
    <w:lvl w:ilvl="0">
      <w:lvlJc w:val="left"/>
      <w:lvlText w:val="(%1)"/>
      <w:numFmt w:val="lowerLetter"/>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decimal"/>
      <w:start w:val="2"/>
    </w:lvl>
  </w:abstractNum>
  <w:abstractNum w:abstractNumId="19">
    <w:nsid w:val="32FFF902"/>
    <w:multiLevelType w:val="hybridMultilevel"/>
    <w:lvl w:ilvl="0">
      <w:lvlJc w:val="left"/>
      <w:lvlText w:val="(%1)"/>
      <w:numFmt w:val="decimal"/>
      <w:start w:val="2"/>
    </w:lvl>
  </w:abstractNum>
  <w:abstractNum w:abstractNumId="20">
    <w:nsid w:val="684A481A"/>
    <w:multiLevelType w:val="hybridMultilevel"/>
    <w:lvl w:ilvl="0">
      <w:lvlJc w:val="left"/>
      <w:lvlText w:val="(%1)"/>
      <w:numFmt w:val="decimal"/>
      <w:start w:val="2"/>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1"/>
    </w:lvl>
    <w:lvl w:ilvl="1">
      <w:lvlJc w:val="left"/>
      <w:lvlText w:val="*"/>
      <w:numFmt w:val="bullet"/>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3"/>
    </w:lvl>
  </w:abstractNum>
  <w:abstractNum w:abstractNumId="26">
    <w:nsid w:val="75C6C33A"/>
    <w:multiLevelType w:val="hybridMultilevel"/>
    <w:lvl w:ilvl="0">
      <w:lvlJc w:val="left"/>
      <w:lvlText w:val="(%1)"/>
      <w:numFmt w:val="lowerLetter"/>
      <w:start w:val="6"/>
    </w:lvl>
  </w:abstractNum>
  <w:abstractNum w:abstractNumId="27">
    <w:nsid w:val="12E685FB"/>
    <w:multiLevelType w:val="hybridMultilevel"/>
    <w:lvl w:ilvl="0">
      <w:lvlJc w:val="left"/>
      <w:lvlText w:val="(%1)"/>
      <w:numFmt w:val="lowerLetter"/>
      <w:start w:val="10"/>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3"/>
    </w:lvl>
  </w:abstractNum>
  <w:abstractNum w:abstractNumId="30">
    <w:nsid w:val="374A3FE6"/>
    <w:multiLevelType w:val="hybridMultilevel"/>
    <w:lvl w:ilvl="0">
      <w:lvlJc w:val="left"/>
      <w:lvlText w:val="(%1)"/>
      <w:numFmt w:val="lowerLetter"/>
      <w:start w:val="4"/>
    </w:lvl>
  </w:abstractNum>
  <w:abstractNum w:abstractNumId="31">
    <w:nsid w:val="4F4EF005"/>
    <w:multiLevelType w:val="hybridMultilevel"/>
    <w:lvl w:ilvl="0">
      <w:lvlJc w:val="left"/>
      <w:lvlText w:val="(%1)"/>
      <w:numFmt w:val="lowerLetter"/>
      <w:start w:val="10"/>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5"/>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2"/>
    </w:lvl>
  </w:abstractNum>
  <w:abstractNum w:abstractNumId="36">
    <w:nsid w:val="1CF10FD8"/>
    <w:multiLevelType w:val="hybridMultilevel"/>
    <w:lvl w:ilvl="0">
      <w:lvlJc w:val="left"/>
      <w:lvlText w:val="(%1)"/>
      <w:numFmt w:val="lowerLetter"/>
      <w:start w:val="3"/>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2"/>
    </w:lvl>
  </w:abstractNum>
  <w:abstractNum w:abstractNumId="39">
    <w:nsid w:val="47398C89"/>
    <w:multiLevelType w:val="hybridMultilevel"/>
    <w:lvl w:ilvl="0">
      <w:lvlJc w:val="left"/>
      <w:lvlText w:val="(%1)"/>
      <w:numFmt w:val="lowerLetter"/>
      <w:start w:val="3"/>
    </w:lvl>
  </w:abstractNum>
  <w:abstractNum w:abstractNumId="40">
    <w:nsid w:val="354FE9F9"/>
    <w:multiLevelType w:val="hybridMultilevel"/>
    <w:lvl w:ilvl="0">
      <w:lvlJc w:val="left"/>
      <w:lvlText w:val="(%1)"/>
      <w:numFmt w:val="lowerLetter"/>
      <w:start w:val="5"/>
    </w:lvl>
  </w:abstractNum>
  <w:abstractNum w:abstractNumId="41">
    <w:nsid w:val="15B5AF5C"/>
    <w:multiLevelType w:val="hybridMultilevel"/>
    <w:lvl w:ilvl="0">
      <w:lvlJc w:val="left"/>
      <w:lvlText w:val="(%1)"/>
      <w:numFmt w:val="lowerLetter"/>
      <w:start w:val="7"/>
    </w:lvl>
  </w:abstractNum>
  <w:abstractNum w:abstractNumId="42">
    <w:nsid w:val="741226BB"/>
    <w:multiLevelType w:val="hybridMultilevel"/>
    <w:lvl w:ilvl="0">
      <w:lvlJc w:val="left"/>
      <w:lvlText w:val="(%1)"/>
      <w:numFmt w:val="lowerLetter"/>
      <w:start w:val="8"/>
    </w:lvl>
  </w:abstractNum>
  <w:abstractNum w:abstractNumId="43">
    <w:nsid w:val="D34B6A8"/>
    <w:multiLevelType w:val="hybridMultilevel"/>
    <w:lvl w:ilvl="0">
      <w:lvlJc w:val="left"/>
      <w:lvlText w:val="(%1)"/>
      <w:numFmt w:val="lowerRoman"/>
      <w:start w:val="1"/>
    </w:lvl>
  </w:abstractNum>
  <w:abstractNum w:abstractNumId="44">
    <w:nsid w:val="10233C99"/>
    <w:multiLevelType w:val="hybridMultilevel"/>
    <w:lvl w:ilvl="0">
      <w:lvlJc w:val="left"/>
      <w:lvlText w:val="(%1)"/>
      <w:numFmt w:val="lowerLetter"/>
      <w:start w:val="10"/>
    </w:lvl>
  </w:abstractNum>
  <w:abstractNum w:abstractNumId="45">
    <w:nsid w:val="3F6AB60F"/>
    <w:multiLevelType w:val="hybridMultilevel"/>
    <w:lvl w:ilvl="0">
      <w:lvlJc w:val="left"/>
      <w:lvlText w:val="(%1)"/>
      <w:numFmt w:val="lowerLetter"/>
      <w:start w:val="1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3"/>
    </w:lvl>
  </w:abstractNum>
  <w:abstractNum w:abstractNumId="48">
    <w:nsid w:val="77AE35EB"/>
    <w:multiLevelType w:val="hybridMultilevel"/>
    <w:lvl w:ilvl="0">
      <w:lvlJc w:val="left"/>
      <w:lvlText w:val="%1"/>
      <w:numFmt w:val="lowerLetter"/>
      <w:start w:val="1"/>
    </w:lvl>
    <w:lvl w:ilvl="1">
      <w:lvlJc w:val="left"/>
      <w:lvlText w:val="(%2)"/>
      <w:numFmt w:val="lowerLetter"/>
      <w:start w:val="9"/>
    </w:lvl>
  </w:abstractNum>
  <w:abstractNum w:abstractNumId="49">
    <w:nsid w:val="579BE4F1"/>
    <w:multiLevelType w:val="hybridMultilevel"/>
    <w:lvl w:ilvl="0">
      <w:lvlJc w:val="left"/>
      <w:lvlText w:val="(%1)"/>
      <w:numFmt w:val="lowerLetter"/>
      <w:start w:val="9"/>
    </w:lvl>
    <w:lvl w:ilvl="1">
      <w:lvlJc w:val="left"/>
      <w:lvlText w:val="%2"/>
      <w:numFmt w:val="lowerLetter"/>
      <w:start w:val="1"/>
    </w:lvl>
  </w:abstractNum>
  <w:abstractNum w:abstractNumId="50">
    <w:nsid w:val="310C50B3"/>
    <w:multiLevelType w:val="hybridMultilevel"/>
    <w:lvl w:ilvl="0">
      <w:lvlJc w:val="left"/>
      <w:lvlText w:val="(%1)"/>
      <w:numFmt w:val="lowerRoman"/>
      <w:start w:val="2"/>
    </w:lvl>
  </w:abstractNum>
  <w:abstractNum w:abstractNumId="51">
    <w:nsid w:val="5FF87E05"/>
    <w:multiLevelType w:val="hybridMultilevel"/>
    <w:lvl w:ilvl="0">
      <w:lvlJc w:val="left"/>
      <w:lvlText w:val="(%1)"/>
      <w:numFmt w:val="lowerRoman"/>
      <w:start w:val="7"/>
    </w:lvl>
  </w:abstractNum>
  <w:abstractNum w:abstractNumId="52">
    <w:nsid w:val="2F305DEF"/>
    <w:multiLevelType w:val="hybridMultilevel"/>
    <w:lvl w:ilvl="0">
      <w:lvlJc w:val="left"/>
      <w:lvlText w:val="(%1)"/>
      <w:numFmt w:val="lowerLetter"/>
      <w:start w:val="11"/>
    </w:lvl>
  </w:abstractNum>
  <w:abstractNum w:abstractNumId="53">
    <w:nsid w:val="25A70BF7"/>
    <w:multiLevelType w:val="hybridMultilevel"/>
    <w:lvl w:ilvl="0">
      <w:lvlJc w:val="left"/>
      <w:lvlText w:val="(%1)"/>
      <w:numFmt w:val="lowerLetter"/>
      <w:start w:val="35"/>
    </w:lvl>
    <w:lvl w:ilvl="1">
      <w:lvlJc w:val="left"/>
      <w:lvlText w:val="(%2)"/>
      <w:numFmt w:val="lowerLetter"/>
      <w:start w:val="12"/>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2"/>
    </w:lvl>
  </w:abstractNum>
  <w:abstractNum w:abstractNumId="56">
    <w:nsid w:val="1F48EAA1"/>
    <w:multiLevelType w:val="hybridMultilevel"/>
    <w:lvl w:ilvl="0">
      <w:lvlJc w:val="left"/>
      <w:lvlText w:val="(%1)"/>
      <w:numFmt w:val="lowerLetter"/>
      <w:start w:val="6"/>
    </w:lvl>
  </w:abstractNum>
  <w:abstractNum w:abstractNumId="57">
    <w:nsid w:val="1381823A"/>
    <w:multiLevelType w:val="hybridMultilevel"/>
    <w:lvl w:ilvl="0">
      <w:lvlJc w:val="left"/>
      <w:lvlText w:val="(%1)"/>
      <w:numFmt w:val="lowerLetter"/>
      <w:start w:val="7"/>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2"/>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4"/>
    </w:lvl>
  </w:abstractNum>
  <w:abstractNum w:abstractNumId="63">
    <w:nsid w:val="98A3148"/>
    <w:multiLevelType w:val="hybridMultilevel"/>
    <w:lvl w:ilvl="0">
      <w:lvlJc w:val="left"/>
      <w:lvlText w:val="(%1)"/>
      <w:numFmt w:val="lowerLetter"/>
      <w:start w:val="7"/>
    </w:lvl>
  </w:abstractNum>
  <w:abstractNum w:abstractNumId="64">
    <w:nsid w:val="799D0247"/>
    <w:multiLevelType w:val="hybridMultilevel"/>
    <w:lvl w:ilvl="0">
      <w:lvlJc w:val="left"/>
      <w:lvlText w:val="%1"/>
      <w:numFmt w:val="lowerLetter"/>
      <w:start w:val="1"/>
    </w:lvl>
    <w:lvl w:ilvl="1">
      <w:lvlJc w:val="left"/>
      <w:lvlText w:val="(%2)"/>
      <w:numFmt w:val="lowerLetter"/>
      <w:start w:val="1"/>
    </w:lvl>
  </w:abstractNum>
  <w:abstractNum w:abstractNumId="65">
    <w:nsid w:val="6B94764"/>
    <w:multiLevelType w:val="hybridMultilevel"/>
    <w:lvl w:ilvl="0">
      <w:lvlJc w:val="left"/>
      <w:lvlText w:val="(%1)"/>
      <w:numFmt w:val="lowerLetter"/>
      <w:start w:val="2"/>
    </w:lvl>
    <w:lvl w:ilvl="1">
      <w:lvlJc w:val="left"/>
      <w:lvlText w:val="%2"/>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Letter"/>
      <w:start w:val="2"/>
    </w:lvl>
  </w:abstractNum>
  <w:abstractNum w:abstractNumId="69">
    <w:nsid w:val="661E3F1E"/>
    <w:multiLevelType w:val="hybridMultilevel"/>
    <w:lvl w:ilvl="0">
      <w:lvlJc w:val="left"/>
      <w:lvlText w:val="(%1)"/>
      <w:numFmt w:val="lowerLetter"/>
      <w:start w:val="3"/>
    </w:lvl>
  </w:abstractNum>
  <w:abstractNum w:abstractNumId="70">
    <w:nsid w:val="5DC79EA8"/>
    <w:multiLevelType w:val="hybridMultilevel"/>
    <w:lvl w:ilvl="0">
      <w:lvlJc w:val="left"/>
      <w:lvlText w:val="(%1)"/>
      <w:numFmt w:val="lowerLetter"/>
      <w:start w:val="4"/>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2"/>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9" Type="http://schemas.openxmlformats.org/officeDocument/2006/relationships/hyperlink" Target="http://www.sec.gov/Archives/edgar/data/1467858/000119312517251403/d429540dex11.htm" TargetMode="External"/><Relationship Id="rId20" Type="http://schemas.openxmlformats.org/officeDocument/2006/relationships/hyperlink" Target="http://www.sec.gov/Archives/edgar/data/1467858/000146785817000118/exhibit31-sept12017.htm" TargetMode="External"/><Relationship Id="rId21" Type="http://schemas.openxmlformats.org/officeDocument/2006/relationships/hyperlink" Target="http://www.sec.gov/Archives/edgar/data/1467858/000146785817000118/exhibit32-sept12017.htm" TargetMode="External"/><Relationship Id="rId22" Type="http://schemas.openxmlformats.org/officeDocument/2006/relationships/hyperlink" Target="http://www.sec.gov/Archives/edgar/data/1467858/000119312510279214/dex32.htm" TargetMode="External"/><Relationship Id="rId23" Type="http://schemas.openxmlformats.org/officeDocument/2006/relationships/hyperlink" Target="http://www.sec.gov/Archives/edgar/data/1467858/000119312517251403/d429540dex41.htm" TargetMode="External"/><Relationship Id="rId24" Type="http://schemas.openxmlformats.org/officeDocument/2006/relationships/hyperlink" Target="http://www.sec.gov/Archives/edgar/data/1467858/000119312517251403/d42954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2019-12-29T04:00:12Z</dcterms:created>
  <dcterms:modified xsi:type="dcterms:W3CDTF">2019-12-29T04:00:12Z</dcterms:modified>
</cp:coreProperties>
</file>