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July 27, 2012 the number of shares outstanding of common stock was 1,565,954,484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Page</w:t>
            </w: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bottom w:val="single" w:sz="8" w:color="0000FF"/>
            </w:tcBorders>
            <w:gridSpan w:val="16"/>
          </w:tcPr>
          <w:p>
            <w:pPr>
              <w:jc w:val="center"/>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 Financial Information</w:t>
              </w:r>
            </w:hyperlink>
          </w:p>
        </w:tc>
        <w:tc>
          <w:tcPr>
            <w:tcW w:w="2700" w:type="dxa"/>
            <w:vAlign w:val="bottom"/>
            <w:gridSpan w:val="3"/>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tcBorders>
              <w:bottom w:val="single" w:sz="8" w:color="0000FF"/>
            </w:tcBorders>
            <w:gridSpan w:val="19"/>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Financial Statements</w:t>
              </w:r>
            </w:hyperlink>
          </w:p>
        </w:tc>
        <w:tc>
          <w:tcPr>
            <w:tcW w:w="4720" w:type="dxa"/>
            <w:vAlign w:val="bottom"/>
            <w:gridSpan w:val="15"/>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gridSpan w:val="3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Income Statements (Unaudited)</w:t>
              </w:r>
            </w:hyperlink>
          </w:p>
        </w:tc>
        <w:tc>
          <w:tcPr>
            <w:tcW w:w="20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gridSpan w:val="3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Comprehensive Income (Unaudited)</w:t>
              </w:r>
            </w:hyperlink>
          </w:p>
        </w:tc>
        <w:tc>
          <w:tcPr>
            <w:tcW w:w="20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80" w:type="dxa"/>
            <w:vAlign w:val="bottom"/>
            <w:tcBorders>
              <w:top w:val="single" w:sz="8" w:color="0000FF"/>
            </w:tcBorders>
            <w:gridSpan w:val="3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2580" w:type="dxa"/>
            <w:vAlign w:val="bottom"/>
            <w:gridSpan w:val="2"/>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60" w:type="dxa"/>
            <w:vAlign w:val="bottom"/>
            <w:tcBorders>
              <w:bottom w:val="single" w:sz="8" w:color="0000FF"/>
            </w:tcBorders>
            <w:gridSpan w:val="2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Equity (Unaudited)</w:t>
              </w:r>
            </w:hyperlink>
          </w:p>
        </w:tc>
        <w:tc>
          <w:tcPr>
            <w:tcW w:w="3800" w:type="dxa"/>
            <w:vAlign w:val="bottom"/>
            <w:gridSpan w:val="9"/>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gridSpan w:val="3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20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20" w:type="dxa"/>
            <w:vAlign w:val="bottom"/>
            <w:tcBorders>
              <w:top w:val="single" w:sz="8" w:color="0000FF"/>
            </w:tcBorders>
            <w:gridSpan w:val="2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3440" w:type="dxa"/>
            <w:vAlign w:val="bottom"/>
            <w:gridSpan w:val="7"/>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Borders>
              <w:top w:val="single" w:sz="8" w:color="0000FF"/>
            </w:tcBorders>
            <w:gridSpan w:val="3"/>
          </w:tcPr>
          <w:p>
            <w:pPr>
              <w:ind w:left="120"/>
              <w:spacing w:after="0"/>
              <w:rPr>
                <w:sz w:val="20"/>
                <w:szCs w:val="20"/>
                <w:color w:val="auto"/>
              </w:rPr>
            </w:pPr>
            <w:r>
              <w:rPr>
                <w:rFonts w:ascii="Arial" w:cs="Arial" w:eastAsia="Arial" w:hAnsi="Arial"/>
                <w:sz w:val="18"/>
                <w:szCs w:val="18"/>
                <w:color w:val="auto"/>
              </w:rPr>
              <w:t>Note 1.</w:t>
            </w:r>
          </w:p>
        </w:tc>
        <w:tc>
          <w:tcPr>
            <w:tcW w:w="2740" w:type="dxa"/>
            <w:vAlign w:val="bottom"/>
            <w:tcBorders>
              <w:top w:val="single" w:sz="8" w:color="0000FF"/>
            </w:tcBorders>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Nature of Operations</w:t>
              </w:r>
            </w:hyperlink>
          </w:p>
        </w:tc>
        <w:tc>
          <w:tcPr>
            <w:tcW w:w="4080" w:type="dxa"/>
            <w:vAlign w:val="bottom"/>
            <w:gridSpan w:val="11"/>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w:t>
            </w:r>
          </w:p>
        </w:tc>
        <w:tc>
          <w:tcPr>
            <w:tcW w:w="4040" w:type="dxa"/>
            <w:vAlign w:val="bottom"/>
            <w:tcBorders>
              <w:bottom w:val="single" w:sz="8" w:color="0000FF"/>
            </w:tcBorders>
            <w:gridSpan w:val="27"/>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Basis of Presentation and Recent Accounting Standards</w:t>
              </w:r>
            </w:hyperlink>
          </w:p>
        </w:tc>
        <w:tc>
          <w:tcPr>
            <w:tcW w:w="2780" w:type="dxa"/>
            <w:vAlign w:val="bottom"/>
            <w:gridSpan w:val="4"/>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3.</w:t>
            </w:r>
          </w:p>
        </w:tc>
        <w:tc>
          <w:tcPr>
            <w:tcW w:w="188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Acquisition of Businesses</w:t>
              </w:r>
            </w:hyperlink>
          </w:p>
        </w:tc>
        <w:tc>
          <w:tcPr>
            <w:tcW w:w="4940" w:type="dxa"/>
            <w:vAlign w:val="bottom"/>
            <w:gridSpan w:val="17"/>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4.</w:t>
            </w:r>
          </w:p>
        </w:tc>
        <w:tc>
          <w:tcPr>
            <w:tcW w:w="6820" w:type="dxa"/>
            <w:vAlign w:val="bottom"/>
            <w:gridSpan w:val="31"/>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Marketable Securities</w:t>
              </w:r>
            </w:hyperlink>
          </w:p>
        </w:tc>
        <w:tc>
          <w:tcPr>
            <w:tcW w:w="204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8</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5.</w:t>
            </w:r>
          </w:p>
        </w:tc>
        <w:tc>
          <w:tcPr>
            <w:tcW w:w="2860" w:type="dxa"/>
            <w:vAlign w:val="bottom"/>
            <w:gridSpan w:val="21"/>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GM Financial Finance Receivables, net</w:t>
              </w:r>
            </w:hyperlink>
          </w:p>
        </w:tc>
        <w:tc>
          <w:tcPr>
            <w:tcW w:w="3960" w:type="dxa"/>
            <w:vAlign w:val="bottom"/>
            <w:gridSpan w:val="10"/>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6.</w:t>
            </w:r>
          </w:p>
        </w:tc>
        <w:tc>
          <w:tcPr>
            <w:tcW w:w="1040" w:type="dxa"/>
            <w:vAlign w:val="bottom"/>
            <w:gridSpan w:val="7"/>
          </w:tcPr>
          <w:p>
            <w:pPr>
              <w:spacing w:after="0"/>
              <w:rPr>
                <w:rFonts w:ascii="Arial" w:cs="Arial" w:eastAsia="Arial" w:hAnsi="Arial"/>
                <w:sz w:val="18"/>
                <w:szCs w:val="18"/>
                <w:color w:val="0000FF"/>
                <w:w w:val="85"/>
              </w:rPr>
            </w:pPr>
            <w:hyperlink w:anchor="page17">
              <w:r>
                <w:rPr>
                  <w:rFonts w:ascii="Arial" w:cs="Arial" w:eastAsia="Arial" w:hAnsi="Arial"/>
                  <w:sz w:val="18"/>
                  <w:szCs w:val="18"/>
                  <w:color w:val="0000FF"/>
                  <w:w w:val="85"/>
                </w:rPr>
                <w:t>Securitizations</w:t>
              </w:r>
            </w:hyperlink>
          </w:p>
        </w:tc>
        <w:tc>
          <w:tcPr>
            <w:tcW w:w="1820" w:type="dxa"/>
            <w:vAlign w:val="bottom"/>
            <w:gridSpan w:val="14"/>
          </w:tcPr>
          <w:p>
            <w:pPr>
              <w:spacing w:after="0"/>
              <w:rPr>
                <w:sz w:val="21"/>
                <w:szCs w:val="21"/>
                <w:color w:val="auto"/>
              </w:rPr>
            </w:pPr>
          </w:p>
        </w:tc>
        <w:tc>
          <w:tcPr>
            <w:tcW w:w="3960" w:type="dxa"/>
            <w:vAlign w:val="bottom"/>
            <w:gridSpan w:val="10"/>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7.</w:t>
            </w:r>
          </w:p>
        </w:tc>
        <w:tc>
          <w:tcPr>
            <w:tcW w:w="820" w:type="dxa"/>
            <w:vAlign w:val="bottom"/>
            <w:gridSpan w:val="5"/>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Inventories</w:t>
              </w:r>
            </w:hyperlink>
          </w:p>
        </w:tc>
        <w:tc>
          <w:tcPr>
            <w:tcW w:w="220" w:type="dxa"/>
            <w:vAlign w:val="bottom"/>
            <w:gridSpan w:val="2"/>
          </w:tcPr>
          <w:p>
            <w:pPr>
              <w:spacing w:after="0"/>
              <w:rPr>
                <w:sz w:val="21"/>
                <w:szCs w:val="21"/>
                <w:color w:val="auto"/>
              </w:rPr>
            </w:pPr>
          </w:p>
        </w:tc>
        <w:tc>
          <w:tcPr>
            <w:tcW w:w="5780" w:type="dxa"/>
            <w:vAlign w:val="bottom"/>
            <w:gridSpan w:val="24"/>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8.</w:t>
            </w:r>
          </w:p>
        </w:tc>
        <w:tc>
          <w:tcPr>
            <w:tcW w:w="3680" w:type="dxa"/>
            <w:vAlign w:val="bottom"/>
            <w:gridSpan w:val="25"/>
          </w:tcPr>
          <w:p>
            <w:pPr>
              <w:spacing w:after="0"/>
              <w:rPr>
                <w:rFonts w:ascii="Arial" w:cs="Arial" w:eastAsia="Arial" w:hAnsi="Arial"/>
                <w:sz w:val="18"/>
                <w:szCs w:val="18"/>
                <w:color w:val="0000FF"/>
                <w:w w:val="93"/>
              </w:rPr>
            </w:pPr>
            <w:hyperlink w:anchor="page18">
              <w:r>
                <w:rPr>
                  <w:rFonts w:ascii="Arial" w:cs="Arial" w:eastAsia="Arial" w:hAnsi="Arial"/>
                  <w:sz w:val="18"/>
                  <w:szCs w:val="18"/>
                  <w:color w:val="0000FF"/>
                  <w:w w:val="93"/>
                </w:rPr>
                <w:t>Equity in Net Assets of Nonconsolidated Affiliates</w:t>
              </w:r>
            </w:hyperlink>
          </w:p>
        </w:tc>
        <w:tc>
          <w:tcPr>
            <w:tcW w:w="3140" w:type="dxa"/>
            <w:vAlign w:val="bottom"/>
            <w:gridSpan w:val="6"/>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9.</w:t>
            </w:r>
          </w:p>
        </w:tc>
        <w:tc>
          <w:tcPr>
            <w:tcW w:w="3680" w:type="dxa"/>
            <w:vAlign w:val="bottom"/>
            <w:gridSpan w:val="25"/>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Goodwill</w:t>
              </w:r>
            </w:hyperlink>
          </w:p>
        </w:tc>
        <w:tc>
          <w:tcPr>
            <w:tcW w:w="3140" w:type="dxa"/>
            <w:vAlign w:val="bottom"/>
            <w:gridSpan w:val="6"/>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17</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10.</w:t>
            </w:r>
          </w:p>
        </w:tc>
        <w:tc>
          <w:tcPr>
            <w:tcW w:w="6820" w:type="dxa"/>
            <w:vAlign w:val="bottom"/>
            <w:gridSpan w:val="31"/>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Intangible Assets, net</w:t>
              </w:r>
            </w:hyperlink>
          </w:p>
        </w:tc>
        <w:tc>
          <w:tcPr>
            <w:tcW w:w="204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11.</w:t>
            </w:r>
          </w:p>
        </w:tc>
        <w:tc>
          <w:tcPr>
            <w:tcW w:w="6820" w:type="dxa"/>
            <w:vAlign w:val="bottom"/>
            <w:gridSpan w:val="3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Variable Interest Entities</w:t>
              </w:r>
            </w:hyperlink>
          </w:p>
        </w:tc>
        <w:tc>
          <w:tcPr>
            <w:tcW w:w="20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12.</w:t>
            </w:r>
          </w:p>
        </w:tc>
        <w:tc>
          <w:tcPr>
            <w:tcW w:w="6820" w:type="dxa"/>
            <w:vAlign w:val="bottom"/>
            <w:gridSpan w:val="3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Depreciation, Amortization and Impairment Charges</w:t>
              </w:r>
            </w:hyperlink>
          </w:p>
        </w:tc>
        <w:tc>
          <w:tcPr>
            <w:tcW w:w="20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13.</w:t>
            </w:r>
          </w:p>
        </w:tc>
        <w:tc>
          <w:tcPr>
            <w:tcW w:w="360" w:type="dxa"/>
            <w:vAlign w:val="bottom"/>
            <w:gridSpan w:val="2"/>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Debt</w:t>
              </w:r>
            </w:hyperlink>
          </w:p>
        </w:tc>
        <w:tc>
          <w:tcPr>
            <w:tcW w:w="3440" w:type="dxa"/>
            <w:vAlign w:val="bottom"/>
            <w:gridSpan w:val="24"/>
          </w:tcPr>
          <w:p>
            <w:pPr>
              <w:spacing w:after="0"/>
              <w:rPr>
                <w:sz w:val="21"/>
                <w:szCs w:val="21"/>
                <w:color w:val="auto"/>
              </w:rPr>
            </w:pPr>
          </w:p>
        </w:tc>
        <w:tc>
          <w:tcPr>
            <w:tcW w:w="3020" w:type="dxa"/>
            <w:vAlign w:val="bottom"/>
            <w:gridSpan w:val="5"/>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14.</w:t>
            </w:r>
          </w:p>
        </w:tc>
        <w:tc>
          <w:tcPr>
            <w:tcW w:w="6820" w:type="dxa"/>
            <w:vAlign w:val="bottom"/>
            <w:gridSpan w:val="3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Product Warranty Liability</w:t>
              </w:r>
            </w:hyperlink>
          </w:p>
        </w:tc>
        <w:tc>
          <w:tcPr>
            <w:tcW w:w="204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15.</w:t>
            </w:r>
          </w:p>
        </w:tc>
        <w:tc>
          <w:tcPr>
            <w:tcW w:w="6820" w:type="dxa"/>
            <w:vAlign w:val="bottom"/>
            <w:gridSpan w:val="3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Pensions and Other Postretirement Benefits</w:t>
              </w:r>
            </w:hyperlink>
          </w:p>
        </w:tc>
        <w:tc>
          <w:tcPr>
            <w:tcW w:w="204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920" w:type="dxa"/>
            <w:vAlign w:val="bottom"/>
            <w:tcBorders>
              <w:left w:val="single" w:sz="8" w:color="0000FF"/>
            </w:tcBorders>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16.</w:t>
            </w:r>
          </w:p>
        </w:tc>
        <w:tc>
          <w:tcPr>
            <w:tcW w:w="6820" w:type="dxa"/>
            <w:vAlign w:val="bottom"/>
            <w:gridSpan w:val="3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Derivative Financial Instruments and Risk Management</w:t>
              </w:r>
            </w:hyperlink>
          </w:p>
        </w:tc>
        <w:tc>
          <w:tcPr>
            <w:tcW w:w="204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17.</w:t>
            </w:r>
          </w:p>
        </w:tc>
        <w:tc>
          <w:tcPr>
            <w:tcW w:w="4040" w:type="dxa"/>
            <w:vAlign w:val="bottom"/>
            <w:gridSpan w:val="2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Commitments and Contingencies</w:t>
              </w:r>
            </w:hyperlink>
          </w:p>
        </w:tc>
        <w:tc>
          <w:tcPr>
            <w:tcW w:w="2780" w:type="dxa"/>
            <w:vAlign w:val="bottom"/>
            <w:gridSpan w:val="4"/>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18.</w:t>
            </w:r>
          </w:p>
        </w:tc>
        <w:tc>
          <w:tcPr>
            <w:tcW w:w="240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Income Taxes</w:t>
              </w:r>
            </w:hyperlink>
          </w:p>
        </w:tc>
        <w:tc>
          <w:tcPr>
            <w:tcW w:w="4420" w:type="dxa"/>
            <w:vAlign w:val="bottom"/>
            <w:gridSpan w:val="14"/>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19.</w:t>
            </w:r>
          </w:p>
        </w:tc>
        <w:tc>
          <w:tcPr>
            <w:tcW w:w="2520" w:type="dxa"/>
            <w:vAlign w:val="bottom"/>
            <w:gridSpan w:val="18"/>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Restructuring and Other Initiatives</w:t>
              </w:r>
            </w:hyperlink>
          </w:p>
        </w:tc>
        <w:tc>
          <w:tcPr>
            <w:tcW w:w="4300" w:type="dxa"/>
            <w:vAlign w:val="bottom"/>
            <w:gridSpan w:val="13"/>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20.</w:t>
            </w:r>
          </w:p>
        </w:tc>
        <w:tc>
          <w:tcPr>
            <w:tcW w:w="252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Earnings Per Share</w:t>
              </w:r>
            </w:hyperlink>
          </w:p>
        </w:tc>
        <w:tc>
          <w:tcPr>
            <w:tcW w:w="4300" w:type="dxa"/>
            <w:vAlign w:val="bottom"/>
            <w:gridSpan w:val="13"/>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21.</w:t>
            </w:r>
          </w:p>
        </w:tc>
        <w:tc>
          <w:tcPr>
            <w:tcW w:w="6820" w:type="dxa"/>
            <w:vAlign w:val="bottom"/>
            <w:gridSpan w:val="3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Stock Incentive Plans</w:t>
              </w:r>
            </w:hyperlink>
          </w:p>
        </w:tc>
        <w:tc>
          <w:tcPr>
            <w:tcW w:w="204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22.</w:t>
            </w:r>
          </w:p>
        </w:tc>
        <w:tc>
          <w:tcPr>
            <w:tcW w:w="1560" w:type="dxa"/>
            <w:vAlign w:val="bottom"/>
            <w:gridSpan w:val="1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Ally Financial</w:t>
              </w:r>
            </w:hyperlink>
          </w:p>
        </w:tc>
        <w:tc>
          <w:tcPr>
            <w:tcW w:w="5260" w:type="dxa"/>
            <w:vAlign w:val="bottom"/>
            <w:gridSpan w:val="20"/>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40</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23.</w:t>
            </w:r>
          </w:p>
        </w:tc>
        <w:tc>
          <w:tcPr>
            <w:tcW w:w="6820" w:type="dxa"/>
            <w:vAlign w:val="bottom"/>
            <w:gridSpan w:val="3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Segment Reporting</w:t>
              </w:r>
            </w:hyperlink>
          </w:p>
        </w:tc>
        <w:tc>
          <w:tcPr>
            <w:tcW w:w="20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33"/>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Management’s Discussion and Analysis of Financial Condition and Results of Operations</w:t>
              </w:r>
            </w:hyperlink>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10"/>
            <w:shd w:val="clear" w:color="auto" w:fill="0000FF"/>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26"/>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Quantitative and Qualitative Disclosures About Market Risk</w:t>
              </w:r>
            </w:hyperlink>
          </w:p>
        </w:tc>
        <w:tc>
          <w:tcPr>
            <w:tcW w:w="2100" w:type="dxa"/>
            <w:vAlign w:val="bottom"/>
            <w:gridSpan w:val="7"/>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78</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10"/>
            <w:shd w:val="clear" w:color="auto" w:fill="0000FF"/>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2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Controls and Procedures</w:t>
              </w:r>
            </w:hyperlink>
          </w:p>
        </w:tc>
        <w:tc>
          <w:tcPr>
            <w:tcW w:w="3700" w:type="dxa"/>
            <w:vAlign w:val="bottom"/>
            <w:gridSpan w:val="8"/>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78</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0000FF"/>
            </w:tcBorders>
            <w:gridSpan w:val="14"/>
          </w:tcPr>
          <w:p>
            <w:pPr>
              <w:jc w:val="center"/>
              <w:ind w:right="20"/>
              <w:spacing w:after="0"/>
              <w:rPr>
                <w:rFonts w:ascii="Arial" w:cs="Arial" w:eastAsia="Arial" w:hAnsi="Arial"/>
                <w:sz w:val="18"/>
                <w:szCs w:val="18"/>
                <w:b w:val="1"/>
                <w:bCs w:val="1"/>
                <w:color w:val="0000FF"/>
                <w:w w:val="96"/>
              </w:rPr>
            </w:pPr>
            <w:hyperlink w:anchor="page82">
              <w:r>
                <w:rPr>
                  <w:rFonts w:ascii="Arial" w:cs="Arial" w:eastAsia="Arial" w:hAnsi="Arial"/>
                  <w:sz w:val="18"/>
                  <w:szCs w:val="18"/>
                  <w:b w:val="1"/>
                  <w:bCs w:val="1"/>
                  <w:color w:val="0000FF"/>
                  <w:w w:val="96"/>
                </w:rPr>
                <w:t>PART II - Other Information</w:t>
              </w:r>
            </w:hyperlink>
          </w:p>
        </w:tc>
        <w:tc>
          <w:tcPr>
            <w:tcW w:w="278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60" w:type="dxa"/>
            <w:vAlign w:val="bottom"/>
            <w:gridSpan w:val="34"/>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Legal Proceedings</w:t>
              </w:r>
            </w:hyperlink>
          </w:p>
        </w:tc>
        <w:tc>
          <w:tcPr>
            <w:tcW w:w="204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79</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83">
              <w:r>
                <w:rPr>
                  <w:rFonts w:ascii="Arial" w:cs="Arial" w:eastAsia="Arial" w:hAnsi="Arial"/>
                  <w:sz w:val="18"/>
                  <w:szCs w:val="18"/>
                  <w:color w:val="0000FF"/>
                  <w:w w:val="87"/>
                </w:rPr>
                <w:t>Risk Factors</w:t>
              </w:r>
            </w:hyperlink>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79</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Exhibits</w:t>
              </w:r>
            </w:hyperlink>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80</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Signature</w:t>
              </w:r>
            </w:hyperlink>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81</w:t>
              </w:r>
            </w:hyperlink>
          </w:p>
        </w:tc>
      </w:tr>
      <w:tr>
        <w:trPr>
          <w:trHeight w:val="20"/>
        </w:trPr>
        <w:tc>
          <w:tcPr>
            <w:tcW w:w="6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60"/>
          </w:cols>
          <w:pgMar w:left="28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Automotive sales and revenue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37,127</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39,043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74,455</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74,942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revenue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37,614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75,373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75,567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Automotive cost of sales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32,678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65,588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65,478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automotive expenses,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72,167</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before income taxes and equity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income, net of tax and gain on disposal of investments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Cash flow hedging gains (losses), net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6,790</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6,685</w:t>
            </w:r>
          </w:p>
        </w:tc>
      </w:tr>
      <w:tr>
        <w:trPr>
          <w:trHeight w:val="27"/>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50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 of allowance of $324 and $331)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$3,359 and $3,295)</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 and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$6,427 and $5,773)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Equity in net assets of nonconsolidated affiliates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equipment on operating leases, net (including assets transferred to SPEs of $478 and $274)</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 and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1" w:lineRule="exact"/>
        <w:rPr>
          <w:sz w:val="20"/>
          <w:szCs w:val="20"/>
          <w:color w:val="auto"/>
        </w:rPr>
      </w:pPr>
    </w:p>
    <w:p>
      <w:pPr>
        <w:jc w:val="center"/>
        <w:ind w:left="50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Short-term debt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GM Korea of $116 and $171; Note 11)</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 (including derivative liabilities at GM Korea of $31 and $44; Note 11)</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 and 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$0.01 par value, 2,000,000,000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Series A (276,101,695 shares issued and outstanding (each with a $25.00 liquidation preference) at June 30, 2012 and December 31, 2011)</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Series B (100,000,000 shares issued and outstanding (each with a $50.00 liquidation preference) at June 30, 2012 and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1" w:lineRule="exact"/>
        <w:rPr>
          <w:sz w:val="20"/>
          <w:szCs w:val="20"/>
          <w:color w:val="auto"/>
        </w:rPr>
      </w:pPr>
    </w:p>
    <w:p>
      <w:pPr>
        <w:ind w:left="200" w:hanging="80"/>
        <w:spacing w:after="0" w:line="237" w:lineRule="auto"/>
        <w:rPr>
          <w:sz w:val="20"/>
          <w:szCs w:val="20"/>
          <w:color w:val="auto"/>
        </w:rPr>
      </w:pPr>
      <w:r>
        <w:rPr>
          <w:rFonts w:ascii="Arial" w:cs="Arial" w:eastAsia="Arial" w:hAnsi="Arial"/>
          <w:sz w:val="13"/>
          <w:szCs w:val="13"/>
          <w:color w:val="auto"/>
        </w:rPr>
        <w:t>Common stock, $0.01 par value (5,000,000,000 shares authorized and 1,565,941,048 shares and 1,564,727,289 shares issued and outstanding at June 30, 2012 and December 31, 2011)</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Capital surplus (principally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00" w:type="dxa"/>
            <w:vAlign w:val="bottom"/>
          </w:tcPr>
          <w:p>
            <w:pPr>
              <w:spacing w:after="0"/>
              <w:rPr>
                <w:sz w:val="12"/>
                <w:szCs w:val="12"/>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June 30, 2012</w:t>
            </w:r>
          </w:p>
        </w:tc>
        <w:tc>
          <w:tcPr>
            <w:tcW w:w="140" w:type="dxa"/>
            <w:vAlign w:val="bottom"/>
          </w:tcPr>
          <w:p>
            <w:pPr>
              <w:spacing w:after="0"/>
              <w:rPr>
                <w:sz w:val="12"/>
                <w:szCs w:val="12"/>
                <w:color w:val="auto"/>
              </w:rPr>
            </w:pPr>
          </w:p>
        </w:tc>
        <w:tc>
          <w:tcPr>
            <w:tcW w:w="1100" w:type="dxa"/>
            <w:vAlign w:val="bottom"/>
          </w:tcPr>
          <w:p>
            <w:pPr>
              <w:jc w:val="right"/>
              <w:ind w:right="117"/>
              <w:spacing w:after="0"/>
              <w:rPr>
                <w:sz w:val="20"/>
                <w:szCs w:val="20"/>
                <w:color w:val="auto"/>
              </w:rPr>
            </w:pPr>
            <w:r>
              <w:rPr>
                <w:rFonts w:ascii="Arial" w:cs="Arial" w:eastAsia="Arial" w:hAnsi="Arial"/>
                <w:sz w:val="11"/>
                <w:szCs w:val="11"/>
                <w:b w:val="1"/>
                <w:bCs w:val="1"/>
                <w:color w:val="auto"/>
                <w:w w:val="90"/>
              </w:rPr>
              <w:t>December 31, 2011</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88"/>
        </w:trPr>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22,184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16,071</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11,381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16,148</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1,005</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11,117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9,964</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3,478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3,251</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15,433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14,324</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3,819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2,464</w:t>
            </w:r>
          </w:p>
        </w:tc>
      </w:tr>
      <w:tr>
        <w:trPr>
          <w:trHeight w:val="280"/>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2,087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1,696</w:t>
            </w:r>
          </w:p>
        </w:tc>
      </w:tr>
      <w:tr>
        <w:trPr>
          <w:trHeight w:val="241"/>
        </w:trPr>
        <w:tc>
          <w:tcPr>
            <w:tcW w:w="20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70,233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64,923</w:t>
            </w:r>
          </w:p>
        </w:tc>
      </w:tr>
      <w:tr>
        <w:trPr>
          <w:trHeight w:val="540"/>
        </w:trPr>
        <w:tc>
          <w:tcPr>
            <w:tcW w:w="20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1,046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1,228</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6,552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5,911</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7,058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6,790</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25,026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23,005</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28,405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29,019</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9,192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10,014</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1,324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785</w:t>
            </w:r>
          </w:p>
        </w:tc>
      </w:tr>
      <w:tr>
        <w:trPr>
          <w:trHeight w:val="280"/>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2,928</w:t>
            </w:r>
          </w:p>
        </w:tc>
      </w:tr>
      <w:tr>
        <w:trPr>
          <w:trHeight w:val="250"/>
        </w:trPr>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81,754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79,680</w:t>
            </w:r>
          </w:p>
        </w:tc>
      </w:tr>
      <w:tr>
        <w:trPr>
          <w:trHeight w:val="237"/>
        </w:trPr>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151,987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144,603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81"/>
        </w:trPr>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26,425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24,551</w:t>
            </w:r>
          </w:p>
        </w:tc>
      </w:tr>
      <w:tr>
        <w:trPr>
          <w:trHeight w:val="540"/>
        </w:trPr>
        <w:tc>
          <w:tcPr>
            <w:tcW w:w="20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1,360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1,682</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3,732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4,118</w:t>
            </w:r>
          </w:p>
        </w:tc>
      </w:tr>
      <w:tr>
        <w:trPr>
          <w:trHeight w:val="280"/>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25,134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22,875</w:t>
            </w:r>
          </w:p>
        </w:tc>
      </w:tr>
      <w:tr>
        <w:trPr>
          <w:trHeight w:val="241"/>
        </w:trPr>
        <w:tc>
          <w:tcPr>
            <w:tcW w:w="20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56,651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53,226</w:t>
            </w:r>
          </w:p>
        </w:tc>
      </w:tr>
      <w:tr>
        <w:trPr>
          <w:trHeight w:val="810"/>
        </w:trPr>
        <w:tc>
          <w:tcPr>
            <w:tcW w:w="20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3,783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3,613</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5,918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4,420</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6,732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6,836</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24,558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25,075</w:t>
            </w:r>
          </w:p>
        </w:tc>
      </w:tr>
      <w:tr>
        <w:trPr>
          <w:trHeight w:val="280"/>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12,735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12,442</w:t>
            </w:r>
          </w:p>
        </w:tc>
      </w:tr>
      <w:tr>
        <w:trPr>
          <w:trHeight w:val="250"/>
        </w:trPr>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53,726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52,386</w:t>
            </w:r>
          </w:p>
        </w:tc>
      </w:tr>
      <w:tr>
        <w:trPr>
          <w:trHeight w:val="241"/>
        </w:trPr>
        <w:tc>
          <w:tcPr>
            <w:tcW w:w="20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110,377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105,612</w:t>
            </w:r>
          </w:p>
        </w:tc>
      </w:tr>
      <w:tr>
        <w:trPr>
          <w:trHeight w:val="1080"/>
        </w:trPr>
        <w:tc>
          <w:tcPr>
            <w:tcW w:w="20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5,536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5,536</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4,855</w:t>
            </w:r>
          </w:p>
        </w:tc>
      </w:tr>
      <w:tr>
        <w:trPr>
          <w:trHeight w:val="324"/>
        </w:trPr>
        <w:tc>
          <w:tcPr>
            <w:tcW w:w="20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26,399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26,391</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9,889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7,183</w:t>
            </w:r>
          </w:p>
        </w:tc>
      </w:tr>
      <w:tr>
        <w:trPr>
          <w:trHeight w:val="280"/>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(5,861)</w:t>
            </w:r>
          </w:p>
        </w:tc>
      </w:tr>
      <w:tr>
        <w:trPr>
          <w:trHeight w:val="241"/>
        </w:trPr>
        <w:tc>
          <w:tcPr>
            <w:tcW w:w="20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40,700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38,120</w:t>
            </w:r>
          </w:p>
        </w:tc>
      </w:tr>
      <w:tr>
        <w:trPr>
          <w:trHeight w:val="280"/>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871</w:t>
            </w:r>
          </w:p>
        </w:tc>
      </w:tr>
      <w:tr>
        <w:trPr>
          <w:trHeight w:val="250"/>
        </w:trPr>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41,610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38,991</w:t>
            </w:r>
          </w:p>
        </w:tc>
      </w:tr>
      <w:tr>
        <w:trPr>
          <w:trHeight w:val="237"/>
        </w:trPr>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151,987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144,603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8320" w:space="480"/>
            <w:col w:w="2620"/>
          </w:cols>
          <w:pgMar w:left="240" w:top="121" w:right="239" w:bottom="0" w:gutter="0" w:footer="0" w:header="0"/>
        </w:sectPr>
      </w:pPr>
    </w:p>
    <w:p>
      <w:pPr>
        <w:jc w:val="center"/>
        <w:spacing w:after="0"/>
        <w:rPr>
          <w:sz w:val="20"/>
          <w:szCs w:val="20"/>
          <w:color w:val="auto"/>
        </w:rPr>
      </w:pPr>
      <w:r>
        <w:rPr>
          <w:rFonts w:ascii="Arial" w:cs="Arial" w:eastAsia="Arial" w:hAnsi="Arial"/>
          <w:sz w:val="14"/>
          <w:szCs w:val="14"/>
          <w:color w:val="auto"/>
        </w:rPr>
        <w:t>Reference should be made to the notes to condensed consolidated financial statements.</w:t>
      </w:r>
    </w:p>
    <w:p>
      <w:pPr>
        <w:sectPr>
          <w:pgSz w:w="11900" w:h="16838" w:orient="portrait"/>
          <w:cols w:equalWidth="0" w:num="1">
            <w:col w:w="11420"/>
          </w:cols>
          <w:pgMar w:left="240" w:top="121"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68" w:right="1440"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3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December 31, 2010</w:t>
      </w:r>
    </w:p>
    <w:p>
      <w:pPr>
        <w:spacing w:after="0" w:line="148" w:lineRule="exact"/>
        <w:rPr>
          <w:sz w:val="20"/>
          <w:szCs w:val="20"/>
          <w:color w:val="auto"/>
        </w:rPr>
      </w:pPr>
    </w:p>
    <w:p>
      <w:pPr>
        <w:ind w:left="200" w:right="180" w:hanging="161"/>
        <w:spacing w:after="0" w:line="249" w:lineRule="auto"/>
        <w:rPr>
          <w:sz w:val="20"/>
          <w:szCs w:val="20"/>
          <w:color w:val="auto"/>
        </w:rPr>
      </w:pPr>
      <w:r>
        <w:rPr>
          <w:rFonts w:ascii="Arial" w:cs="Arial" w:eastAsia="Arial" w:hAnsi="Arial"/>
          <w:sz w:val="11"/>
          <w:szCs w:val="11"/>
          <w:color w:val="auto"/>
        </w:rPr>
        <w:t>Effect of adoption of amendments in ASU 2010-28 regarding goodwill impairment (Note 9)</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income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 comprehensive income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Purchase of noncontrolling interest shares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Exercise of common stock warrants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 based compensation</w:t>
      </w:r>
    </w:p>
    <w:p>
      <w:pPr>
        <w:spacing w:after="0" w:line="144" w:lineRule="exact"/>
        <w:rPr>
          <w:sz w:val="20"/>
          <w:szCs w:val="20"/>
          <w:color w:val="auto"/>
        </w:rPr>
      </w:pPr>
    </w:p>
    <w:p>
      <w:pPr>
        <w:ind w:left="200" w:hanging="161"/>
        <w:spacing w:after="0" w:line="249" w:lineRule="auto"/>
        <w:rPr>
          <w:sz w:val="20"/>
          <w:szCs w:val="20"/>
          <w:color w:val="auto"/>
        </w:rPr>
      </w:pPr>
      <w:r>
        <w:rPr>
          <w:rFonts w:ascii="Arial" w:cs="Arial" w:eastAsia="Arial" w:hAnsi="Arial"/>
          <w:sz w:val="11"/>
          <w:szCs w:val="11"/>
          <w:color w:val="auto"/>
        </w:rPr>
        <w:t>Cash dividends paid on Series A Preferred Stock and cumulative dividends on Series B Preferred Stock</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Dividends declared or paid to noncontrolling interest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Deconsolidation of noncontrolling interest shares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June 30, 2011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tcPr>
          <w:p>
            <w:pPr>
              <w:ind w:left="360"/>
              <w:spacing w:after="0"/>
              <w:rPr>
                <w:sz w:val="20"/>
                <w:szCs w:val="20"/>
                <w:color w:val="auto"/>
              </w:rPr>
            </w:pPr>
            <w:r>
              <w:rPr>
                <w:rFonts w:ascii="Arial" w:cs="Arial" w:eastAsia="Arial" w:hAnsi="Arial"/>
                <w:sz w:val="11"/>
                <w:szCs w:val="11"/>
                <w:b w:val="1"/>
                <w:bCs w:val="1"/>
                <w:color w:val="auto"/>
              </w:rPr>
              <w:t>Common Stockholders’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2"/>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28"/>
        </w:trPr>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22"/>
        </w:trPr>
        <w:tc>
          <w:tcPr>
            <w:tcW w:w="14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Series A</w:t>
            </w:r>
          </w:p>
        </w:tc>
        <w:tc>
          <w:tcPr>
            <w:tcW w:w="14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Series B</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14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Preferred</w:t>
            </w:r>
          </w:p>
        </w:tc>
        <w:tc>
          <w:tcPr>
            <w:tcW w:w="14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Preferred</w:t>
            </w:r>
          </w:p>
        </w:tc>
        <w:tc>
          <w:tcPr>
            <w:tcW w:w="140" w:type="dxa"/>
            <w:vAlign w:val="bottom"/>
          </w:tcPr>
          <w:p>
            <w:pPr>
              <w:spacing w:after="0"/>
              <w:rPr>
                <w:sz w:val="10"/>
                <w:szCs w:val="10"/>
                <w:color w:val="auto"/>
              </w:rPr>
            </w:pPr>
          </w:p>
        </w:tc>
        <w:tc>
          <w:tcPr>
            <w:tcW w:w="8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Common</w:t>
            </w:r>
          </w:p>
        </w:tc>
        <w:tc>
          <w:tcPr>
            <w:tcW w:w="14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10"/>
                <w:szCs w:val="10"/>
                <w:color w:val="auto"/>
              </w:rPr>
            </w:pPr>
          </w:p>
        </w:tc>
        <w:tc>
          <w:tcPr>
            <w:tcW w:w="11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60" w:type="dxa"/>
            <w:vAlign w:val="bottom"/>
          </w:tcPr>
          <w:p>
            <w:pPr>
              <w:spacing w:after="0"/>
              <w:rPr>
                <w:sz w:val="10"/>
                <w:szCs w:val="10"/>
                <w:color w:val="auto"/>
              </w:rPr>
            </w:pPr>
          </w:p>
        </w:tc>
        <w:tc>
          <w:tcPr>
            <w:tcW w:w="62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Total</w:t>
            </w:r>
          </w:p>
        </w:tc>
      </w:tr>
      <w:tr>
        <w:trPr>
          <w:trHeight w:val="140"/>
        </w:trPr>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Surplus</w:t>
            </w:r>
          </w:p>
        </w:tc>
        <w:tc>
          <w:tcPr>
            <w:tcW w:w="14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5"/>
              </w:rPr>
              <w:t>Income (Loss)</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Interests</w:t>
            </w:r>
          </w:p>
        </w:tc>
        <w:tc>
          <w:tcPr>
            <w:tcW w:w="160" w:type="dxa"/>
            <w:vAlign w:val="bottom"/>
          </w:tcPr>
          <w:p>
            <w:pPr>
              <w:spacing w:after="0"/>
              <w:rPr>
                <w:sz w:val="12"/>
                <w:szCs w:val="12"/>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rPr>
              <w:t>Equity</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8"/>
        </w:trPr>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24,257</w:t>
            </w:r>
          </w:p>
        </w:tc>
        <w:tc>
          <w:tcPr>
            <w:tcW w:w="10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266</w:t>
            </w:r>
          </w:p>
        </w:tc>
        <w:tc>
          <w:tcPr>
            <w:tcW w:w="120" w:type="dxa"/>
            <w:vAlign w:val="bottom"/>
          </w:tcPr>
          <w:p>
            <w:pPr>
              <w:spacing w:after="0"/>
              <w:rPr>
                <w:sz w:val="19"/>
                <w:szCs w:val="19"/>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1,251</w:t>
            </w:r>
          </w:p>
        </w:tc>
        <w:tc>
          <w:tcPr>
            <w:tcW w:w="100" w:type="dxa"/>
            <w:vAlign w:val="bottom"/>
          </w:tcPr>
          <w:p>
            <w:pPr>
              <w:spacing w:after="0"/>
              <w:rPr>
                <w:sz w:val="19"/>
                <w:szCs w:val="19"/>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979</w:t>
            </w:r>
          </w:p>
        </w:tc>
        <w:tc>
          <w:tcPr>
            <w:tcW w:w="120" w:type="dxa"/>
            <w:vAlign w:val="bottom"/>
          </w:tcPr>
          <w:p>
            <w:pPr>
              <w:spacing w:after="0"/>
              <w:rPr>
                <w:sz w:val="19"/>
                <w:szCs w:val="19"/>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37,159</w:t>
            </w:r>
          </w:p>
        </w:tc>
      </w:tr>
      <w:tr>
        <w:trPr>
          <w:trHeight w:val="297"/>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(1,466)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(1,466)</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6,358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6,448</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327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342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(100)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7</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107</w:t>
            </w:r>
          </w:p>
        </w:tc>
      </w:tr>
      <w:tr>
        <w:trPr>
          <w:trHeight w:val="297"/>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(429)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(429)</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(31)</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(9)</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4</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5"/>
        </w:trPr>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24,412</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4,729</w:t>
            </w:r>
          </w:p>
        </w:tc>
        <w:tc>
          <w:tcPr>
            <w:tcW w:w="120" w:type="dxa"/>
            <w:vAlign w:val="bottom"/>
          </w:tcPr>
          <w:p>
            <w:pPr>
              <w:spacing w:after="0"/>
              <w:rPr>
                <w:sz w:val="18"/>
                <w:szCs w:val="18"/>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1,571</w:t>
            </w:r>
          </w:p>
        </w:tc>
        <w:tc>
          <w:tcPr>
            <w:tcW w:w="100" w:type="dxa"/>
            <w:vAlign w:val="bottom"/>
          </w:tcPr>
          <w:p>
            <w:pPr>
              <w:spacing w:after="0"/>
              <w:rPr>
                <w:sz w:val="18"/>
                <w:szCs w:val="18"/>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914</w:t>
            </w:r>
          </w:p>
        </w:tc>
        <w:tc>
          <w:tcPr>
            <w:tcW w:w="120" w:type="dxa"/>
            <w:vAlign w:val="bottom"/>
          </w:tcPr>
          <w:p>
            <w:pPr>
              <w:spacing w:after="0"/>
              <w:rPr>
                <w:sz w:val="18"/>
                <w:szCs w:val="18"/>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42,032</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-2108835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-1748790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-1405890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-1062990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-702310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-359410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-16510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160"/>
            <w:col w:w="7980"/>
          </w:cols>
          <w:pgMar w:left="240" w:top="341"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December 31, 2011</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income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 comprehensive loss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Exercise of common stock warrants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 based compensation</w:t>
      </w:r>
    </w:p>
    <w:p>
      <w:pPr>
        <w:spacing w:after="0" w:line="144" w:lineRule="exact"/>
        <w:rPr>
          <w:sz w:val="20"/>
          <w:szCs w:val="20"/>
          <w:color w:val="auto"/>
        </w:rPr>
      </w:pPr>
    </w:p>
    <w:p>
      <w:pPr>
        <w:ind w:left="200" w:hanging="161"/>
        <w:spacing w:after="0" w:line="298" w:lineRule="auto"/>
        <w:rPr>
          <w:sz w:val="20"/>
          <w:szCs w:val="20"/>
          <w:color w:val="auto"/>
        </w:rPr>
      </w:pPr>
      <w:r>
        <w:rPr>
          <w:rFonts w:ascii="Arial" w:cs="Arial" w:eastAsia="Arial" w:hAnsi="Arial"/>
          <w:sz w:val="10"/>
          <w:szCs w:val="10"/>
          <w:color w:val="auto"/>
        </w:rPr>
        <w:t>Cumulative dividends and cash dividends paid on Series A Preferred Stock and cumulative dividends on Series B Preferred Stock</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1"/>
          <w:szCs w:val="11"/>
          <w:color w:val="auto"/>
        </w:rPr>
        <w:t>Dividends declared or paid to noncontrolling interest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June 30, 2012</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1"/>
                <w:szCs w:val="11"/>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1"/>
                <w:szCs w:val="11"/>
                <w:color w:val="auto"/>
              </w:rPr>
            </w:pPr>
          </w:p>
        </w:tc>
        <w:tc>
          <w:tcPr>
            <w:tcW w:w="3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26,391</w:t>
            </w:r>
          </w:p>
        </w:tc>
        <w:tc>
          <w:tcPr>
            <w:tcW w:w="100" w:type="dxa"/>
            <w:vAlign w:val="bottom"/>
          </w:tcPr>
          <w:p>
            <w:pPr>
              <w:spacing w:after="0"/>
              <w:rPr>
                <w:sz w:val="11"/>
                <w:szCs w:val="11"/>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7,183</w:t>
            </w:r>
          </w:p>
        </w:tc>
        <w:tc>
          <w:tcPr>
            <w:tcW w:w="120" w:type="dxa"/>
            <w:vAlign w:val="bottom"/>
          </w:tcPr>
          <w:p>
            <w:pPr>
              <w:spacing w:after="0"/>
              <w:rPr>
                <w:sz w:val="11"/>
                <w:szCs w:val="11"/>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(5,861)</w:t>
            </w:r>
          </w:p>
        </w:tc>
        <w:tc>
          <w:tcPr>
            <w:tcW w:w="100" w:type="dxa"/>
            <w:vAlign w:val="bottom"/>
          </w:tcPr>
          <w:p>
            <w:pPr>
              <w:spacing w:after="0"/>
              <w:rPr>
                <w:sz w:val="11"/>
                <w:szCs w:val="11"/>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871</w:t>
            </w:r>
          </w:p>
        </w:tc>
        <w:tc>
          <w:tcPr>
            <w:tcW w:w="12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38,991</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3,161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3,251</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(136)</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r>
      <w:tr>
        <w:trPr>
          <w:trHeight w:val="297"/>
        </w:trPr>
        <w:tc>
          <w:tcPr>
            <w:tcW w:w="26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(455)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(455)</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(37)</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(12)</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5"/>
        </w:trPr>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8"/>
                <w:szCs w:val="18"/>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8"/>
                <w:szCs w:val="18"/>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26,399</w:t>
            </w:r>
          </w:p>
        </w:tc>
        <w:tc>
          <w:tcPr>
            <w:tcW w:w="100" w:type="dxa"/>
            <w:vAlign w:val="bottom"/>
          </w:tcPr>
          <w:p>
            <w:pPr>
              <w:spacing w:after="0"/>
              <w:rPr>
                <w:sz w:val="18"/>
                <w:szCs w:val="18"/>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9,889</w:t>
            </w:r>
          </w:p>
        </w:tc>
        <w:tc>
          <w:tcPr>
            <w:tcW w:w="120" w:type="dxa"/>
            <w:vAlign w:val="bottom"/>
          </w:tcPr>
          <w:p>
            <w:pPr>
              <w:spacing w:after="0"/>
              <w:rPr>
                <w:sz w:val="18"/>
                <w:szCs w:val="18"/>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(5,995)</w:t>
            </w:r>
          </w:p>
        </w:tc>
        <w:tc>
          <w:tcPr>
            <w:tcW w:w="100" w:type="dxa"/>
            <w:vAlign w:val="bottom"/>
          </w:tcPr>
          <w:p>
            <w:pPr>
              <w:spacing w:after="0"/>
              <w:rPr>
                <w:sz w:val="18"/>
                <w:szCs w:val="18"/>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910</w:t>
            </w:r>
          </w:p>
        </w:tc>
        <w:tc>
          <w:tcPr>
            <w:tcW w:w="120" w:type="dxa"/>
            <w:vAlign w:val="bottom"/>
          </w:tcPr>
          <w:p>
            <w:pPr>
              <w:spacing w:after="0"/>
              <w:rPr>
                <w:sz w:val="18"/>
                <w:szCs w:val="18"/>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41,610</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-1405890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-1062990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-719455</wp:posOffset>
            </wp:positionV>
            <wp:extent cx="72466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-359410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160"/>
            <w:col w:w="7980"/>
          </w:cols>
          <w:pgMar w:left="240" w:top="341"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ind w:left="26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Expenditures for property</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Available-for-sale marketable securities,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Trading marketable securities, acquisitions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Available-for-sale marketable securities, liquidations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Trading marketable securities, liquidations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Acquisition of companies,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leases, liquidations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sale of business units/investments,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in restricted cash and marketable securities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Decrease in restricted cash and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consumer finance receivables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Principal collections and recoveries on consumer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purchases of leased vehicles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increase (decrease) in short-term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on debt (original maturities greater than three months)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to acquire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issuance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financing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at end of period</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2261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03"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4"/>
          <w:szCs w:val="14"/>
          <w:b w:val="1"/>
          <w:bCs w:val="1"/>
          <w:color w:val="auto"/>
        </w:rPr>
        <w:t>June 30, 2012</w:t>
      </w:r>
      <w:r>
        <w:rPr>
          <w:sz w:val="20"/>
          <w:szCs w:val="20"/>
          <w:color w:val="auto"/>
        </w:rPr>
        <w:tab/>
      </w:r>
      <w:r>
        <w:rPr>
          <w:rFonts w:ascii="Arial" w:cs="Arial" w:eastAsia="Arial" w:hAnsi="Arial"/>
          <w:sz w:val="12"/>
          <w:szCs w:val="12"/>
          <w:b w:val="1"/>
          <w:bCs w:val="1"/>
          <w:color w:val="auto"/>
        </w:rPr>
        <w:t>June 30, 2011</w:t>
      </w:r>
    </w:p>
    <w:p>
      <w:pPr>
        <w:spacing w:after="0" w:line="113" w:lineRule="exact"/>
        <w:rPr>
          <w:sz w:val="20"/>
          <w:szCs w:val="20"/>
          <w:color w:val="auto"/>
        </w:rPr>
      </w:pPr>
    </w:p>
    <w:p>
      <w:pPr>
        <w:ind w:left="40"/>
        <w:spacing w:after="0"/>
        <w:tabs>
          <w:tab w:leader="none" w:pos="480" w:val="left"/>
          <w:tab w:leader="none" w:pos="1060" w:val="left"/>
          <w:tab w:leader="none" w:pos="14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6,441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4,687</w:t>
      </w:r>
    </w:p>
    <w:p>
      <w:pPr>
        <w:spacing w:after="0" w:line="379"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4"/>
          <w:szCs w:val="14"/>
          <w:color w:val="auto"/>
        </w:rPr>
        <w:t>(4,059)</w:t>
      </w:r>
      <w:r>
        <w:rPr>
          <w:sz w:val="20"/>
          <w:szCs w:val="20"/>
          <w:color w:val="auto"/>
        </w:rPr>
        <w:tab/>
      </w:r>
      <w:r>
        <w:rPr>
          <w:rFonts w:ascii="Arial" w:cs="Arial" w:eastAsia="Arial" w:hAnsi="Arial"/>
          <w:sz w:val="14"/>
          <w:szCs w:val="14"/>
          <w:color w:val="auto"/>
        </w:rPr>
        <w:t>(2,498)</w:t>
      </w:r>
    </w:p>
    <w:p>
      <w:pPr>
        <w:spacing w:after="0" w:line="109"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4"/>
          <w:szCs w:val="14"/>
          <w:color w:val="auto"/>
        </w:rPr>
        <w:t>(2,928)</w:t>
      </w:r>
      <w:r>
        <w:rPr>
          <w:sz w:val="20"/>
          <w:szCs w:val="20"/>
          <w:color w:val="auto"/>
        </w:rPr>
        <w:tab/>
      </w:r>
      <w:r>
        <w:rPr>
          <w:rFonts w:ascii="Arial" w:cs="Arial" w:eastAsia="Arial" w:hAnsi="Arial"/>
          <w:sz w:val="14"/>
          <w:szCs w:val="14"/>
          <w:color w:val="auto"/>
        </w:rPr>
        <w:t>(12,993)</w:t>
      </w:r>
    </w:p>
    <w:p>
      <w:pPr>
        <w:spacing w:after="0" w:line="10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4"/>
          <w:szCs w:val="14"/>
          <w:color w:val="auto"/>
        </w:rPr>
        <w:t>(3,997)</w:t>
      </w:r>
      <w:r>
        <w:rPr>
          <w:sz w:val="20"/>
          <w:szCs w:val="20"/>
          <w:color w:val="auto"/>
        </w:rPr>
        <w:tab/>
      </w:r>
      <w:r>
        <w:rPr>
          <w:rFonts w:ascii="Arial" w:cs="Arial" w:eastAsia="Arial" w:hAnsi="Arial"/>
          <w:sz w:val="14"/>
          <w:szCs w:val="14"/>
          <w:color w:val="auto"/>
        </w:rPr>
        <w:t>(258)</w:t>
      </w:r>
    </w:p>
    <w:p>
      <w:pPr>
        <w:spacing w:after="0" w:line="109"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4"/>
          <w:szCs w:val="14"/>
          <w:color w:val="auto"/>
        </w:rPr>
        <w:t>7,592</w:t>
      </w:r>
      <w:r>
        <w:rPr>
          <w:sz w:val="20"/>
          <w:szCs w:val="20"/>
          <w:color w:val="auto"/>
        </w:rPr>
        <w:tab/>
      </w:r>
      <w:r>
        <w:rPr>
          <w:rFonts w:ascii="Arial" w:cs="Arial" w:eastAsia="Arial" w:hAnsi="Arial"/>
          <w:sz w:val="14"/>
          <w:szCs w:val="14"/>
          <w:color w:val="auto"/>
        </w:rPr>
        <w:t>6,288</w:t>
      </w:r>
    </w:p>
    <w:p>
      <w:pPr>
        <w:spacing w:after="0" w:line="109"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4"/>
          <w:szCs w:val="14"/>
          <w:color w:val="auto"/>
        </w:rPr>
        <w:t>3,625</w:t>
      </w:r>
      <w:r>
        <w:rPr>
          <w:sz w:val="20"/>
          <w:szCs w:val="20"/>
          <w:color w:val="auto"/>
        </w:rPr>
        <w:tab/>
      </w:r>
      <w:r>
        <w:rPr>
          <w:rFonts w:ascii="Arial" w:cs="Arial" w:eastAsia="Arial" w:hAnsi="Arial"/>
          <w:sz w:val="14"/>
          <w:szCs w:val="14"/>
          <w:color w:val="auto"/>
        </w:rPr>
        <w:t>269</w:t>
      </w:r>
    </w:p>
    <w:p>
      <w:pPr>
        <w:spacing w:after="0" w:line="109" w:lineRule="exact"/>
        <w:rPr>
          <w:sz w:val="20"/>
          <w:szCs w:val="20"/>
          <w:color w:val="auto"/>
        </w:rPr>
      </w:pPr>
    </w:p>
    <w:p>
      <w:pPr>
        <w:ind w:left="680"/>
        <w:spacing w:after="0"/>
        <w:tabs>
          <w:tab w:leader="none" w:pos="170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(8)</w:t>
      </w:r>
    </w:p>
    <w:p>
      <w:pPr>
        <w:spacing w:after="0" w:line="109" w:lineRule="exact"/>
        <w:rPr>
          <w:sz w:val="20"/>
          <w:szCs w:val="20"/>
          <w:color w:val="auto"/>
        </w:rPr>
      </w:pPr>
    </w:p>
    <w:p>
      <w:pPr>
        <w:ind w:left="1680" w:hanging="1005"/>
        <w:spacing w:after="0"/>
        <w:tabs>
          <w:tab w:leader="none" w:pos="1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27</w:t>
      </w:r>
    </w:p>
    <w:p>
      <w:pPr>
        <w:spacing w:after="0" w:line="109" w:lineRule="exact"/>
        <w:rPr>
          <w:rFonts w:ascii="Arial" w:cs="Arial" w:eastAsia="Arial" w:hAnsi="Arial"/>
          <w:sz w:val="14"/>
          <w:szCs w:val="14"/>
          <w:color w:val="auto"/>
        </w:rPr>
      </w:pPr>
    </w:p>
    <w:p>
      <w:pPr>
        <w:ind w:left="740"/>
        <w:spacing w:after="0"/>
        <w:rPr>
          <w:rFonts w:ascii="Arial" w:cs="Arial" w:eastAsia="Arial" w:hAnsi="Arial"/>
          <w:sz w:val="14"/>
          <w:szCs w:val="14"/>
          <w:color w:val="auto"/>
        </w:rPr>
      </w:pPr>
      <w:r>
        <w:rPr>
          <w:rFonts w:ascii="Arial" w:cs="Arial" w:eastAsia="Arial" w:hAnsi="Arial"/>
          <w:sz w:val="14"/>
          <w:szCs w:val="14"/>
          <w:color w:val="auto"/>
        </w:rPr>
        <w:t>3</w:t>
      </w:r>
      <w:r>
        <w:rPr>
          <w:rFonts w:ascii="Arial" w:cs="Arial" w:eastAsia="Arial" w:hAnsi="Arial"/>
          <w:sz w:val="13"/>
          <w:szCs w:val="13"/>
          <w:color w:val="auto"/>
        </w:rPr>
        <w:t>4,778</w:t>
      </w:r>
    </w:p>
    <w:p>
      <w:pPr>
        <w:spacing w:after="0" w:line="109" w:lineRule="exact"/>
        <w:rPr>
          <w:sz w:val="20"/>
          <w:szCs w:val="20"/>
          <w:color w:val="auto"/>
        </w:rPr>
      </w:pPr>
    </w:p>
    <w:p>
      <w:pPr>
        <w:ind w:left="1580" w:hanging="1025"/>
        <w:spacing w:after="0"/>
        <w:tabs>
          <w:tab w:leader="none" w:pos="1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(311)</w:t>
      </w:r>
    </w:p>
    <w:p>
      <w:pPr>
        <w:spacing w:after="0" w:line="109"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724</w:t>
      </w:r>
      <w:r>
        <w:rPr>
          <w:rFonts w:ascii="Arial" w:cs="Arial" w:eastAsia="Arial" w:hAnsi="Arial"/>
          <w:sz w:val="13"/>
          <w:szCs w:val="13"/>
          <w:color w:val="auto"/>
        </w:rPr>
        <w:t>488</w:t>
      </w:r>
    </w:p>
    <w:p>
      <w:pPr>
        <w:spacing w:after="0" w:line="109" w:lineRule="exact"/>
        <w:rPr>
          <w:sz w:val="20"/>
          <w:szCs w:val="20"/>
          <w:color w:val="auto"/>
        </w:rPr>
      </w:pPr>
    </w:p>
    <w:tbl>
      <w:tblPr>
        <w:tblLayout w:type="fixed"/>
        <w:tblInd w:w="440" w:type="dxa"/>
        <w:tblCellMar>
          <w:top w:w="0" w:type="dxa"/>
          <w:left w:w="0" w:type="dxa"/>
          <w:bottom w:w="0" w:type="dxa"/>
          <w:right w:w="0" w:type="dxa"/>
        </w:tblCellMar>
      </w:tblPr>
      <w:tr>
        <w:trPr>
          <w:trHeight w:val="182"/>
        </w:trPr>
        <w:tc>
          <w:tcPr>
            <w:tcW w:w="720" w:type="dxa"/>
            <w:vAlign w:val="bottom"/>
          </w:tcPr>
          <w:p>
            <w:pPr>
              <w:jc w:val="right"/>
              <w:ind w:right="228"/>
              <w:spacing w:after="0"/>
              <w:rPr>
                <w:sz w:val="20"/>
                <w:szCs w:val="20"/>
                <w:color w:val="auto"/>
              </w:rPr>
            </w:pPr>
            <w:r>
              <w:rPr>
                <w:rFonts w:ascii="Arial" w:cs="Arial" w:eastAsia="Arial" w:hAnsi="Arial"/>
                <w:sz w:val="14"/>
                <w:szCs w:val="14"/>
                <w:color w:val="auto"/>
                <w:w w:val="90"/>
              </w:rPr>
              <w:t>(2,874)</w:t>
            </w:r>
          </w:p>
        </w:tc>
        <w:tc>
          <w:tcPr>
            <w:tcW w:w="720" w:type="dxa"/>
            <w:vAlign w:val="bottom"/>
          </w:tcPr>
          <w:p>
            <w:pPr>
              <w:jc w:val="right"/>
              <w:spacing w:after="0"/>
              <w:rPr>
                <w:sz w:val="20"/>
                <w:szCs w:val="20"/>
                <w:color w:val="auto"/>
              </w:rPr>
            </w:pPr>
            <w:r>
              <w:rPr>
                <w:rFonts w:ascii="Arial" w:cs="Arial" w:eastAsia="Arial" w:hAnsi="Arial"/>
                <w:sz w:val="14"/>
                <w:szCs w:val="14"/>
                <w:color w:val="auto"/>
              </w:rPr>
              <w:t>(2,444)</w:t>
            </w:r>
          </w:p>
        </w:tc>
      </w:tr>
      <w:tr>
        <w:trPr>
          <w:trHeight w:val="270"/>
        </w:trPr>
        <w:tc>
          <w:tcPr>
            <w:tcW w:w="720" w:type="dxa"/>
            <w:vAlign w:val="bottom"/>
          </w:tcPr>
          <w:p>
            <w:pPr>
              <w:jc w:val="right"/>
              <w:ind w:right="268"/>
              <w:spacing w:after="0"/>
              <w:rPr>
                <w:sz w:val="20"/>
                <w:szCs w:val="20"/>
                <w:color w:val="auto"/>
              </w:rPr>
            </w:pPr>
            <w:r>
              <w:rPr>
                <w:rFonts w:ascii="Arial" w:cs="Arial" w:eastAsia="Arial" w:hAnsi="Arial"/>
                <w:sz w:val="14"/>
                <w:szCs w:val="14"/>
                <w:color w:val="auto"/>
              </w:rPr>
              <w:t>2,040</w:t>
            </w:r>
          </w:p>
        </w:tc>
        <w:tc>
          <w:tcPr>
            <w:tcW w:w="720" w:type="dxa"/>
            <w:vAlign w:val="bottom"/>
          </w:tcPr>
          <w:p>
            <w:pPr>
              <w:jc w:val="right"/>
              <w:spacing w:after="0"/>
              <w:rPr>
                <w:sz w:val="20"/>
                <w:szCs w:val="20"/>
                <w:color w:val="auto"/>
              </w:rPr>
            </w:pPr>
            <w:r>
              <w:rPr>
                <w:rFonts w:ascii="Arial" w:cs="Arial" w:eastAsia="Arial" w:hAnsi="Arial"/>
                <w:sz w:val="14"/>
                <w:szCs w:val="14"/>
                <w:color w:val="auto"/>
              </w:rPr>
              <w:t>1,880</w:t>
            </w:r>
          </w:p>
        </w:tc>
      </w:tr>
    </w:tbl>
    <w:p>
      <w:pPr>
        <w:spacing w:after="0" w:line="88" w:lineRule="exact"/>
        <w:rPr>
          <w:sz w:val="20"/>
          <w:szCs w:val="20"/>
          <w:color w:val="auto"/>
        </w:rPr>
      </w:pPr>
    </w:p>
    <w:p>
      <w:pPr>
        <w:ind w:left="1560" w:hanging="1005"/>
        <w:spacing w:after="0"/>
        <w:tabs>
          <w:tab w:leader="none" w:pos="1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(410)</w:t>
      </w:r>
    </w:p>
    <w:p>
      <w:pPr>
        <w:spacing w:after="0" w:line="109" w:lineRule="exact"/>
        <w:rPr>
          <w:sz w:val="20"/>
          <w:szCs w:val="20"/>
          <w:color w:val="auto"/>
        </w:rPr>
      </w:pPr>
    </w:p>
    <w:p>
      <w:pPr>
        <w:ind w:left="1760" w:hanging="1205"/>
        <w:spacing w:after="0"/>
        <w:tabs>
          <w:tab w:leader="none" w:pos="1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5</w:t>
      </w:r>
    </w:p>
    <w:p>
      <w:pPr>
        <w:spacing w:after="0" w:line="109" w:lineRule="exact"/>
        <w:rPr>
          <w:sz w:val="20"/>
          <w:szCs w:val="20"/>
          <w:color w:val="auto"/>
        </w:rPr>
      </w:pPr>
    </w:p>
    <w:p>
      <w:pPr>
        <w:ind w:left="1460" w:hanging="905"/>
        <w:spacing w:after="0"/>
        <w:tabs>
          <w:tab w:leader="none" w:pos="1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(5,187)</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216</w:t>
            </w:r>
          </w:p>
        </w:tc>
      </w:tr>
      <w:tr>
        <w:trPr>
          <w:trHeight w:val="270"/>
        </w:trPr>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5,145</w:t>
            </w:r>
          </w:p>
        </w:tc>
      </w:tr>
      <w:tr>
        <w:trPr>
          <w:trHeight w:val="270"/>
        </w:trPr>
        <w:tc>
          <w:tcPr>
            <w:tcW w:w="26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(4,077)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(4,849)</w:t>
            </w:r>
          </w:p>
        </w:tc>
      </w:tr>
      <w:tr>
        <w:trPr>
          <w:trHeight w:val="270"/>
        </w:trPr>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26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(435)</w:t>
            </w:r>
          </w:p>
        </w:tc>
      </w:tr>
      <w:tr>
        <w:trPr>
          <w:trHeight w:val="270"/>
        </w:trPr>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44"/>
        </w:trPr>
        <w:tc>
          <w:tcPr>
            <w:tcW w:w="26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6"/>
        </w:trPr>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w:t>
            </w:r>
          </w:p>
        </w:tc>
      </w:tr>
      <w:tr>
        <w:trPr>
          <w:trHeight w:val="244"/>
        </w:trPr>
        <w:tc>
          <w:tcPr>
            <w:tcW w:w="26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276"/>
        </w:trPr>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16,071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21,256</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22,184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20,997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840" w:space="640"/>
            <w:col w:w="194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 Old GM was renamed Motors Liquidation Company (MLC), which was dissolved on December 15, 2011 and transferred its remaining assets and liabilities to the Motors Liquidation Company GUC Trust (GUC Trust).</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primarily through General Motors Financial Company, Inc. (GM Financial).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Recent Accounting Standards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2011 (2011 Form 10-K) as filed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Presentation of Financial Statements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2012 we changed the presentation of our condensed consolidated balance sheet, condensed consolidated statements of cash flows and certain notes to the condensed consolidated financial statements to classify the assets and liabilities of GM Financial as current or non-current and to combine line items which were either of a related nature or not individually material. We have made corresponding reclassifications to the comparable information for all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introduced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aggregate net assets of our Venezuelan subsidiaries at June 30, 2012 and December 31, 2011 were $636 million and $438 million. At June 30, 2012 and December 31, 2011 other consolidated entities have receivables from our Venezuelan subsidiaries of $540 million and $380 million. The total amounts pending government approval for settlement at June 30, 2012 and December 31, 2011 were BsF 3.2 billion (equivalent to $751 million) and BsF 2.3 billion (equivalent to $535 million), for which some requests have been pending from 2007.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Non-Cash Activity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Cash Flows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following table summarizes the amounts of non-cash property additions that have been excluded from Expenditures for property within the investing activities section of the condensed consolidated statements of cash flows because no cash has been expended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948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43"/>
        </w:trPr>
        <w:tc>
          <w:tcPr>
            <w:tcW w:w="9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property additions</w:t>
            </w: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3,737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r>
      <w:tr>
        <w:trPr>
          <w:trHeight w:val="27"/>
        </w:trPr>
        <w:tc>
          <w:tcPr>
            <w:tcW w:w="9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2012 we adopted the provisions of Accounting Standards Update (ASU) 2011-05, “Presentation of Comprehensive Income” (ASU 2011-05) that requires presentation of all non-owner changes in equity in one continuous statement of comprehensive income or in two separate but consecutive statements. We elected to provide a separate statement of comprehensive income for all periods presented. The amendments in this update do not change the items that must be reported in other comprehensive income (OCI) or when an OCI item must be reclassified to net income. The adoption of ASU 2011-05 did not affect our condensed consolidated statements of financial position, results of operations and cash flows.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ASU 2011-05 was modified in December 2011 by the issuance of ASU 2011-12, “Deferral of the Effective Date for Amendments to the Presentation of Reclassifications of Items out of Accumulated Other Comprehensive Income in Accounting Standards Update No. 2011-05.” This update indefinitely defers certain provisions of ASU 2011-05 that require the disclosure of the amount of reclassifications of items from OCI to net income by component of net income and by component of OCI.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GMAC South America LLC</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2012 we acquired from Ally Financial for cash of $29 million 100% of the outstanding equity interests of GMAC South America LLC whose only asset is GMAC de Venezuela CA (GMAC Venezuela) comprising the business and operations of Ally Financial in Venezuela. This acquisition provides us with a captive finance offering in Venezuela which we believe is important in maintaining market position and will provide continued sources of financing for our Venezuela dealers and customers.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recorded the fair value of the assets acquired and liabilities assumed as of March 1, 2012, the date we obtained control, and have included GMAC Venezuela's results of operations and cash flows from that date forward. The following table summarizes the amounts recorded in connection with the acquisition of GMAC Venezuela, which are included in our GMSA segment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March 1, 2012</w:t>
            </w: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10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Bargain purchase gain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10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paid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0"/>
        </w:trPr>
        <w:tc>
          <w:tcPr>
            <w:tcW w:w="10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determined the excess of net assets acquired over consideration paid was attributable to the measurement differences between the BsF denominated assets and liabilities valued using the official foreign exchange rate, as required by U.S. GAAP, and the enterprise value which has been discounted to reflect the uncertainty surrounding our ability to convert the BsF to U.S. Dollars and the risks of operating in a politically unstable country. The measurement differences do not qualify to be recorded in the application of the acquisition method of accounting, and we recorded the excess of net assets acquired over the consideration paid as a bargain purchase gain. The bargain purchase gain was recorded in Interest income and other non-operating income, net. We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did not provide pro forma financial information because we do not believe the information is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Additional GM Korea Interests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2011 we completed the acquisition of an additional 6.9% interest in GM Korea Company (GM Korea) for cash of $100 million. The transaction was accounted for as an equity transaction as we retain the controlling financial interest in GM Korea. This transaction reduced our equity attributable to Noncontrolling interests by $134 million and our Accumulated other comprehensive income by $7 million and increased our Capital surplus by $41 million. We now own 77.0% of the outstanding shares of GM Korea.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measure the fair value of our marketable securities using a market approach where identical or comparable prices are available and an income approach in other cases. We obtain the majority of the prices used in this valuation from a pricing service. Our pricing service utilizes industry-standard pricing models that consider various inputs, including benchmark yields, reported trades, broker/dealer quotes, issuer spreads and benchmark securities as well as other relevant economic measures. We conduct an annual review of valuations provided by our pricing service, which includes discussion and analysis of the inputs used by the pricing service to provide prices for the types of securities we hold. These inputs include prices for comparable securities, bid/ask quotes, interest rate yields and prepayment spreads. Based on our review we believe the prices received from our pricing service are a reliable representation of exit prices.</w:t>
      </w:r>
    </w:p>
    <w:p>
      <w:pPr>
        <w:spacing w:after="0" w:line="16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At June 30, 2012 the carrying amount of our investment in Peugeot S.A. (PSA) exceeded its fair value. The share prices for comparable European automotive companies are currently experiencing significant volatility stemming, in part, from the eurozone debt crisis and its effect on automotive sales within the eurozone, as well as the uncertainty around future sales. We assessed whether the decline in value represented an other-than-temporary impairment and concluded that the impairment is temporary. We believe that the recent economic uncertainty is weighing heavily on the valuation of PSA. Should market conditions not recover in the near-term, we may conclude the impairment is other-than-temporary, resulting in an impairment charge. We currently have the ability and intent to hold the investment until its fair value recovers.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6"/>
              </w:rPr>
              <w:t>June 30, 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7"/>
          </w:tcPr>
          <w:p>
            <w:pPr>
              <w:jc w:val="center"/>
              <w:ind w:right="39"/>
              <w:spacing w:after="0"/>
              <w:rPr>
                <w:sz w:val="20"/>
                <w:szCs w:val="20"/>
                <w:color w:val="auto"/>
              </w:rPr>
            </w:pPr>
            <w:r>
              <w:rPr>
                <w:rFonts w:ascii="Arial" w:cs="Arial" w:eastAsia="Arial" w:hAnsi="Arial"/>
                <w:sz w:val="16"/>
                <w:szCs w:val="16"/>
                <w:b w:val="1"/>
                <w:bCs w:val="1"/>
                <w:color w:val="auto"/>
                <w:w w:val="92"/>
              </w:rPr>
              <w:t>Fair Value Measurements on a Recurring</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government and agencies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Corporate debt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rPr>
              <w:t>Total marketable securities classified as cash</w:t>
            </w: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14,936</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13,627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equivalents</w:t>
            </w:r>
          </w:p>
        </w:tc>
        <w:tc>
          <w:tcPr>
            <w:tcW w:w="2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14,936</w:t>
            </w: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time deposits, and other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22,184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Marketable securities - current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government and agencies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Corporate debt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available-for-sale securities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4,956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Trading securities(a)</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Sovereign debt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trading securities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marketable securities - current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Marketable securities - non-current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Equity(b)</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marketable securities - non-current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3540" w:type="dxa"/>
            <w:vAlign w:val="bottom"/>
          </w:tcPr>
          <w:p>
            <w:pPr>
              <w:ind w:left="40"/>
              <w:spacing w:after="0"/>
              <w:rPr>
                <w:sz w:val="20"/>
                <w:szCs w:val="20"/>
                <w:color w:val="auto"/>
              </w:rPr>
            </w:pPr>
            <w:r>
              <w:rPr>
                <w:rFonts w:ascii="Arial" w:cs="Arial" w:eastAsia="Arial" w:hAnsi="Arial"/>
                <w:sz w:val="16"/>
                <w:szCs w:val="16"/>
                <w:color w:val="auto"/>
              </w:rPr>
              <w:t>Total marketable securities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11,625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11,381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Restricted cash and marketable securities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Money market funds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8"/>
              </w:rPr>
              <w:t>Total marketable securities classified as restricted</w:t>
            </w: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1,216</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cash and marketable securities</w:t>
            </w:r>
          </w:p>
        </w:tc>
        <w:tc>
          <w:tcPr>
            <w:tcW w:w="2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1,216</w:t>
            </w: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w w:val="96"/>
              </w:rPr>
              <w:t>Restricted cash, time deposits, and other restricted</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rPr>
              <w:t>Total restricted cash and marketable securities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unrealized losses on trading securities were $111 million and $61 million in the three and six months ended June 30, 2012. Net unrealized gains (losses) were insignificant in the three and six months ended June 30, 2011. Unrealized gains (losses) are primarily related to remeasurement of Canadian Dollar (CAD) denominated securities.</w:t>
      </w:r>
    </w:p>
    <w:p>
      <w:pPr>
        <w:ind w:left="340" w:hanging="332"/>
        <w:spacing w:after="0" w:line="25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our seven percent ownership in PSA acquired in connection with our agreement with PSA to create a long-term and strategic alliance. The investment is recorded in Other assets and deferred income taxes.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6"/>
                <w:szCs w:val="16"/>
                <w:b w:val="1"/>
                <w:bCs w:val="1"/>
                <w:color w:val="auto"/>
                <w:w w:val="90"/>
              </w:rPr>
              <w:t>December 31, 2011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11"/>
          </w:tcPr>
          <w:p>
            <w:pPr>
              <w:jc w:val="center"/>
              <w:spacing w:after="0"/>
              <w:rPr>
                <w:sz w:val="20"/>
                <w:szCs w:val="20"/>
                <w:color w:val="auto"/>
              </w:rPr>
            </w:pPr>
            <w:r>
              <w:rPr>
                <w:rFonts w:ascii="Arial" w:cs="Arial" w:eastAsia="Arial" w:hAnsi="Arial"/>
                <w:sz w:val="16"/>
                <w:szCs w:val="16"/>
                <w:b w:val="1"/>
                <w:bCs w:val="1"/>
                <w:color w:val="auto"/>
                <w:w w:val="92"/>
              </w:rPr>
              <w:t>Fair Value Measurements on a Recurring</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0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0"/>
                <w:szCs w:val="20"/>
                <w:color w:val="auto"/>
              </w:rPr>
            </w:pPr>
          </w:p>
        </w:tc>
        <w:tc>
          <w:tcPr>
            <w:tcW w:w="11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20"/>
                <w:szCs w:val="20"/>
                <w:color w:val="auto"/>
              </w:rPr>
            </w:pPr>
          </w:p>
        </w:tc>
        <w:tc>
          <w:tcPr>
            <w:tcW w:w="840" w:type="dxa"/>
            <w:vAlign w:val="bottom"/>
          </w:tcPr>
          <w:p>
            <w:pPr>
              <w:jc w:val="right"/>
              <w:ind w:right="178"/>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government and agencies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Corporate debt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available-for-sale securities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9,663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9,663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7,869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trading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rPr>
              <w:t>Total marketable securities classified as cash</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1,794</w:t>
            </w:r>
          </w:p>
        </w:tc>
        <w:tc>
          <w:tcPr>
            <w:tcW w:w="100" w:type="dxa"/>
            <w:vAlign w:val="bottom"/>
            <w:vMerge w:val="restart"/>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gridSpan w:val="3"/>
            <w:vMerge w:val="restart"/>
          </w:tcPr>
          <w:p>
            <w:pPr>
              <w:jc w:val="right"/>
              <w:ind w:right="19"/>
              <w:spacing w:after="0"/>
              <w:rPr>
                <w:sz w:val="20"/>
                <w:szCs w:val="20"/>
                <w:color w:val="auto"/>
              </w:rPr>
            </w:pPr>
            <w:r>
              <w:rPr>
                <w:rFonts w:ascii="Arial" w:cs="Arial" w:eastAsia="Arial" w:hAnsi="Arial"/>
                <w:sz w:val="16"/>
                <w:szCs w:val="16"/>
                <w:color w:val="auto"/>
              </w:rPr>
              <w:t>8,366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equivalents</w:t>
            </w:r>
          </w:p>
        </w:tc>
        <w:tc>
          <w:tcPr>
            <w:tcW w:w="2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10,160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gridSpan w:val="3"/>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time deposits, and other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16,071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Marketable securities - current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government and agencies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Corporate debt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6"/>
                <w:szCs w:val="16"/>
                <w:color w:val="auto"/>
              </w:rPr>
              <w:t>4,565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available-for-sale securities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10,101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10,102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5,936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6"/>
                <w:szCs w:val="16"/>
                <w:color w:val="auto"/>
              </w:rPr>
              <w:t>5,936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debt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trading securities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6,046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6,012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marketable securities - current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16,148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16,114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Restricted cash and marketable securities</w:t>
            </w: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0"/>
                <w:szCs w:val="20"/>
                <w:color w:val="auto"/>
              </w:rPr>
            </w:pP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Sovereign debt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Total marketable securities classified as restricted</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1,539</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c>
          <w:tcPr>
            <w:tcW w:w="44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gridSpan w:val="3"/>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marketable securities</w:t>
            </w: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6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w w:val="96"/>
              </w:rPr>
              <w:t>Restricted cash, time deposits, and other restricted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restricted cash and marketable securities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gridSpan w:val="3"/>
            <w:vMerge w:val="restart"/>
          </w:tcPr>
          <w:p>
            <w:pPr>
              <w:jc w:val="right"/>
              <w:ind w:right="39"/>
              <w:spacing w:after="0"/>
              <w:rPr>
                <w:sz w:val="20"/>
                <w:szCs w:val="20"/>
                <w:color w:val="auto"/>
              </w:rPr>
            </w:pPr>
            <w:r>
              <w:rPr>
                <w:rFonts w:ascii="Arial" w:cs="Arial" w:eastAsia="Arial" w:hAnsi="Arial"/>
                <w:sz w:val="14"/>
                <w:szCs w:val="14"/>
                <w:b w:val="1"/>
                <w:bCs w:val="1"/>
                <w:color w:val="auto"/>
                <w:w w:val="94"/>
              </w:rPr>
              <w:t>June 30, 2012</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4"/>
            <w:vMerge w:val="restart"/>
          </w:tcPr>
          <w:p>
            <w:pPr>
              <w:jc w:val="right"/>
              <w:ind w:right="138"/>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line="20" w:lineRule="exact"/>
              <w:rPr>
                <w:sz w:val="1"/>
                <w:szCs w:val="1"/>
                <w:color w:val="auto"/>
              </w:rPr>
            </w:pPr>
          </w:p>
        </w:tc>
      </w:tr>
      <w:tr>
        <w:trPr>
          <w:trHeight w:val="575"/>
        </w:trPr>
        <w:tc>
          <w:tcPr>
            <w:tcW w:w="3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Classification of Restricted cash and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680" w:type="dxa"/>
            <w:vAlign w:val="bottom"/>
            <w:gridSpan w:val="3"/>
          </w:tcPr>
          <w:p>
            <w:pPr>
              <w:jc w:val="right"/>
              <w:ind w:right="2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w w:val="93"/>
              </w:rPr>
              <w:t>Total restricted cash and marketable securities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1,780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maintained securities of $84 million as compensating balances to support letters of credit of $70 million at June 30, 2012 and December 31, 2011. We have access to these securities in the normal course of business; however, the letters of credit may be withdrawn if the minimum collateral balance is not maintained.</w:t>
      </w:r>
    </w:p>
    <w:p>
      <w:pPr>
        <w:spacing w:after="0" w:line="181"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Sales proceeds from investments in marketable securities classified as available-for-sale and sold prior to maturity were $551 million and $132 million in the three months ended June 30, 2012 and 2011 and $978 million and $249 million in the six months ended June 30, 2012 and 2011.</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classified as available-for-sale within cash equivalents, marketable securities and restricted cash by contractual maturity at June 30, 2012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1,482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maturities of available-for-sale securities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18,618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GM Financial Finance Receivables, net</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April 2012 GM Financial commenced commercial lending activities in the U.S. centered on floorplan financing of dealer vehicle inventory and dealer loans to finance dealer sites, facilities, facility improvements and working capital. These loans are made on a secured basis.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finance receivables, net relating to consumer and commercial activities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53"/>
        </w:trPr>
        <w:tc>
          <w:tcPr>
            <w:tcW w:w="84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finance receivables,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180"/>
              <w:spacing w:after="0"/>
              <w:rPr>
                <w:sz w:val="20"/>
                <w:szCs w:val="20"/>
                <w:color w:val="auto"/>
              </w:rPr>
            </w:pPr>
            <w:r>
              <w:rPr>
                <w:rFonts w:ascii="Arial" w:cs="Arial" w:eastAsia="Arial" w:hAnsi="Arial"/>
                <w:sz w:val="18"/>
                <w:szCs w:val="18"/>
                <w:color w:val="auto"/>
                <w:w w:val="95"/>
              </w:rPr>
              <w:t>The following table summarizes the components of GM Financial finance receivables, net (dollars in millions):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53"/>
        </w:trPr>
        <w:tc>
          <w:tcPr>
            <w:tcW w:w="84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consumer finance receivables, outstanding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60" w:type="dxa"/>
            <w:vAlign w:val="bottom"/>
          </w:tcPr>
          <w:p>
            <w:pPr>
              <w:ind w:left="40"/>
              <w:spacing w:after="0"/>
              <w:rPr>
                <w:sz w:val="20"/>
                <w:szCs w:val="20"/>
                <w:color w:val="auto"/>
              </w:rPr>
            </w:pPr>
            <w:r>
              <w:rPr>
                <w:rFonts w:ascii="Arial" w:cs="Arial" w:eastAsia="Arial" w:hAnsi="Arial"/>
                <w:sz w:val="18"/>
                <w:szCs w:val="18"/>
                <w:color w:val="auto"/>
              </w:rPr>
              <w:t>Pre-acquisition consumer finance receivables, carrying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Post-acquisition finance receivables, net of fees(a)</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Total finance receivables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 on post-acquisition finance receivables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Total GM Financial finance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10,030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(a) At June 30, 2012 the balance includes finance receivables and loans in connection with the commercial lending program of $128 million.</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finance receivables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consumer finance receivables, carrying amount, beginning of period</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Post-acquisition finance receivables, beginning of period</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5,314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originated or purchased(a)</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collections and other(a)</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 in carrying amount adjustment on the pre-acquisition finance receivables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10,279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63" w:lineRule="auto"/>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finance receivables and loans originated of $174 million and principal collections of $46 million in connection with the commercial lending program for the three and six months ended June 30, 2012.</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carrying amount and estimated fair value of GM Financial finance receivables,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finance receivables,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10,030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10,330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9,162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Financial determined the fair value of consumer finance receivables using Level 2 and Level 3 inputs within a cash flow model. The Level 3 inputs reflect assumptions regarding expected prepayments, deferrals, delinquencies, recoveries and charge-offs of the loans within the finance receivable portfolio. The cash flow model produces an estimated amortization schedule of the finance receivables which is the basis for the calculation of the series of cash flows that derive the fair value of the portfolio. The series of cash flows are calculated and discounted using a weighted-average cost of capital (WACC) using unobservable debt and equity percentages, an unobservable cost of equity and an observable cost of debt based on companies with a similar credit rating and maturity and maturity profile as the portfolio. Macroeconomic factors could negatively affect the credit performance of the portfolio and therefore could potentially affect the assumptions used in our cash flow model.</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Substantially all commercial finance receivables have variable interest rates and maturities of one year. Therefore, carrying amount is considered to be a reasonable estimate of fair value which is determined using Level 1 inputs.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At June 30, 2012 and December 31, 2011 the accrual of finance charge income has been suspended on delinquent consumer finance receivables based on contractual amounts due of $412 million and $439 million. At June 30, 2012 there were no commercial finance receivables or loans on non-accrual status.</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reviews its pre-acquisition portfolio for differences between contractual cash flows and the cash flows expected to be collected from its initial investment in the pre-acquisition portfolio to determine if the difference is attributable, at least, in part to credit quality. In the six months ended June 30, 2012 as a result of improvements in credit performance of the pre-acquisition portfolio, which resulted in an increase of expected cash flows of $170 million, GM Financial transferred this excess non-accretable discount to accretable yield. GM Financial will recognize this excess as finance charge income over the remaining life of the portfolio.</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accretable yield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w w:val="98"/>
              </w:rPr>
              <w:t>Six Months Ended</w:t>
            </w:r>
          </w:p>
        </w:tc>
      </w:tr>
      <w:tr>
        <w:trPr>
          <w:trHeight w:val="264"/>
        </w:trPr>
        <w:tc>
          <w:tcPr>
            <w:tcW w:w="74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2012</w:t>
            </w:r>
          </w:p>
        </w:tc>
        <w:tc>
          <w:tcPr>
            <w:tcW w:w="100" w:type="dxa"/>
            <w:vAlign w:val="bottom"/>
            <w:tcBorders>
              <w:bottom w:val="single" w:sz="8" w:color="CCEEFF"/>
            </w:tcBorders>
            <w:gridSpan w:val="2"/>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2011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June 30, 2012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Accretion of accretable yield</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from non-accretable discount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1,072</w:t>
            </w:r>
          </w:p>
        </w:tc>
      </w:tr>
      <w:tr>
        <w:trPr>
          <w:trHeight w:val="20"/>
        </w:trPr>
        <w:tc>
          <w:tcPr>
            <w:tcW w:w="74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19"/>
        </w:trPr>
        <w:tc>
          <w:tcPr>
            <w:tcW w:w="9820" w:type="dxa"/>
            <w:vAlign w:val="bottom"/>
            <w:gridSpan w:val="10"/>
          </w:tcPr>
          <w:p>
            <w:pPr>
              <w:ind w:left="180"/>
              <w:spacing w:after="0"/>
              <w:rPr>
                <w:sz w:val="20"/>
                <w:szCs w:val="20"/>
                <w:color w:val="auto"/>
              </w:rPr>
            </w:pPr>
            <w:r>
              <w:rPr>
                <w:rFonts w:ascii="Arial" w:cs="Arial" w:eastAsia="Arial" w:hAnsi="Arial"/>
                <w:sz w:val="18"/>
                <w:szCs w:val="18"/>
                <w:color w:val="auto"/>
                <w:w w:val="92"/>
              </w:rPr>
              <w:t>The following table summarizes the allowance for post-acquisition loan losses on consumer finance receivables (dollars in millions):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99"/>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2012</w:t>
            </w:r>
          </w:p>
        </w:tc>
        <w:tc>
          <w:tcPr>
            <w:tcW w:w="16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allowance for post-acquisition loan losses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activity for the allowance for post-acquisition loan losses on consumer finance receivables (dollars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28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tcPr>
          <w:p>
            <w:pPr>
              <w:spacing w:after="0"/>
              <w:rPr>
                <w:sz w:val="16"/>
                <w:szCs w:val="16"/>
                <w:color w:val="auto"/>
              </w:rPr>
            </w:pPr>
          </w:p>
        </w:tc>
      </w:tr>
      <w:tr>
        <w:trPr>
          <w:trHeight w:val="80"/>
        </w:trPr>
        <w:tc>
          <w:tcPr>
            <w:tcW w:w="7440" w:type="dxa"/>
            <w:vAlign w:val="bottom"/>
          </w:tcPr>
          <w:p>
            <w:pPr>
              <w:spacing w:after="0"/>
              <w:rPr>
                <w:sz w:val="6"/>
                <w:szCs w:val="6"/>
                <w:color w:val="auto"/>
              </w:rPr>
            </w:pPr>
          </w:p>
        </w:tc>
        <w:tc>
          <w:tcPr>
            <w:tcW w:w="1040" w:type="dxa"/>
            <w:vAlign w:val="bottom"/>
            <w:tcBorders>
              <w:bottom w:val="single" w:sz="8" w:color="auto"/>
            </w:tcBorders>
            <w:gridSpan w:val="3"/>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Borders>
              <w:bottom w:val="single" w:sz="8" w:color="auto"/>
            </w:tcBorders>
            <w:gridSpan w:val="3"/>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r>
      <w:tr>
        <w:trPr>
          <w:trHeight w:val="258"/>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108</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Credit bureau scores, generally referred to as FICO scores, are determined during GM Financial's automotive loan origination process. The following table summarizes the credit risk profile of consumer finance receivables by FICO score band, determined at origination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less than 540</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FICO score 540 to 599</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600 to 659</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FICO score greater than 660</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Composed of the sum of pre-acquisition consumer finance receivables - outstanding balance and post-acquisition consumer finance receivables, net of fees.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Financial's commercial finance receivables consist of dealer financings. A proprietary model is used to assign a risk rating to each dealer. A credit review of each dealer is performed at least annually and, if necessary, the dealer's risk rating is adjusted on the basis of the review.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summarizes the contractual amount of consumer finance receivables, which is not materially different than the recorded investment, more than 30 days delinquent, but not yet in repossession, and in repossession, but not yet charged off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w w:val="96"/>
              </w:rPr>
              <w:t>June 30, 2012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837"/>
              <w:spacing w:after="0"/>
              <w:rPr>
                <w:sz w:val="20"/>
                <w:szCs w:val="20"/>
                <w:color w:val="auto"/>
              </w:rPr>
            </w:pPr>
            <w:r>
              <w:rPr>
                <w:rFonts w:ascii="Arial" w:cs="Arial" w:eastAsia="Arial" w:hAnsi="Arial"/>
                <w:sz w:val="14"/>
                <w:szCs w:val="14"/>
                <w:b w:val="1"/>
                <w:bCs w:val="1"/>
                <w:color w:val="auto"/>
              </w:rPr>
              <w:t>June 30, 2011</w:t>
            </w: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Amount Due</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50"/>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Delinquent contracts</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31-to-60 days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3"/>
              <w:spacing w:after="0"/>
              <w:rPr>
                <w:sz w:val="20"/>
                <w:szCs w:val="20"/>
                <w:color w:val="auto"/>
              </w:rPr>
            </w:pPr>
            <w:r>
              <w:rPr>
                <w:rFonts w:ascii="Arial" w:cs="Arial" w:eastAsia="Arial" w:hAnsi="Arial"/>
                <w:sz w:val="18"/>
                <w:szCs w:val="18"/>
                <w:color w:val="auto"/>
                <w:w w:val="79"/>
              </w:rPr>
              <w:t>428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Greater-than-60 days</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79"/>
              </w:rPr>
              <w:t>586</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repossession</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w w:val="96"/>
              </w:rPr>
              <w:t>Total finance receivables more than 30 days delinquent and in repossession</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611</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 account is considered delinquent if a substantial portion of a scheduled payment has not been received by the date such payment was contractually due.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Delinquencies may vary from period to period based upon the average age of the portfolio, seasonality within the calendar year and economic factors.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June 30, 2012 all commercial finance receivables were current with respect to payment status.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Securitizations</w:t>
      </w:r>
    </w:p>
    <w:p>
      <w:pPr>
        <w:spacing w:after="0" w:line="229"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following table summarizes securitization activity and cash flows from consolidated special purpose entities (SPEs) used for securitizations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securitized</w:t>
            </w: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proceeds from securitization</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2,750</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Servicing fees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Variable interest entities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distributions from trusts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Variable interest entities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434</w:t>
            </w:r>
          </w:p>
        </w:tc>
      </w:tr>
    </w:tbl>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retains servicing responsibilities for receivables transferred to certain securitization SPEs. At June 30, 2012 and December 31, 2011 GM Financial serviced finance receivables that have been transferred to certain SPEs of $9.5 billion and $7.9 billion. At June 30, 2012 and December 31, 2011 a Canadian subsidiary of GM Financial serviced leased assets of $802 million and $1.0 billion for a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Productive material, supplies and work in process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7,838</w:t>
            </w: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15,433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14,324</w:t>
            </w: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exercise significant influence over decisions relating to their operating and financial affairs.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Equity income, net of tax and gain on disposal of investments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New Delphi (including gain on disposition)</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1,727</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equity income, net of tax and gain on disposal of investments</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2,526</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received dividends from nonconsolidated affiliates of $1.3 billion and $1.1 billion in the three months ended June 30, 2012 and 2011 and $1.4 billion and $1.1 billion in the six months ended June 30, 2012 and 2011. At June 30, 2012 and December 31, 2011 we had undistributed earnings including dividends declared but not received of $909 million and $1.6 billion related to our nonconsolidated affiliates.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China JVs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our Chinese joint ventures, collectively referred to as China JVs: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2012</w:t>
            </w:r>
          </w:p>
        </w:tc>
        <w:tc>
          <w:tcPr>
            <w:tcW w:w="1100" w:type="dxa"/>
            <w:vAlign w:val="bottom"/>
          </w:tcPr>
          <w:p>
            <w:pPr>
              <w:jc w:val="right"/>
              <w:ind w:right="52"/>
              <w:spacing w:after="0"/>
              <w:rPr>
                <w:sz w:val="20"/>
                <w:szCs w:val="20"/>
                <w:color w:val="auto"/>
              </w:rPr>
            </w:pPr>
            <w:r>
              <w:rPr>
                <w:rFonts w:ascii="Arial" w:cs="Arial" w:eastAsia="Arial" w:hAnsi="Arial"/>
                <w:sz w:val="14"/>
                <w:szCs w:val="14"/>
                <w:b w:val="1"/>
                <w:bCs w:val="1"/>
                <w:color w:val="auto"/>
              </w:rPr>
              <w:t>June 30, 2011</w:t>
            </w:r>
          </w:p>
        </w:tc>
      </w:tr>
      <w:tr>
        <w:trPr>
          <w:trHeight w:val="53"/>
        </w:trPr>
        <w:tc>
          <w:tcPr>
            <w:tcW w:w="9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General Motors Co., Ltd. (SGM)</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Shanghai GM Norsom Motor Co., Ltd. (SGM Norsom)</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9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GM Dong Yue Motors Co., Ltd. (SGM DY)</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Shanghai GM Dong Yue Powertrain (SGM DYPT)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9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SAIC-GM-Wuling Automobile Co., Ltd. (SGMW)</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FAW-GM Light Duty Commercial Vehicle Co., Ltd. (FAW-GM)</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50%</w:t>
            </w:r>
          </w:p>
        </w:tc>
      </w:tr>
      <w:tr>
        <w:trPr>
          <w:trHeight w:val="27"/>
        </w:trPr>
        <w:tc>
          <w:tcPr>
            <w:tcW w:w="9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40%</w:t>
            </w:r>
          </w:p>
        </w:tc>
      </w:tr>
      <w:tr>
        <w:trPr>
          <w:trHeight w:val="27"/>
        </w:trPr>
        <w:tc>
          <w:tcPr>
            <w:tcW w:w="9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Chengxin Used Car Operation and Management Co., Ltd. (Shanghai Chengxin Used Car)</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SAIC General Motors Sales Co., Ltd. (SGMS)</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and income of our China JVs are not consolidated into our financial statements; rather, our proportionate share of the earnings of each joint venture is reflected as Equity income, net of tax and gain on disposal of investments.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SGM is a joint venture established in 1997 by Shanghai Automotive Industry Corporation (SAIC) (51%) and us (49%). SGM has interests in three other joint ventures in China: SGM Norsom, SGM DY and SGM DYPT. These three joint ventures are jointly held by SGM (50%), SAIC (25%) and us (25%). These four joint ventures are engaged in the production, import, and sale of a comprehensive range of products under the brands of Buick, Chevrolet and Cadillac. SGM also has interests in Shanghai OnStar (20%) and Shanghai Chengxin Used Car (33%).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SGMS is a joint venture established in November 2011 by SAIC (51%) and us (49%) to engage in the sales of the imported brands of Buick, Chevrolet and Cadillac and the sales of automobiles manufactured by SGM.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of New Delphi</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March 2011 we sold our Class A Membership Interests in Delphi Automotive LLP (New Delphi) to New Delphi for $3.8 billion. The Class A Membership Interests sold represented 100% of our direct and indirect interests in New Delphi and 100% of New Delphi's Class A Membership Interests issued and outstanding. The sale terminated any direct and indirect obligation to loan New Delphi up to $500 million under a term loan facility established in October 2009 when New Delphi was created and the Class A Membership Interests were issued. New Delphi had not borrowed under this loan facility. In March 2011 we recorded a gain of $1.6 billion related to the sale in Equity income, net of tax and gain on disposal of investments. Our existing supply contracts with New Delphi were not affected by this transaction.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HKJV</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2011 the fair value of our investment in SAIC GM Investment Limited (HKJV) was determined to be less than its carrying amount. HKJV is our joint venture which controls our automotive operations in India. The loss in value was determined to be other-than-temporary; therefore, we recorded an impairment charge of $39 million in the three months ended March 31, 2011. In addition we recorded other charges totaling $67 million related to our investment in the HKJV.</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provided SAIC Motor Hong Kong Investment Limited (SAIC-HK), a 50% equity holder in HKJV, an option to not participate in future capital injections, which would otherwise be required under certain circumstances. Upon election to exercise the option SAIC-HK would be relieved from providing up to $173 million in future capital injections. The related option liability was $94 million and $88 million and total unrealized losses were $70 million and $64 million at June 30, 2012 and December 31, 2011.</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 Monte Carlo option-pricing model was used to estimate the fair value of the option liability which is a Level 3 measure. The key inputs into the option pricing model were the expected volatility, risk-free rate, expected term, fair value of HKJV and expected amounts of the future funding requirement. The fair value estimate of the option is most sensitive to the fair value of HKJV, which is unobservable. A discounted cash flow methodology was utilized to estimate the fair value of HKJV. A decrease in the fair value of HKJV will result in an increase in the fair value of the option liability.</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were informed of SAIC-HK's intent to exercise its right to not participate in future capital injections in HKJV. If this occurs we plan to settle the promissory note in the three months ending September 30, 2012 and provide an additional equity investment of $125 million into HKJV. As a result SAIC-HK's interest in HKJV would be diluted from 50% to 9%. We also anticipate that the shareholders agreement would be amended such that we obtain control of and consolidate HKJV.</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VMM Deconsolidation</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June 2011 we entered into a new shareholder agreement with Fiat Powertrain Technologies SPA related to VM Motori (VMM) in Italy. Prior to the new shareholder agreement, we controlled VMM and consolidated VMM’s assets, liabilities and results of operations. Under the new shareholder agreement, we retain 50% ownership but no longer have control. Accordingly, we removed the assets and liabilities of VMM, which included allocated goodwill of $36 million from our GME reporting unit, from our consolidated financial statements and recorded an equity interest in the amount of $46 million.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Transactions with Nonconsolidated Affiliates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Nonconsolidated affiliates are involved in various aspects of the development, production and marketing of cars, trucks and automobile parts. We purchase component parts and vehicles from certain nonconsolidated affiliates for resale to dealers. The following tables summarize the effects of transactions with nonconsolidated affiliates (dollars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8"/>
              </w:rPr>
              <w:t>Six Months Ended</w:t>
            </w:r>
          </w:p>
        </w:tc>
      </w:tr>
      <w:tr>
        <w:trPr>
          <w:trHeight w:val="80"/>
        </w:trPr>
        <w:tc>
          <w:tcPr>
            <w:tcW w:w="7440" w:type="dxa"/>
            <w:vAlign w:val="bottom"/>
          </w:tcPr>
          <w:p>
            <w:pPr>
              <w:spacing w:after="0"/>
              <w:rPr>
                <w:sz w:val="6"/>
                <w:szCs w:val="6"/>
                <w:color w:val="auto"/>
              </w:rPr>
            </w:pPr>
          </w:p>
        </w:tc>
        <w:tc>
          <w:tcPr>
            <w:tcW w:w="102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3"/>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r>
      <w:tr>
        <w:trPr>
          <w:trHeight w:val="258"/>
        </w:trPr>
        <w:tc>
          <w:tcPr>
            <w:tcW w:w="744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 2012</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June 30, 2011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Automotive sales and revenue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852</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1,687</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purchases, net</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(expense), net</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642"/>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5"/>
          </w:tcPr>
          <w:p>
            <w:pPr>
              <w:ind w:left="40"/>
              <w:spacing w:after="0"/>
              <w:rPr>
                <w:sz w:val="20"/>
                <w:szCs w:val="20"/>
                <w:color w:val="auto"/>
              </w:rPr>
            </w:pPr>
            <w:r>
              <w:rPr>
                <w:rFonts w:ascii="Arial" w:cs="Arial" w:eastAsia="Arial" w:hAnsi="Arial"/>
                <w:sz w:val="14"/>
                <w:szCs w:val="14"/>
                <w:b w:val="1"/>
                <w:bCs w:val="1"/>
                <w:color w:val="auto"/>
              </w:rPr>
              <w:t>June 30, 2012</w:t>
            </w:r>
          </w:p>
        </w:tc>
        <w:tc>
          <w:tcPr>
            <w:tcW w:w="16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8"/>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580" w:type="dxa"/>
            <w:vAlign w:val="bottom"/>
          </w:tcPr>
          <w:p>
            <w:pPr>
              <w:jc w:val="right"/>
              <w:ind w:right="37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1,785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revenue and customer deposits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21"/>
                <w:szCs w:val="21"/>
                <w:color w:val="auto"/>
              </w:rPr>
            </w:pPr>
          </w:p>
        </w:tc>
        <w:tc>
          <w:tcPr>
            <w:tcW w:w="580" w:type="dxa"/>
            <w:vAlign w:val="bottom"/>
          </w:tcPr>
          <w:p>
            <w:pPr>
              <w:jc w:val="right"/>
              <w:ind w:right="37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642"/>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w w:val="98"/>
              </w:rPr>
              <w:t>Six Months Ended</w:t>
            </w:r>
          </w:p>
        </w:tc>
      </w:tr>
      <w:tr>
        <w:trPr>
          <w:trHeight w:val="264"/>
        </w:trPr>
        <w:tc>
          <w:tcPr>
            <w:tcW w:w="7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1,904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Investing</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summarize the changes in the carrying amounts of Goodwill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GME</w:t>
            </w:r>
          </w:p>
        </w:tc>
        <w:tc>
          <w:tcPr>
            <w:tcW w:w="18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Automotive</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29,019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 and other</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26,399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27,127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28,405</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0"/>
              </w:rPr>
              <w:t>Accumulated impairment charges at December 31, 2011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impairment charges at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adopted the provisions of ASU 2010-28 "When to Perform Step 2 of the Goodwill Impairment Test for Reporting Units with Zero or Negative Carrying Amounts" (ASU 2010-28) on January 1, 2011 and performed Step 2 of the goodwill impairment testing analysis for our GME reporting unit which had a negative carrying amount resulting in the recognition of a cumulative-effect adjustment to Retained earnings. GME continued to have a negative carrying amount and because it was more likely than not further goodwill impairment existed in the three months ended March 31, 2012 and 2011 we recorded further Goodwill impairment charges in the three months ended March 31, 2012 and 2011. At March 31, 2012 GME's Goodwill balance was $0.</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and June 30, 2012 we performed event-driven goodwill impairment tests at our GM Korea reporting unit, which resulted in a Goodwill impairment charge of $27 million in the three months ended March 31, 2012 within our GMIO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the Goodwill impairment charges recorded in the three and six months ended June 30, 2012 and 2011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3"/>
                <w:szCs w:val="13"/>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Six months ended June 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3"/>
                <w:szCs w:val="13"/>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Adoption of ASU 2010-28(a)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Three months ended June 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_________</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Impairment charges were recorded as a cumulative-effect adjustment to beginning Retained earnings upon the adoption of ASU 2010-28 in the three months ended March 31, 2011.</w:t>
      </w:r>
    </w:p>
    <w:p>
      <w:pPr>
        <w:spacing w:after="0" w:line="182"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Goodwill impairment charges recorded as a result of the initial adoption of ASU 2010-28 in the three months ended March 31, 2011 and the event-driven goodwill impairment tests in the six months ended June 30, 2012 and 2011 represent the net decreases in implied goodwill resulting primarily from decreases in the fair value-to-U.S. GAAP differences attributable to those assets and liabilities that gave rise to goodwill upon our application of fresh-start reporting, as discussed in Note 32 to our consolidated financial statements in our 2011 Form 10-K. The net decreases resulted primarily from a decrease in our nonperformance risk and an improvement in our incremental borrowing rates since July 10, 2009. At certain of the testing dates the net decrease also resulted from an increase in the high quality corporate bond rates utilized to measure our employee benefit obligations and a decrease in credit spreads between high quality corporate bond rates and market interest rates for companies with similar nonperformance risk. In addition, for the purpose of deriving an implied goodwill balance, deterioration in the business outlook for GME resulted in a reduction in the fair value of certain tax attributes and an increase in the fair value of estimated employee benefit obligations.</w:t>
      </w:r>
    </w:p>
    <w:p>
      <w:pPr>
        <w:spacing w:after="0" w:line="18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When performing our goodwill impairment testing, the fair values of our reporting units were determined based on valuation techniques using the best available information, primarily discounted cash flow projections. We make significant assumptions and estimates about the extent and timing of future cash flows, growth rates, market share and discount rates that represent unobservable inputs into our valuation methodologies. The cash flows are estimated over a significant future period of time, which makes those estimates and assumptions subject to a high degree of uncertainty. Where available and as appropriate, comparative market multiples and the quoted market price of our common stock are used to corroborate the results of the discounted cash flow method. Assumptions used in our discounted cash flow analysis that have the most significant effect on the estimated fair values of our reporting units include:</w:t>
      </w:r>
    </w:p>
    <w:p>
      <w:pPr>
        <w:spacing w:after="0" w:line="246" w:lineRule="exact"/>
        <w:rPr>
          <w:sz w:val="20"/>
          <w:szCs w:val="20"/>
          <w:color w:val="auto"/>
        </w:rPr>
      </w:pPr>
    </w:p>
    <w:p>
      <w:pPr>
        <w:ind w:left="1360" w:hanging="54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estimated WACC;</w:t>
      </w:r>
    </w:p>
    <w:p>
      <w:pPr>
        <w:spacing w:after="0" w:line="103" w:lineRule="exact"/>
        <w:rPr>
          <w:rFonts w:ascii="Arial" w:cs="Arial" w:eastAsia="Arial" w:hAnsi="Arial"/>
          <w:sz w:val="18"/>
          <w:szCs w:val="18"/>
          <w:color w:val="auto"/>
        </w:rPr>
      </w:pPr>
    </w:p>
    <w:p>
      <w:pPr>
        <w:ind w:left="1360" w:hanging="54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estimated long-term growth rates; and</w:t>
      </w:r>
    </w:p>
    <w:p>
      <w:pPr>
        <w:spacing w:after="0" w:line="103" w:lineRule="exact"/>
        <w:rPr>
          <w:rFonts w:ascii="Arial" w:cs="Arial" w:eastAsia="Arial" w:hAnsi="Arial"/>
          <w:sz w:val="18"/>
          <w:szCs w:val="18"/>
          <w:color w:val="auto"/>
        </w:rPr>
      </w:pPr>
    </w:p>
    <w:p>
      <w:pPr>
        <w:ind w:left="1360" w:hanging="54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 of industry sales and our market share.</w:t>
      </w:r>
    </w:p>
    <w:p>
      <w:pPr>
        <w:spacing w:after="0" w:line="23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valuation methodologies utilized to perform our goodwill impairment testing were consistent with those used in our application of fresh-start reporting on July 10, 2009 and in subsequent annual or event-driven goodwill impairment tests and utilized Level 3 measures. Because the fair value of goodwill can be measured only as a residual amount and cannot be determined directly we calculated the implied goodwill for GME and GM Korea in the same manner that goodwill is recognized in a business combination pursuant to Accounting Standards Codification (ASC) 805, "Business Combinations."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Goodwill balances and key assumptions, which are unobservable, utilized for each of our reporting units that required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Step 2 analysis (dollars and industry volumes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ind w:left="340"/>
              <w:spacing w:after="0"/>
              <w:rPr>
                <w:sz w:val="20"/>
                <w:szCs w:val="20"/>
                <w:color w:val="auto"/>
              </w:rPr>
            </w:pPr>
            <w:r>
              <w:rPr>
                <w:rFonts w:ascii="Arial" w:cs="Arial" w:eastAsia="Arial" w:hAnsi="Arial"/>
                <w:sz w:val="14"/>
                <w:szCs w:val="14"/>
                <w:b w:val="1"/>
                <w:bCs w:val="1"/>
                <w:color w:val="auto"/>
              </w:rPr>
              <w:t>Industry Volumes(a)(b)</w:t>
            </w:r>
          </w:p>
        </w:tc>
        <w:tc>
          <w:tcPr>
            <w:tcW w:w="228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Market Share(a)(b)</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Goodwill(c)</w:t>
            </w: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WACC</w:t>
            </w:r>
          </w:p>
        </w:tc>
        <w:tc>
          <w:tcPr>
            <w:tcW w:w="15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Long-Term Growth</w:t>
            </w:r>
          </w:p>
        </w:tc>
        <w:tc>
          <w:tcPr>
            <w:tcW w:w="100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2011/2012</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2015/2016</w:t>
            </w:r>
          </w:p>
        </w:tc>
        <w:tc>
          <w:tcPr>
            <w:tcW w:w="120" w:type="dxa"/>
            <w:vAlign w:val="bottom"/>
          </w:tcPr>
          <w:p>
            <w:pPr>
              <w:spacing w:after="0"/>
              <w:rPr>
                <w:sz w:val="12"/>
                <w:szCs w:val="12"/>
                <w:color w:val="auto"/>
              </w:rPr>
            </w:pPr>
          </w:p>
        </w:tc>
        <w:tc>
          <w:tcPr>
            <w:tcW w:w="108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4"/>
                <w:szCs w:val="14"/>
                <w:b w:val="1"/>
                <w:bCs w:val="1"/>
                <w:color w:val="auto"/>
              </w:rPr>
              <w:t>2011/2012</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rPr>
              <w:t>2015/2016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Rates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GME - At January 1, 2011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GME - At March 31, 2011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GME - At March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GM Korea - At March 31, 2012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Korea - At June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_________</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Industry volumes and market share for GM Korea are based on global industry volumes because GM Korea exports vehicles globally.</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GME amounts at January 1, 2011 and March 31, 2011 are 2011 through 2015 and GME amounts at March 31, 2012 are 2012 through 2016. GM Korea amounts are 2012 through 2015.</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balance of Goodwill evaluated for impairment under the Step 2 analysis.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WACCs considered various factors including bond yields, risk premiums and tax rates; the terminal values were determined using a growth model that applied a reporting unit's long-term growth rate to its projected cash flows beyond the forecast period; and industry sales and a market share for each reporting unit included annual estimates through the forecast period. In addition, minimum operating cash needs that incorporate specific business, economic and regulatory factors giving rise to varying cash needs were estimated.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our Step 2 analyses we determined the fair values of these reporting units had not increased sufficiently to give rise to implied goodwill other than the goodwill arising from the fair value-to-U.S. GAAP differences attributable to those assets and liabilities that gave rise to goodwill upon our application of fresh-start reporting. On our testing dates our Step 2 analyses indicated GME's and GM Korea's implied goodwill was less than their recorded goodwill; therefore, Goodwill was adjusted at the various dates indicated in the table above, except for at June 30, 2012 GM Korea's implied goodwill exceeded its recorded goodwill. As such GM Korea's goodwill was not adjusted at June 30, 2012.</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Future goodwill impairments that may be material could be recognized should the economic uncertainty continue, our equity price decline on a sustained basis, global economies enter into another recession and industry growth stagnates, or should we reverse deferred tax asset valuation allowances in certain tax jurisdictions. Our U.S. and Canadian operations are experiencing current profitability. To the extent this profitability trend continues our conclusion regarding the need for full valuation allowances could change leading to the reversal of a significant portion of valuation allowance in 2012. This could result in a material impairment of goodwill.</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these circumstances future goodwill impairments would largely be affected by decreases in the fair value-to-U.S. GAAP differences that have occurred subsequent to our application of fresh-start reporting. The decrease may occur upon: (1) an improvement in our credit rating; (2) a decrease in credit spreads between high quality corporate bond rates and market interest rates thus resulting in a decrease in the spread between our employee benefit related obligations under U.S. GAAP and their fair values; and/or (3) a change in the fair values of our estimated employee benefit obligations. A decrease would also occur upon reversal of our deferred tax asset valuation allowances. Any decreases in the fair value-to-U.S. GAAP differences that result in goodwill impairment would have a negative effect on our earnings that could be material.</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fair value estimates for event-driven impairment tests assume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2012</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7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Brands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5,393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5,410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and customer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Favorable contracts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15,794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15,830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 amortizing in process 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15,969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9,192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16,005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5,991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43"/>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related to intangible assets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790</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966</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estimated amortization expense related to intangible assets in each of the next five years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311</w:t>
            </w:r>
          </w:p>
        </w:tc>
      </w:tr>
      <w:tr>
        <w:trPr>
          <w:trHeight w:val="27"/>
        </w:trPr>
        <w:tc>
          <w:tcPr>
            <w:tcW w:w="5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Variable interest entities (VIEs) that we do not control through a majority voting interest that are consolidated because we are the primary beneficiary include certain vehicle assembling, manufacturing and selling venture arrangements, the most significant of which is GM Egypt. At June 30, 2012 and December 31, 2011: (1) Total assets of these VIEs were $446 million and $463 million, which were composed of Cash and cash equivalents, Accounts and notes receivable, net, Inventories and Property, net; and (2) Total liabilities were $267 million and $298 million, which were composed of Accounts payable (principally trade) and Accrued liabilities. In the three months ended June 30, 2012 and 2011 Total net sales and revenue recorded by these VIEs were $226 million and $227 million and Net income was $10 million and $21 million. In the six months ended June 30, 2012 and 2011 Total net sales and revenue recorded by these VIEs were $462 million and $337 million and Net income was $7 million and $25 million. These amounts are stated prior to intercompany eliminations. Liabilities recognized as a result of consolidating VIEs generally do not represent claims against us or our other subsidiaries and assets recognized generally are for the benefit of the VIEs' operations and cannot be used to satisfy our obligations.</w:t>
      </w:r>
    </w:p>
    <w:p>
      <w:pPr>
        <w:spacing w:after="0" w:line="18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GM Korea, a non-wholly owned consolidated subsidiary that we control through a majority voting interest, is also a VIE because in the future it may require additional subordinated financial support. At June 30, 2012 and December 31, 2011 the creditors of GM Korea's short-term debt of $116 million and $171 million, current derivative liabilities of $31 million and $44 million and long-term debt of $4 million and $7 million do not have recourse to our general credit. In February 2011 we provided a guarantee to a minority shareholder in GM Korea to repurchase GM Korea's preferred shares according to the redemption schedule should GM Korea not repurchase the shares. This guarantee decreased the amount of long-term debt which did not have recourse to our general credit in the three months ended March 31, 2011.</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finances its loan and lease origination volume through the use of credit facilities and securitization trusts that issue asset-backed securities to investors. GM Financial retains a residual interest in these entities and is not required to provide any additional financial support to its sponsored credit facilities and securitization SPEs. The SPEs are considered VIEs because they do not have sufficient equity at risk and are consolidated because GM Financial has the power over those activities that most significantly affect the economic performance of the SPEs. The finance receivables, leased assets and other assets held by these subsidiaries are not available to our creditors or creditors of our other subsidiaries. Refer to Notes 5, 6 and 13 for additional information on GM Financial's involvement with the SPEs.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7"/>
          <w:szCs w:val="17"/>
          <w:color w:val="auto"/>
        </w:rPr>
        <w:t>VIEs that are not consolidated include certain vehicle assembling, manufacturing and selling venture arrangements and other automotive related entities to which we provided financial support including Ally Financial and HKJV. We concluded these entities are VIEs because they do not have sufficient equity at risk or may require additional subordinated financial support. We currently lack the power through voting or similar rights to direct those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w:t>
      </w:r>
    </w:p>
    <w:p>
      <w:pPr>
        <w:spacing w:after="0" w:line="17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exposure to loss, excluding Ally Financial that is disclosed in Note 22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628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3"/>
                <w:szCs w:val="13"/>
                <w:color w:val="auto"/>
              </w:rPr>
            </w:pPr>
          </w:p>
        </w:tc>
        <w:tc>
          <w:tcPr>
            <w:tcW w:w="104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Exposure to Loss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Exposure to Loss</w:t>
            </w: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assets of nonconsolidated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2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28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Off-balance sheet</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commitments</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liquidity arrangements(a)</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off-balance sheet arrangements</w:t>
            </w:r>
          </w:p>
        </w:tc>
        <w:tc>
          <w:tcPr>
            <w:tcW w:w="4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at June 30, 2012 and December 31, 2011 represented additional contingent future capital funding requirements related primarily to HKJV.</w:t>
      </w:r>
    </w:p>
    <w:p>
      <w:pPr>
        <w:spacing w:after="0" w:line="20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22 for additional information on Ally Financial, including our maximum exposure to loss under agreements with Ally Financial and our recorded investment in Ally Financial. Refer to Note 8 for additional information on our investment in HKJV.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Depreciation, Amortization and Impairment Charges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depreciation, amortization and impairment charges related to Property, net, Equipment on operating leases, net and GM Financial equipment on operating leases, net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long-lived assets</w:t>
            </w: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Impairment charges of long-lived assets(a)</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equipment on operating leases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Impairment charges of equipment on operating leases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jc w:val="both"/>
        <w:ind w:left="340" w:right="20" w:hanging="332"/>
        <w:spacing w:after="0" w:line="254"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fair value of related assets was determined to be $0 in the three months ended June 30, 2012 and 2011 and $0 in the six months ended June 30, 2012 and 2011 measured utilizing Level 3 inputs. Fair value measurements of long-lived assets utilized projected cash flows discounted at a rate commensurate with the perceived business risks related to the assets involved.</w:t>
      </w:r>
    </w:p>
    <w:p>
      <w:pPr>
        <w:spacing w:after="0" w:line="158"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summarizes equipment on operating leases to daily rental car companies measured at fair value utilizing Level 3 inputs on a nonrecurring basis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Fair Value Measurements on a Nonrecurring</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Basis (a)</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Measures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Three months ended June 30, 2011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Six months ended June 30, 2011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carrying amount of the related assets at June 30, 2012 and 2011 may no longer equal the fair value as the fair value presented is as of the date the impairment was taken during the period presented.</w:t>
      </w:r>
    </w:p>
    <w:p>
      <w:pPr>
        <w:spacing w:after="0" w:line="177"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Impairment of vehicles leased to daily rental car companies with guaranteed repurchase obligations is determined to exist if the expected cash flows are lower than the carrying amount of the vehicle. We have multiple, distinct portfolios of vehicles leased to rental car companies and may have multiple impairments within a period. Expected cash flows include all estimated net revenue and costs associated with the sale to daily rental car companies through disposal at auction. The fair value measurements are determined, reviewed and approved on a monthly basis by personnel with appropriate knowledge of transactions with daily rental car companies and auction transactions.</w:t>
      </w:r>
    </w:p>
    <w:p>
      <w:pPr>
        <w:spacing w:after="0" w:line="188"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summarizes the significant quantitative unobservable inputs and assumptions used in the fair value measurement of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14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Valuation Technique</w:t>
            </w:r>
          </w:p>
        </w:tc>
        <w:tc>
          <w:tcPr>
            <w:tcW w:w="120" w:type="dxa"/>
            <w:vAlign w:val="bottom"/>
            <w:vMerge w:val="restart"/>
          </w:tcPr>
          <w:p>
            <w:pPr>
              <w:spacing w:after="0"/>
              <w:rPr>
                <w:sz w:val="12"/>
                <w:szCs w:val="12"/>
                <w:color w:val="auto"/>
              </w:rPr>
            </w:pPr>
          </w:p>
        </w:tc>
        <w:tc>
          <w:tcPr>
            <w:tcW w:w="22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16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June 30, 2012</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Unobservable Input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Impaired equipment on operating leases</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Estimated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Fair value(a)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5,467</w:t>
            </w:r>
          </w:p>
        </w:tc>
      </w:tr>
      <w:tr>
        <w:trPr>
          <w:trHeight w:val="220"/>
        </w:trPr>
        <w:tc>
          <w:tcPr>
            <w:tcW w:w="8460" w:type="dxa"/>
            <w:vAlign w:val="bottom"/>
          </w:tcPr>
          <w:p>
            <w:pPr>
              <w:jc w:val="right"/>
              <w:ind w:right="7553"/>
              <w:spacing w:after="0"/>
              <w:rPr>
                <w:sz w:val="20"/>
                <w:szCs w:val="20"/>
                <w:color w:val="auto"/>
              </w:rPr>
            </w:pPr>
            <w:r>
              <w:rPr>
                <w:rFonts w:ascii="Arial" w:cs="Arial" w:eastAsia="Arial" w:hAnsi="Arial"/>
                <w:sz w:val="16"/>
                <w:szCs w:val="16"/>
                <w:color w:val="auto"/>
                <w:w w:val="89"/>
              </w:rPr>
              <w:t>__________</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fair value of debt included $4.4 billion measured utilizing Level 2 inputs at June 30, 2012 and December 31, 2011. The fair value of debt included $1.2 billion and $1.1 billion measured utilizing Level 3 inputs at June 30, 2012 and December 31, 2011.</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The Level 2 fair value measurements utilize a discounted cash flow model. The valuation is reviewed internally by personnel with appropriate expertise in valuation methodologies. This model utilizes observable inputs such as contractual repayment terms and benchmark forward yield curves plus a spread that is intended to represent our nonperformance risk for secured or unsecured obligations. We estimate our nonperformance risk using our corporate credit rating, the rating on our secured revolver, yields on traded bonds of companies with comparable credit ratings and risk profiles. We acquire the benchmark yield curves and nonperformance risk spread from independent sources that are widely used in the financial industry. In certain circumstances we adjust the valuation of debt for additional nonperformance risk or potential prepayment probability scenarios. We may use a probability weighting of prepayment scenarios when the stated rate exceeds market rates and the instrument contains prepayment features. The prepayment scenarios are adjusted to reflect the views of market participants. The fair value measurements subject to additional adjustments for nonperformance risk or prepayment have been categorized within Level 3.</w:t>
      </w:r>
    </w:p>
    <w:p>
      <w:pPr>
        <w:spacing w:after="0" w:line="19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2012 we prepaid and retired a debt obligation of $39 million with a carrying amount of $21 million and we recorded a loss on extinguishment of debt of $18 million which primarily represented the unamortized debt discount.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current and non-current portion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and current portion of long-term debt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4,420</w:t>
            </w: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8,538</w:t>
            </w: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6180" w:type="dxa"/>
            <w:vAlign w:val="bottom"/>
          </w:tcPr>
          <w:p>
            <w:pPr>
              <w:spacing w:after="0"/>
              <w:rPr>
                <w:sz w:val="13"/>
                <w:szCs w:val="13"/>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Credit facilities</w:t>
            </w: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Medium-term note facility</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Lease warehouse facilities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funding facility</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credit facilities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Securitization notes payable</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Securitization notes payable</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6,938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securitization 2012-PP1</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securitization notes payable</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and convertible senior notes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Total GM Financial debt</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8,538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carrying amount of the syndicated warehouse facility and lease funding facilities is considered to be a reasonable estimate of fair value because these facilities have variable rates of interest and maturities of approximately one year. The fair value of the bank funding facility, securitization notes payable and senior notes and convertible senior notes are based on quoted market prices, when available. If quoted prices are not available the market value is estimated by discounting future net cash flows expected to be settled using a current risk-adjusted rate.</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uses observable and unobservable inputs to estimate fair value of the medium-term note facility. Observable inputs are used regarding an advance rate on the receivables to generate an estimated debt amount as well as the interest rate used to calculate the series of estimated principal payments. Those series of interest payments are discounted using an unobservable interest rate based on the most recent securitization in order to estimate fair value which would approximate the replacement value.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 Financial uses observable and unobservable inputs to estimate fair value for the private securitization 2012 - PPI. Unobservable inputs are related to the structuring of the debt into various classes, which is based on public securitizations issued during the same time frame. Observable inputs are used by obtaining active prices based on the securitization debt issued during the same time frame. These observable inputs are then used to create expected market prices (unobservable inputs), which are then applied to the debt classes in order to estimate fair value which would approximate market value.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further details regarding terms and availability of GM Financial's credit facilities at June 30, 2012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Advances</w:t>
            </w:r>
          </w:p>
        </w:tc>
        <w:tc>
          <w:tcPr>
            <w:tcW w:w="26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Pledged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Pledged(a)</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U.S. lease warehouse facility(c)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lease warehouse facility(d)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Medium-term note facility(e)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amounts do not include cash collected on finance receivables pledged of $29 million which is included in Restricted cash and marketable securities.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May 2012 GM Financial increased the Syndicated warehouse facility amount from $2.0 billion to $2.5 billion and extended the maturity date to May 2013.</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January 2012 GM Financial extended the maturity date of the lease warehouse facility for lease originations in the U.S. to January 2013. Borrowings on the facility are collateralized by leased assets.</w:t>
      </w:r>
    </w:p>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July 2012 GM Financial increased the lease warehouse facility for lease originations in Canada from CAD $600 million to CAD $800 million and extended the maturity date to July 2013. Borrowings in the facility are collateralized by leased assets. The facility amount represents CAD $600 million at June 30, 2012 and the advances outstanding amount represents CAD $314 million at June 30, 2012.</w:t>
      </w:r>
    </w:p>
    <w:p>
      <w:pPr>
        <w:spacing w:after="0" w:line="1"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Securitization Notes Payable</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Securitization notes payable represents debt issued by GM Financial in securitization transactions. The following table summarizes securitization notes payable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6"/>
              </w:rPr>
              <w:t>June 30, 2012</w:t>
            </w: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Original</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2"/>
                <w:szCs w:val="12"/>
                <w:color w:val="auto"/>
              </w:rPr>
            </w:pPr>
          </w:p>
        </w:tc>
        <w:tc>
          <w:tcPr>
            <w:tcW w:w="1160" w:type="dxa"/>
            <w:vAlign w:val="bottom"/>
            <w:gridSpan w:val="3"/>
            <w:vMerge w:val="restart"/>
          </w:tcPr>
          <w:p>
            <w:pPr>
              <w:jc w:val="center"/>
              <w:ind w:right="310"/>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2"/>
                <w:szCs w:val="12"/>
                <w:color w:val="auto"/>
              </w:rPr>
            </w:pPr>
          </w:p>
        </w:tc>
        <w:tc>
          <w:tcPr>
            <w:tcW w:w="15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6"/>
              </w:rPr>
              <w:t>Note</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3"/>
              </w:rPr>
              <w:t>Year of Transactions</w:t>
            </w:r>
          </w:p>
        </w:tc>
        <w:tc>
          <w:tcPr>
            <w:tcW w:w="27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Maturity Dates(a)</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Note</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2"/>
                <w:szCs w:val="12"/>
                <w:color w:val="auto"/>
              </w:rPr>
            </w:pPr>
          </w:p>
        </w:tc>
        <w:tc>
          <w:tcPr>
            <w:tcW w:w="116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88"/>
              </w:rPr>
              <w:t>Receivables</w:t>
            </w: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2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Amounts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Pledged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Balance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2007</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April 2014 - March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1,000 - 1,500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- 5.5%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2014 - April 2015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500 - 750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- 10.5%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2009</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January 2016 - July 2017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227 - 725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 - 7.5%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2017 - April 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200 - 850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- 3.8%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2011</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July 2018 - March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800 - 1,000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 - 2.9%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2019 - November 2019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800 - 1,200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- 2.9%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9,550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76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8,603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150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Purchase accounting premium</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3"/>
              <w:spacing w:after="0" w:line="203"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Total securitization notes payable</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Maturity dates represent final legal maturity of securitization notes payable. Securitization notes payable are expected to be paid based on amortization of the finance receivables pledged to the trusts.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summarizes activity for policy, product warranty, recall campaigns and certified used vehicle warranty liabilities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948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9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Warranties issued and assumed in period</w:t>
            </w:r>
          </w:p>
        </w:tc>
        <w:tc>
          <w:tcPr>
            <w:tcW w:w="2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1,552</w:t>
            </w:r>
          </w:p>
        </w:tc>
      </w:tr>
      <w:tr>
        <w:trPr>
          <w:trHeight w:val="27"/>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Adjustments to pre-existing warranties</w:t>
            </w:r>
          </w:p>
        </w:tc>
        <w:tc>
          <w:tcPr>
            <w:tcW w:w="2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6,926</w:t>
            </w: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made a contribution in January 2011 to our U.S. hourly and salaried defined benefit pension plans of 61 million shares of our common stock valued at $2.2 billion for funding purposes at the time of contribution. The contributed shares qualified as a plan asset for funding purposes at the time of contribution and as a plan asset valued at $1.9 billion for accounting purposes in July 2011. This was a voluntary contribution above our funding requirements for the pension plans.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Pension and OPEB Expense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tables summarize the components of net periodic pension and other postretirement benefits (OPEB) (income) expense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2"/>
              </w:rPr>
              <w:t>Three Months Ended June 30,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w w:val="92"/>
              </w:rPr>
              <w:t>Three Months Ended June 30, 2011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3"/>
              </w:rPr>
              <w:t>U.S. Plans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U.S. Plans</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76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0"/>
              </w:rPr>
              <w:t>U.S. Plans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U.S. Plans</w:t>
            </w:r>
          </w:p>
        </w:tc>
        <w:tc>
          <w:tcPr>
            <w:tcW w:w="140" w:type="dxa"/>
            <w:vAlign w:val="bottom"/>
          </w:tcPr>
          <w:p>
            <w:pPr>
              <w:spacing w:after="0"/>
              <w:rPr>
                <w:sz w:val="13"/>
                <w:szCs w:val="13"/>
                <w:color w:val="auto"/>
              </w:rPr>
            </w:pPr>
          </w:p>
        </w:tc>
        <w:tc>
          <w:tcPr>
            <w:tcW w:w="7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Pension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Pension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0"/>
              </w:rPr>
              <w:t>Benefits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w w:val="96"/>
              </w:rPr>
              <w:t>Curtailments, settlements and other (gains)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periodic pension and OPEB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320" w:type="dxa"/>
            <w:vAlign w:val="bottom"/>
            <w:gridSpan w:val="3"/>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80" w:type="dxa"/>
            <w:vAlign w:val="bottom"/>
            <w:gridSpan w:val="3"/>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75"/>
              <w:spacing w:after="0"/>
              <w:rPr>
                <w:sz w:val="20"/>
                <w:szCs w:val="20"/>
                <w:color w:val="auto"/>
              </w:rPr>
            </w:pPr>
            <w:r>
              <w:rPr>
                <w:rFonts w:ascii="Arial" w:cs="Arial" w:eastAsia="Arial" w:hAnsi="Arial"/>
                <w:sz w:val="18"/>
                <w:szCs w:val="18"/>
                <w:color w:val="auto"/>
                <w:w w:val="99"/>
              </w:rPr>
              <w:t>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Six Months Ended June 30,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4"/>
              </w:rPr>
              <w:t>Six Months Ended June 30, 2011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3"/>
              </w:rPr>
              <w:t>U.S. Plans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U.S. Plans</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7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0"/>
              </w:rPr>
              <w:t>U.S. Plans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U.S. Plans</w:t>
            </w:r>
          </w:p>
        </w:tc>
        <w:tc>
          <w:tcPr>
            <w:tcW w:w="140" w:type="dxa"/>
            <w:vAlign w:val="bottom"/>
          </w:tcPr>
          <w:p>
            <w:pPr>
              <w:spacing w:after="0"/>
              <w:rPr>
                <w:sz w:val="13"/>
                <w:szCs w:val="13"/>
                <w:color w:val="auto"/>
              </w:rPr>
            </w:pPr>
          </w:p>
        </w:tc>
        <w:tc>
          <w:tcPr>
            <w:tcW w:w="7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8"/>
              </w:rPr>
              <w:t>Pension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5"/>
              </w:rPr>
              <w:t>Curtailments, settlements and other (gains)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periodic pension and OPEB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January 2012 we amended the U.S. salaried pension plan to cease the accrual of additional benefits effective September 30, 2012. This amendment resulted in a curtailment which decreased the liability and decreased the net actuarial loss component of Accumulated other comprehensive income by $309 million. Active plan participants will receive additional contributions in the defined contribution plan starting in October 2012.</w:t>
      </w:r>
    </w:p>
    <w:p>
      <w:pPr>
        <w:spacing w:after="0" w:line="14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In May 2012 we entered into an agreement in which the salaried pension plan will purchase a group annuity contract from an insurance company that requires the insurance company to pay and administer the future annuity payments to certain of our salaried retirees. Following the execution of the agreement certain retired participants in the salaried plan are being offered lump-sum distributions. Approximately 42,000 salaried retirees and surviving beneficiaries will be eligible to receive a voluntary single lump-sum payment option. Retired salaried employees that are not offered lump-sum distributions or those that decline the lump-sum offer will receive annuity payments from the insurance company in accordance with the terms of the group annuity contract. Approximately 118,000 salaried retirees are affected by changes depending on retirement date and eligibility. We will provide additional funding to the salaried pension plan so that the plan has sufficient assets to purchase the group annuity contract, provide additional funding to the salaried pension plan for current salaried employees and complete the transactions contemplated by the agreement. It is expected that the additional funding for the salaried pension plan will be in the range of $3.5 billion to $4.5 billion. Due to the magnitude of the pension obligations being settled and the interest rate sensitivity of the transactions, it is possible that the ultimate amount of additional funding could be outside this range when the transactions are completed. The ultimate amount of funding will be subject to several additional factors including plan asset returns, the lump-sum election rate and those associated with the creation of the new defined benefit plan. Certain aspects of the transactions contemplated by the agreement are subject to external regulatory review. Assuming all of the closing conditions are met we expect the transactions contemplated under the agreement to be completed by December 31, 2012.</w:t>
      </w:r>
    </w:p>
    <w:p>
      <w:pPr>
        <w:spacing w:after="0" w:line="1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August 2012, the U.S. salaried pension plan was amended to create a legally separate new defined benefit pension plan for primarily active and terminated vested participants. The underlying benefits offered to plan participants were unchanged. The existing plan will primarily cover retirees receiving payments. We expect to settle the existing plan by December 31, 2012 through lump-sum distributions and the purchase of a group annuity contract from an insurance company, as previously discussed, and the plan will subsequently be terminated. Accordingly, we will remeasure the U.S. salaried pension plan in August 2012.</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Salaried Benefit Plans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June 2012 we amended the Canadian salaried pension plan to cease the accrual of additional benefits effective January 1, 2013 and provide active employees a lump-sum distribution option at retirement. The remeasurement, amendments and offsetting curtailment increased the liability by $84 million, and resulted in a net decrease in the pre-tax components of Accumulated other comprehensive income composed of net actuarial loss of $58 million, net actuarial curtailment gain of $20 million and prior service cost of $46 million. Active plan participants will receive additional contributions in the defined contribution plan starting in January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also amended the Canadian salaried retiree healthcare plan to eliminate post-65 healthcare benefits for employees retiring on or after July 1, 2014. In conjunction with this change we amended the plan to offer either a monthly monetary payment or an annual lump-sum cash payment to a defined contribution plan for health care in lieu of the benefit coverage provisions formerly provided under the healthcare plan. These amendments decreased the liability by $28 million and resulted in a net increase in the pre-tax components of Accumulated other comprehensive income composed of prior service credit of $51 million and net actuarial loss of $23 million.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Remeasurements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2012 certain pension plans in GME were remeasured as part of our Goodwill impairment testing, resulting in an increase of $150 million in Pensions and a pre-tax increase in the net actuarial loss component of Accumulated other comprehensive income.</w:t>
      </w:r>
    </w:p>
    <w:p>
      <w:pPr>
        <w:spacing w:after="0" w:line="14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the three months ended March 31, 2011 certain pension plans in GME were remeasured as part of our Goodwill impairment testing, resulting in a decrease of $272 million in Pensions and a pre-tax increase in the net actuarial gain component of Accumulated other comprehensive income.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9 for additional information on our Goodwill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accordance with our risk management policy, we enter into a variety of foreign currency exchange rate and commodity derivative contracts to manage our exposure to fluctuations in certain foreign currency exchange rates and commodity prices. At June 30, 2012 our derivative instruments consisted primarily of forward contracts and options. At June 30, 2012 and December 31, 2011 no outstanding derivative contracts were designated in hedging relationships. We manage our counterparty credit risk by monitoring the credit ratings of our counterparties and by requiring them to post collateral in certain circumstances. Certain of our agreements with counterparties require that we provide cash collateral. At June 30, 2012 and December 31, 2011 no collateral was posted related to derivative instruments, and we did not have any agreements with counterparties to derivative instruments containing covenants requiring the maintenance of certain credit rating levels or credit risk ratios that would require the posting of collateral in the event that such covenants are violated.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fair value measurements of our derivative instruments measured on a recurring basis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 2012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Current(c)</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Non-Current(d)</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10,708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1"/>
        </w:trPr>
        <w:tc>
          <w:tcPr>
            <w:tcW w:w="4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2011</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gridSpan w:val="4"/>
            <w:shd w:val="clear" w:color="auto" w:fill="CCEEFF"/>
          </w:tcPr>
          <w:p>
            <w:pPr>
              <w:jc w:val="right"/>
              <w:ind w:right="736"/>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gridSpan w:val="4"/>
            <w:shd w:val="clear" w:color="auto" w:fill="CCEEFF"/>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Current(c)</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Non-Current(d)</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Recorded in Other current assets and deferred income taxes.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Recorded in Other assets and deferred income taxes.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Recorded in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Recorded in Other liabilities and deferred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152</w:t>
            </w: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measure the fair value of our portfolio of foreign currency, commodity and embedded derivatives using industry accepted models. The significant Level 2 inputs used in the valuation of our derivatives include spot rates, forward rates, volatility and interest rates. These inputs are obtained from pricing services, broker quotes and other sources.</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entered into a power plant lease agreement which included the purchase of natural gas at a fixed price adjusted for movements in heavy fuel oil and coal indices as published by a German governmental agency. The natural gas agreement was determined to be a derivative for accounting purposes and is valued as a forward contract. This commodity derivative valuation uses Level 3 inputs. The significant unobservable inputs used in the fair value measurement of our commodity derivative are coal and heavy fuel oil forward rates and supplier credit spreads. Significant increases (decreases) in the coal and heavy fuel oil index and supplier credit spread would result in significant decreases (increases) to the fair value measurement.</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party to a long-term supply agreement which provides for pricing to be partially denominated in a currency other than the functional currency of the parties to the contract. This pricing feature was determined to be an embedded derivative which we have bifurcated for valuation and accounting purposes. This embedded derivative is valued using an industry accepted model which contains Level 3 inputs.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our embedded foreign currency derivative is the estimate of the Turkish central bank's Euro/Turkish Lira (TRY) forward exchange rate and monthly volume commitment and vehicle mix. Significant decreases (increases) to Euro/TRY forward exchange rate and monthly volume commitment and vehicle mix would result in significant decreases (increases) to the fair value measurement.</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valuations are performed, reviewed and approved by personnel with appropriate expertise in valuation methodologies. For certain derivatives we compare our own valuations with valuations prepared by independent outside parties.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significant quantitative unobservable inputs and assumptions used in the fair value measurement of the derivatives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2012:</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Significant Unobservable Input</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Metric</w:t>
            </w: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w:t>
            </w: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Coal forward price per ton in Euro(a)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€110.44</w:t>
            </w:r>
          </w:p>
        </w:tc>
      </w:tr>
      <w:tr>
        <w:trPr>
          <w:trHeight w:val="243"/>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Heavy fuel oil forward price per ton in Euro(a)</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€528.56</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Supplier nonperformance risk (average)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2.72%</w:t>
            </w:r>
          </w:p>
        </w:tc>
      </w:tr>
      <w:tr>
        <w:trPr>
          <w:trHeight w:val="243"/>
        </w:trPr>
        <w:tc>
          <w:tcPr>
            <w:tcW w:w="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Embedded</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Discounted cash flow</w:t>
            </w: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Average Euro/TRY forward exchange rate(b)</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€2.75</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Volume commitment and vehicle mix in Euro(c)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€1.0 billion</w:t>
            </w:r>
          </w:p>
        </w:tc>
      </w:tr>
      <w:tr>
        <w:trPr>
          <w:trHeight w:val="220"/>
        </w:trPr>
        <w:tc>
          <w:tcPr>
            <w:tcW w:w="20" w:type="dxa"/>
            <w:vAlign w:val="bottom"/>
          </w:tcPr>
          <w:p>
            <w:pPr>
              <w:spacing w:after="0"/>
              <w:rPr>
                <w:sz w:val="19"/>
                <w:szCs w:val="19"/>
                <w:color w:val="auto"/>
              </w:rPr>
            </w:pPr>
          </w:p>
        </w:tc>
        <w:tc>
          <w:tcPr>
            <w:tcW w:w="2960" w:type="dxa"/>
            <w:vAlign w:val="bottom"/>
          </w:tcPr>
          <w:p>
            <w:pPr>
              <w:jc w:val="right"/>
              <w:ind w:right="1990"/>
              <w:spacing w:after="0"/>
              <w:rPr>
                <w:sz w:val="20"/>
                <w:szCs w:val="20"/>
                <w:color w:val="auto"/>
              </w:rPr>
            </w:pPr>
            <w:r>
              <w:rPr>
                <w:rFonts w:ascii="Arial" w:cs="Arial" w:eastAsia="Arial" w:hAnsi="Arial"/>
                <w:sz w:val="18"/>
                <w:szCs w:val="18"/>
                <w:color w:val="auto"/>
                <w:w w:val="85"/>
              </w:rPr>
              <w:t>__________</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Forward prices are estimated to be equivalents of the spot price as published by a governmental agency.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Calculated by adjusting market forward rates for the spread between current market and Turkish central bank spot prices.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Volume commitment is spread evenly on a monthly basis and vehicle mix is pursuant to management forecasts.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our derivative investments measured using Level 3 inputs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473"/>
              <w:spacing w:after="0"/>
              <w:rPr>
                <w:sz w:val="20"/>
                <w:szCs w:val="20"/>
                <w:color w:val="auto"/>
              </w:rPr>
            </w:pPr>
            <w:r>
              <w:rPr>
                <w:rFonts w:ascii="Arial" w:cs="Arial" w:eastAsia="Arial" w:hAnsi="Arial"/>
                <w:sz w:val="14"/>
                <w:szCs w:val="14"/>
                <w:b w:val="1"/>
                <w:bCs w:val="1"/>
                <w:color w:val="auto"/>
              </w:rPr>
              <w:t>Three Months Ended June 30, 2012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4"/>
                <w:szCs w:val="14"/>
                <w:b w:val="1"/>
                <w:bCs w:val="1"/>
                <w:color w:val="auto"/>
              </w:rPr>
              <w:t>Three Months Ended June 30, 2011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Embedded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Commodity</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Embedded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Commodity</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realized/unrealized gains (losses)(a)</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Amount of total gains (losses) in the period included in earnings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w w:val="91"/>
              </w:rPr>
              <w:t>attributable to the change in unrealized gains (losses) relating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color w:val="auto"/>
              </w:rPr>
              <w:t>to assets still held at the reporting date</w:t>
            </w: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Six Months Ended June 30, 2012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Six Months Ended June 30, 2011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Embedded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Commodity</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Embedded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Commodity</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realized/unrealized gains (losses)(a)</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Issuances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Amount of total gains (losses) in the period included in earnings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attributable to the change in unrealized gains (losses) relating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assets still held at the reporting date</w:t>
            </w:r>
          </w:p>
        </w:tc>
        <w:tc>
          <w:tcPr>
            <w:tcW w:w="1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w:t>
      </w:r>
    </w:p>
    <w:p>
      <w:pPr>
        <w:spacing w:after="0" w:line="9" w:lineRule="exact"/>
        <w:rPr>
          <w:sz w:val="20"/>
          <w:szCs w:val="20"/>
          <w:color w:val="auto"/>
        </w:rPr>
      </w:pPr>
    </w:p>
    <w:p>
      <w:pPr>
        <w:ind w:left="340" w:hanging="332"/>
        <w:spacing w:after="0" w:line="26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Realized and unrealized gains (losses) are recorded in Interest income and other non-operating income, net and foreign currency translation gains (losses) are recorded in Accumulated other comprehensive income.</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Gains (Losses) on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derivative gains (losses) recorded in Interest income and other non-operating income, net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145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gains (losses) recorded in earnings</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130</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February 2011 we exercised warrants to purchase 4 million shares of a supplier's common stock at $2.76 per share and sold the shares and received proceeds of $48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 and manages this exposure with interest rate swaps and caps. GM Financial had interest rate swaps and caps in asset positions with notional amounts of $1.5 billion and $2.0 billion at June 30, 2012 and December 31, 2011. GM Financial had interest rate swaps and caps in liability positions with notional amounts of $1.5 billion and $2.0 billion at June 30, 2012 and December 31, 2011. The fair value of these derivative financial instruments was insignificant.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816"/>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2011</w:t>
            </w: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Liability</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Liability</w:t>
            </w:r>
          </w:p>
        </w:tc>
        <w:tc>
          <w:tcPr>
            <w:tcW w:w="200" w:type="dxa"/>
            <w:vAlign w:val="bottom"/>
          </w:tcPr>
          <w:p>
            <w:pPr>
              <w:spacing w:after="0"/>
              <w:rPr>
                <w:sz w:val="13"/>
                <w:szCs w:val="13"/>
                <w:color w:val="auto"/>
              </w:rPr>
            </w:pPr>
          </w:p>
        </w:tc>
        <w:tc>
          <w:tcPr>
            <w:tcW w:w="106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Liability(a)</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6"/>
                <w:szCs w:val="16"/>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b w:val="1"/>
                <w:bCs w:val="1"/>
                <w:color w:val="auto"/>
              </w:rPr>
              <w:t>Liability(a)</w:t>
            </w: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Guarantees(b)</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Ally Financial commercial loans</w:t>
            </w:r>
          </w:p>
        </w:tc>
        <w:tc>
          <w:tcPr>
            <w:tcW w:w="96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Third party commercial loans and other obligations</w:t>
            </w: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210</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product-related claims</w:t>
            </w:r>
          </w:p>
        </w:tc>
        <w:tc>
          <w:tcPr>
            <w:tcW w:w="96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838</w:t>
            </w:r>
          </w:p>
        </w:tc>
      </w:tr>
      <w:tr>
        <w:trPr>
          <w:trHeight w:val="22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__________</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residual support and risk sharing programs and vehicle repurchase obligations related to Ally Financial.</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10204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89" w:lineRule="exact"/>
        <w:rPr>
          <w:sz w:val="20"/>
          <w:szCs w:val="20"/>
          <w:color w:val="auto"/>
        </w:rPr>
      </w:pPr>
    </w:p>
    <w:p>
      <w:pPr>
        <w:jc w:val="center"/>
        <w:ind w:left="8340"/>
        <w:spacing w:after="0"/>
        <w:rPr>
          <w:sz w:val="20"/>
          <w:szCs w:val="20"/>
          <w:color w:val="auto"/>
        </w:rPr>
      </w:pPr>
      <w:r>
        <w:rPr>
          <w:rFonts w:ascii="Arial" w:cs="Arial" w:eastAsia="Arial" w:hAnsi="Arial"/>
          <w:sz w:val="13"/>
          <w:szCs w:val="13"/>
          <w:b w:val="1"/>
          <w:bCs w:val="1"/>
          <w:color w:val="auto"/>
        </w:rPr>
        <w:t>Liability Recorded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38100</wp:posOffset>
            </wp:positionV>
            <wp:extent cx="10121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Liability Recorded</w:t>
      </w:r>
    </w:p>
    <w:p>
      <w:pPr>
        <w:spacing w:after="0" w:line="37" w:lineRule="exact"/>
        <w:rPr>
          <w:sz w:val="20"/>
          <w:szCs w:val="20"/>
          <w:color w:val="auto"/>
        </w:rPr>
      </w:pPr>
    </w:p>
    <w:p>
      <w:pPr>
        <w:sectPr>
          <w:pgSz w:w="11900" w:h="16838" w:orient="portrait"/>
          <w:cols w:equalWidth="0" w:num="2">
            <w:col w:w="9500" w:space="540"/>
            <w:col w:w="13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liability(a)</w:t>
            </w:r>
          </w:p>
        </w:tc>
        <w:tc>
          <w:tcPr>
            <w:tcW w:w="6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Product liability</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litigation-related liability and tax administrative matters(b)</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r>
      <w:tr>
        <w:trPr>
          <w:trHeight w:val="220"/>
        </w:trPr>
        <w:tc>
          <w:tcPr>
            <w:tcW w:w="20" w:type="dxa"/>
            <w:vAlign w:val="bottom"/>
          </w:tcPr>
          <w:p>
            <w:pPr>
              <w:spacing w:after="0"/>
              <w:rPr>
                <w:sz w:val="19"/>
                <w:szCs w:val="19"/>
                <w:color w:val="auto"/>
              </w:rPr>
            </w:pPr>
          </w:p>
        </w:tc>
        <w:tc>
          <w:tcPr>
            <w:tcW w:w="8100" w:type="dxa"/>
            <w:vAlign w:val="bottom"/>
          </w:tcPr>
          <w:p>
            <w:pPr>
              <w:jc w:val="right"/>
              <w:ind w:right="7130"/>
              <w:spacing w:after="0"/>
              <w:rPr>
                <w:sz w:val="20"/>
                <w:szCs w:val="20"/>
                <w:color w:val="auto"/>
              </w:rPr>
            </w:pPr>
            <w:r>
              <w:rPr>
                <w:rFonts w:ascii="Arial" w:cs="Arial" w:eastAsia="Arial" w:hAnsi="Arial"/>
                <w:sz w:val="18"/>
                <w:szCs w:val="18"/>
                <w:color w:val="auto"/>
                <w:w w:val="85"/>
              </w:rPr>
              <w:t>__________</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ind w:left="34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$33 million and $34 million recorded in Accrued liabilities at June 30, 2012 and December 31, 2011 and the remainder was recorded in Other liabilities and deferred income taxes.</w:t>
      </w: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primarily of indirect tax-related litigation as well as various non-U.S. labor related matters.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provided guarantees related to the residual value of certain operating leases. These guarantees terminate in years ranging from 2016 to 2035.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leases contain renewal options.</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provide payment guarantees on commercial loans made by Ally Financial and outstanding with certain third parties, such as dealers or rental car companies. These guarantees either expire in 2012 through 2018 or are ongoing. We determined the fair value ascribed to the guarantees at inception and subsequent to inception to be insignificant based on the credit worthiness of the third parties. Refer to Note 22 for additional information on guarantees that we provide to Ally Financial.</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2012 through 2016 or are ongoing, or upon the occurrence of specific events.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 At June 30, 2012 any proceeds from collateral would be approximately $50 million.</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Immaterial amounts have been recorded for such obligations as the majority of them are not probable or estimable at this time, and the fair value of the guarantees at issuance was insignificant.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Recorded liabilities are not reduced for possible recoveries from insurance carriers or other parties. Liabilities have been recorded for the expected costs to be paid over the periods of remediation for the applicable sites, which typically range from five to 30 years.</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June 30, 2012 we estimate the remediation losses could range from $130 million to $290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respect to product liability claims involving our and Old GM's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product liability claims that have already been incurred and are expected to be filed in the future for which we are self-insured. These amounts were recorded in Accrued liabilities and Other liabilities and deferred income taxes.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indemnify dealers for certain product liability related claims including products sold by Old GM. We monitor actual claims experience and make periodic adjustments to our estimates. Based on management's judgment concerning the projected number and value of both dealer indemnification obligations and product liability claims, we have applied actuarial methodologies and estimated the liability. We expect our product liability reserve to rise in future periods as new claims arise from incidents subsequent to July 9,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ASC 740, "Income Taxes" (indirect tax-related matters) and environmental matters.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various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$458 million to $687 million. Some of the matters may involve compensatory, punitive, or other treble damage claims, environmental remediation programs, or sanctions, that if granted, could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require us to pay damages or make other expenditures in amounts that could not be reasonably estimated at June 30, 2012.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Commencing on or about September 29, 2010, current and former hourly employees of GM Korea filed six separate group actions in the Incheon District Court in Incheon, Korea. The cases allege that GM Korea failed to include certain allowances in its calculation of Ordinary Wages due under the Presidential Decree of the Korean Labor Standards Act. Although GM Korea intends to vigorously defend the claims asserted, at June 30, 2012 we have an accrual of 175 billion Korean Won (equivalent to $152 million) in connection with these cases. The current estimate of the value of plaintiffs' claims, if allowed in full, exceeds the accrual by 642 billion Korean Won (equivalent to $556 million) which represents the reasonably possible liability exposure. Both the scope of claims asserted and GM Korea's assessment of any or all of individual claim elements may change if new information becomes available.</w:t>
      </w:r>
    </w:p>
    <w:p>
      <w:pPr>
        <w:spacing w:after="0" w:line="16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June 22, 2011 the court granted GMCL permission to appeal the class certification decision. On March 26, 2012 the Ontario Superior Court dismissed GMCL's appeal of the class certification order. Accordingly the case will proceed as a class action.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175"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On April 6, 2010 the International Union, United Automobile, Aerospace and Agriculture Implement Workers of America (UAW) filed suit against us in the U.S. District Court for the Eastern District of Michigan claiming that we breached an obligation to contribute $450 million to the UAW Retiree Medical Benefits Trust (New VEBA). The UAW alleges that we were contractually required to make this contribution. The reasonably possible loss as defined by ASC 450 “Contingencies” is $450 million, which is the amount claimed, but we believe that the claim is without merit and we have no accrual relating to this litigation. We filed a motion in the U.S. Bankruptcy Court for the Southern District of New York (Bankruptcy Court) asserting that the UAW's claim is barred by the Bankruptcy Court approved 2009 UAW Retiree Settlement Agreement and by other orders issued by the Bankruptcy Court that preclude additional GM contributions to the New VEBA. We also maintain that Delphi Corporation's bankruptcy plan of reorganization did not fulfill the applicable conditions of the relevant agreement and therefore payment would not be due even in the absence of the 2009 UAW Retiree Settlement Agreement. On August 23, 2011, the Bankruptcy Court issued an opinion abstaining from hearing the case, which will accordingly be litigated in the U.S. District Court for the Eastern District of Michigan.</w:t>
      </w:r>
    </w:p>
    <w:p>
      <w:pPr>
        <w:spacing w:after="0" w:line="19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a participating party-in-interest in proceedings pending in the Bankruptcy Court to adjudicate claims in the Old GM bankruptcy arising from certain securities issued by General Motors Nova Scotia Finance Company (Nova Scotia Finance), an Old GM subsidiary which we did not acquire in 2009 (Nova Scotia Claims Litigation). Although the current proceedings involve no claims against us, they present issues which, depending upon their resolution, could result in future claims against GMCL.</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2003, Nova Scotia Finance, a Nova Scotia unlimited liability company issued notes of 600 million British Pounds (GBP),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which were guaranteed by Old GM (Guaranty) (collectively, the Notes). The proceeds of the Notes were converted to CAD and loaned by Nova Scotia Finance to GMCL by means of two intercompany loans totaling CAD $1.3 billion. As part of the bankruptcy proceeding, these intercompany loans were compromised for CAD $399 million pursuant to a transaction defined by a Lock-Up Agreement between GMCL, Nova Scotia Finance, Old GM and certain holders of the notes (Noteholders). The Lock-Up Agreement defined a transaction by which the Noteholders consented to, among other things, the compromise of the intercompany loans in exchange for payment of CAD $399 million as a Consent Fee. The Consent Fee was originally financed by a loan from Old GM to GMCL immediately prior to the Old GM bankruptcy filing. That loan was subsequently repaid. Pursuant to the terms of the Lock-Up Agreement, the Consent Fee did not reduce the principal amount outstanding under the Notes or the Guaranty. We acquired Old GM's interest in the Lock-Up Agreement in 2009.</w:t>
      </w:r>
    </w:p>
    <w:p>
      <w:pPr>
        <w:spacing w:after="0" w:line="192"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the Nova Scotia Claims Litigation, the Noteholders seek an allowed claim in the Old GM bankruptcy based on the Guaranty. The trustee of Nova Scotia Finance seeks an allowed claim in the amount of the deficiency between Nova Scotia Finance's assets and liabilities, by reason of the fact that it is an unlimited liability company and Old GM was its sole shareholder. The claim asserted by the trustee includes sums allegedly owed by Nova Scotia Finance to us by reason of currency swaps entered into between Old GM and Nova Scotia Finance, which we contend we acquired from Old GM in 2009. Allowance of the claims is opposed by the GUC Trust, which asserts that the claims of the Trustee and Noteholders are duplicative, that they should be reduced by the amount of the Consent Fee, and/or that they should be equitably subordinated or equitably disallowed by reason of alleged inequitable conduct by the Noteholders. In support of this position, the GUC Trust has asserted that the Lock-Up Agreement is void because it was not approved by the Bankruptcy Court and was funded by Old GM, that we did not acquire MLC's interest in the Lock-Up Agreements and currency swaps, and that other aspects of the sale of assets to us on July 10, 2009 may be adjusted to permit disallowance or reduction of the claims of the Noteholders and Trustee. The matter is currently scheduled for trial commencing on August 7, 2012.</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we believe the positions taken by the GUC Trust are without merit, it is reasonably possible that the Bankruptcy Court will issue rulings adverse to our interest in the Nova Scotia Claims Litigation. Such rulings could lead to subsequent claims which, although we believe would be without merit, could adversely impact GMCL's compromise of the intercompany loans. It is impossible to estimate the reasonably possible loss which would depend upon a variety of factors including the outcome of additional litigation. However, the compromise of the intercompany loans for CAD $399 million resulted in a savings to GMCL of CAD $935 million (equivalent to $918 million) which we believe represents a reasonable estimate of the approximate amount of the maximum reasonably possible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Contingently Issuable Shares</w:t>
      </w:r>
    </w:p>
    <w:p>
      <w:pPr>
        <w:spacing w:after="0" w:line="229"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Under the Amended and Restated Master Sale and Purchase Agreement, as amended between us and Old GM and certain of its direct and indirect subsidiaries, we were obligated to issue additional shares of our common stock to MLC (Adjustment Shares) in the event that allowed general unsecured claims against MLC, as estimated by the Bankruptcy Court, exceed $35.0 billion. Following the dissolution of MLC on December 15, 2011, any Adjustment Shares we are obligated to issue will be issuable to the GUC Trust. The maximum number of Adjustment Shares issuable is 30 million shares (subject to adjustment to take into account stock dividends, stock splits and other transactions). The number of Adjustment Shares to be issued is calculated based on the extent to which estimated general unsecured claims exceed $35.0 billion with the maximum number of Adjustment Shares issued if estimated general unsecured claims total $42.0 billion or more. At June 30, 2012, based on the most recent information available, we concluded that the possibility that general unsecured claims would exceed $35.0 billion was remote. We do not anticipate future disclosure regarding Adjustment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$197 million and $209 million at June 30, 2012 and December 31, 2011 was pledged as collateral under the agreement. Through June 30, 2012 spending was sufficient to meet the current requirements under the agreement and the specified milestones have been accomplished. Management has the intent and believes it has the ability to meet the future requirements under the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Cancellations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contract cancellation charges primarily related to the cancellation of product programs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5"/>
              </w:rPr>
              <w:t>Six Months Ended</w:t>
            </w:r>
          </w:p>
        </w:tc>
        <w:tc>
          <w:tcPr>
            <w:tcW w:w="3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GME</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contract cancellations</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income/loss. The tax effect of unusual or infrequently occurring items, including changes in judgment about valuation allowances and effects of changes in tax laws or rates, are reported in the interim period in which they occur. Tax jurisdictions with a projected or year to date loss for which a tax benefit cannot be realized are excluded</w:t>
      </w:r>
      <w:r>
        <w:rPr>
          <w:rFonts w:ascii="Arial" w:cs="Arial" w:eastAsia="Arial" w:hAnsi="Arial"/>
          <w:sz w:val="16"/>
          <w:szCs w:val="16"/>
          <w:i w:val="1"/>
          <w:iCs w:val="1"/>
          <w:color w:val="auto"/>
        </w:rPr>
        <w:t>.</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interim periods, income tax expense is composed of two key elements: (1) the amount necessary to appropriately state the year to date estimated tax expense of entities included in our effective tax rate calculation, which is calculated as the difference between the amount currently estimated for the year to date period and the amount previously recorded in prior interim periods; and (2) the tax effect of unusual or infrequent items that occur in the period.</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2012 income tax expense of $241 million primarily resulted from tax expense attributable to entities included in our effective tax rate calculation. The recorded effective tax rate is lower than the applicable statutory tax rate due primarily to income earned in jurisdictions for which a full valuation allowance is recorded. In the three months ended June 30, 2011 the income tax benefit of $61 million primarily resulted from tax expense attributable to entities included in our effective tax rate calculation more than offset by tax benefit attributable to previously unrecognized tax benefits in various jurisdictions. This benefit includes reductions in interest expense and valuation allowances associated with these previously unrecognized tax benefits.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2012 income tax expense of $457 million primarily resulted from tax expense attributable to entities included in our effective tax rate calculation. The recorded effective tax rate is lower than the applicable statutory tax rate due primarily to income earned in jurisdictions for which a full valuation allowance is recorded. In the six months ended June 30, 2011 income tax expense of $76 million primarily resulted from tax expense attributable to entities included in our effective tax rate calculation partially offset by tax benefits attributable to previously unrecognized tax benefits in various jurisdictions.</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file income tax returns in multiple jurisdictions and are subject to examination by taxing authorities throughout the world. We have open tax years from 2002 to 2011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In addition the global nature of our operations means that transfer pricing disputes may arise.</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2012 a Mexican income tax audit covering the 2004 tax year was concluded and an assessment, adjusted for inflation, of $128 million including tax, interest and penalties was issued. The total 2002, 2003 and 2004 assessments, adjusted for inflation, as of June 30, 2012 including tax, interest and penalties is $292 million. We believe we have adequate reserves established. Collection of any assessment will be suspended until a revised assessment is issued and during any subsequent proceedings through U.S. and Mexican competent authorities.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May 2012 a Brazilian income tax assessment was issued related to the 2007 tax year totaling $180 million including tax, interest and penalties. We believe we have adequate reserves established. Proceedings may require that we deposit escrow funds in the future.</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At June 30, 2012 it is not possible to reasonably estimate the expected change to the total amount of unrecognized tax benefits in the next 12 months.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Related charges are recorded in Automotive cost of sales and Automotive selling, general and administrative expense.</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summarize the reserves related to restructuring and other initiatives (excluding restructuring reserves related to dealer wind-down agreements)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2012</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GMSA</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2011</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2011(a)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$363 million and $369 million at June 30, 2012 and June 30, 2011 for GMNA, primarily relate to postemployment benefits.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and Six Months Ended June 30, 2012</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primarily related to cash severance incentive programs for skilled trade U.S. hourly employees.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2011 UAW labor agreement included cash severance incentive programs which were completed at March 31, 2012 for skilled trade U.S. hourly employees. A total of 1,400 skilled trade U.S. hourly employees participated in these programs at a total cost of $99 million and was recorded upon irrevocable acceptances by both parties. Substantially all of the program cost was recorded in the three months ended March 31, 2012.</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GME recorded charges, interest accretion and other primarily related to previously announced separation and early retirement programs in Germany. Through June 30, 2012, the separation programs had a total cost of $313 million and affected a total of 1,900 employees. We expect to complete these programs in 2013 and incur an additional $0.1 billion, which will affect an additional 350 employees. To the extent these programs involve voluntary separations, no liabilities are recorded until offers to employees are accepted. If employees are involuntarily terminated, a liability is recorded at the communication date.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2012 GMIO recorded charges of $22 million for employee separation costs related to a voluntary separation program in Korea which affected 146 employees. A liability under this program is recorded as offers to employees are accepted.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June 30, 2012 GMSA recorded charges of $71 million for employee separation costs related to a separation program in Brazil.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may incur additional future charges in connection with this program.</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and Six Months Ended June 30, 2011</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that increased the reserves primarily related to skilled trades U.S. hourly employees who participated in a special attrition program.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GME recorded charges and interest accretion and other for separation programs primarily related to previously announced programs in Germany.</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Dealer Wind-downs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market vehicles worldwide through a network of independent retail dealers and distributors. We determined that a reduction in the number of GMNA dealerships was necessary.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GMNA's restructuring reserves related to dealer wind-down agreements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6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Payments</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9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0"/>
        </w:trPr>
        <w:tc>
          <w:tcPr>
            <w:tcW w:w="9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Earnings Per Share</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three and six months ended June 30, 2012 and 2011 we were required to use the two-class method for calculating basic earnings per share and the more dilutive of the two-class or the if-converted method to calculate diluted earnings per share as the applicable market value of our common stock was below $33.00 per common share in the periods ended June 30, 2012 and 2011. Under the two-class method for computing earnings per share, undistributed earnings are allocated to common stock and the Series B Preferred Stock according to their respective participation rights in undistributed earnings, as if all the earnings for the period had been distributed. This allocation to the Series B Preferred Stock holders reduced Net income attributable to common stockholders, resulting in a lower basic and dilutive earnings per share amount. Variability may result in our calculation of earnings per share from period to period depending on whether the application of the two-class method is required.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were outstanding.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basic and dilutive earnings per share (in millions, except for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stockholders(a)</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3,161</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6,358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Less: cumulative dividends on preferred stock and undistributed earnings allocated to Series B</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57"/>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Preferred Stock participating security(b)</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5,387</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stockholders(a)</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3,161</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6,358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Less: cumulative dividends on preferred stock and undistributed earnings allocated to Series B</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57"/>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Preferred Stock participating security(c)</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5,434</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1,505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warrants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restricted stock units (RSUs)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ind w:left="340" w:hanging="332"/>
        <w:spacing w:after="0" w:line="249"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earned but undistributed dividends of $26 million on our Series A Preferred Stock and $20 million on our Series B Preferred Stock in the three and six months ended June 30, 2012 and 2011.</w:t>
      </w:r>
    </w:p>
    <w:p>
      <w:pPr>
        <w:jc w:val="both"/>
        <w:ind w:left="340" w:hanging="332"/>
        <w:spacing w:after="0" w:line="263"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cumulative dividends on preferred stock of $214 million and earnings of $145 million that have been allocated to the Series B Preferred Stock holders in the three months ended June 30, 2012 and cumulative dividends on preferred stock of $214 million and earnings of $254 million that have been allocated to the Series B Preferred Stock holders in the three months ended June 30, 2011. Includes cumulative dividends on preferred stock of $429 million and earnings of $241 million that have been allocated to the Series B Preferred Stock holders in the six months ended June 30, 2012 and cumulative dividends on preferred stock of $429 million and earnings of $542 million allocated to the Series B Preferred Stock holders in the six months ended June 30, 2011.</w:t>
      </w:r>
    </w:p>
    <w:p>
      <w:pPr>
        <w:jc w:val="both"/>
        <w:ind w:left="340" w:hanging="332"/>
        <w:spacing w:after="0" w:line="270"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cumulative dividends on preferred stock of $214 million and earnings of $136 million that have been allocated to the Series B Preferred Stock holders in the three months ended June 30, 2012 and cumulative dividends on preferred stock of $214 million and earnings of $233 million that have been allocated to the Series B Preferred Stock holders in the three months ended June 30, 2011. Includes cumulative dividends on preferred stock of $429 million and earnings of $226 million that have been allocated to the Series B Preferred Stock holders in the six months ended June 30, 2012 and cumulative dividends on preferred stock of $429 million and earnings of $495 million that have been allocated to the Series B Preferred Stock holders in the six months ended June 30, 2011.</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and Six Months Ended June 30, 2012</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2011 MLC distributed all of its 272 million warrants for our common stock to its unsecured creditors and the GUC Trust. The warrant holders may exercise the warrants at any time prior to their respective expiration dates. Upon exercise of the warrants the shares issued will be included in the number of basic shares outstanding used in the computation of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Warrants to purchase 313 million shares of our common stock were outstanding at June 30, 2012, of which 46 million shares were not included in the computation of diluted earnings per share because the warrants' exercise price was greater than the average market price of the common shares. Under the treasury stock method, the assumed exercise of the remaining warrants resulted in 98 million and 106 million dilutive shares in the three and six months ended June 30, 2012.</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Diluted earnings per share included the effect of 17 million unvested RSUs granted to certain global executives. The Adjustment Shares were excluded from the computation of basic and diluted earnings per share as the condition that would result in the issuance of the Adjustment Shares was not satisfied.</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and Six Months Ended June 30, 2011</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Warrants to purchase 317 million shares of our common stock were outstanding, of which 46 million shares were not included in the computation of diluted earnings per share because the warrants' exercise price was greater than the average market price of our common stock. Under the treasury stock method, the assumed exercise of warrants to purchase the remaining warrants resulted in 147 million and 154 million dilutive shares in the three and six months ended June 30, 2011.</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Diluted earnings per share included the effect of 14 million unvested RSUs granted to certain global executives. The Adjustment Shares were excluded from the computation of basic and diluted earnings per share as the condition that would result in the issuance of the Adjustment Shares was not satisfied.</w:t>
      </w:r>
    </w:p>
    <w:p>
      <w:pPr>
        <w:spacing w:after="0" w:line="124"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July 2011 the 61 million shares of common stock contributed to our pension plans in January 2011 met the criteria to qualify as plan assets for accounting purposes. These shares were not considered outstanding for earnings per share purposes in the three and six months ended June 30,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 Incentive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granted 7 million and 5 million RSUs valued at the grant date fair value of our common stock in the six months ended June 30, 2012 and 2011. These awards granted either cliff vest or ratably vest generally over a three-year service period, as defined in the terms of each award. We have elected to record compensation cost for these awards on a straight-line basis over the entire vesting period. Our policy is to issue new shares upon settlement of RSUs.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2012 awards granted to the Top 25 highest compensated employees will settle on the second and third anniversary dates of grant in 25% increments in conjunction with each 25% of our Troubled Asset Relief Program (TARP) obligations that are repaid. The awards for the Next 75 and non-Top 100 highest compensated employees will vest and settle on the second and third anniversary dates of grant. Vesting and subsequent settlement will generally occur based upon employment at the end of each specified service period.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2011 awards granted to the Top 25 highest compensated employees will settle three years from the grant date in 25% increments in conjunction with each 25% of our TARP obligations that are repaid. The awards for the Next 75 highest compensated employees will settle either: (1) three years from the date of grant; or (2) on the first and third anniversary dates of grant. The awards to the non-Top 100 highest compensated employees will settle on the first, second and third anniversary dates of grant. Vesting and subsequent settlement will generally occur based upon employment at the end of each specified service period.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Salary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2012 and 2011 a portion of each participant's salary accrued on each salary payment date converted to RSUs on a quarterly basis. The awards are fully vested and nonforfeitable upon grant, therefore compensation cost is fully recognized on the date of grant. In March 2012 we amended the plan to provide for cash settlement of awards. As a result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now settle these awards in cash and we reclassified $97 million from Capital surplus to Accrued liabilities and Other liabilities and deferred income taxes. The liability for these awards is remeasured to fair value at the end of each reporting period. Prior to this amendment it was our policy to issue new shares upon settlement of these awards.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RSUs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under our stock incentive plans (RSUs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January 1, 2012</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June 30, 2012</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RSUs unvested and expected to vest at June 30, 2012</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51"/>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vested and payable at June 30, 2012</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 2012</w:t>
            </w: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2011</w:t>
            </w: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June 30, 2011</w:t>
            </w:r>
          </w:p>
        </w:tc>
      </w:tr>
      <w:tr>
        <w:trPr>
          <w:trHeight w:val="243"/>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6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compensation cost of each RSU that will be settled in equity is based on the fair value of our common stock on the date of grant or, for those RSUs reclassified from liability to equity-based awards, the fair value of our common stock as of the date of the public offering.</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At June 30, 2012 the total unrecognized compensation expense for nonvested equity awards was $307 million. This expense is expected to be recorded over a weighted-average period of 1.5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total fair value of RSUs that vested in the six months ended June 30, 2012 and 2011 was $82 million and $49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Ally Financial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Ally Financial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summarize the financial statement effects of and maximum obligations under agreements with Ally Financial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Residual support(a)</w:t>
            </w:r>
          </w:p>
        </w:tc>
        <w:tc>
          <w:tcPr>
            <w:tcW w:w="43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Receivables (liabilities) recorded</w:t>
            </w:r>
          </w:p>
        </w:tc>
        <w:tc>
          <w:tcPr>
            <w:tcW w:w="4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4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obligation</w:t>
            </w:r>
          </w:p>
        </w:tc>
        <w:tc>
          <w:tcPr>
            <w:tcW w:w="4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Risk sharing(a)</w:t>
            </w:r>
          </w:p>
        </w:tc>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recorded</w:t>
            </w:r>
          </w:p>
        </w:tc>
        <w:tc>
          <w:tcPr>
            <w:tcW w:w="4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Maximum obligation</w:t>
            </w:r>
          </w:p>
        </w:tc>
        <w:tc>
          <w:tcPr>
            <w:tcW w:w="4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88</w:t>
            </w:r>
          </w:p>
        </w:tc>
      </w:tr>
      <w:tr>
        <w:trPr>
          <w:trHeight w:val="27"/>
        </w:trPr>
        <w:tc>
          <w:tcPr>
            <w:tcW w:w="4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Vehicle repurchase obligations(b)</w:t>
            </w:r>
          </w:p>
        </w:tc>
        <w:tc>
          <w:tcPr>
            <w:tcW w:w="4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Maximum obligations</w:t>
            </w:r>
          </w:p>
        </w:tc>
        <w:tc>
          <w:tcPr>
            <w:tcW w:w="4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21,989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19,779</w:t>
            </w:r>
          </w:p>
        </w:tc>
      </w:tr>
      <w:tr>
        <w:trPr>
          <w:trHeight w:val="27"/>
        </w:trPr>
        <w:tc>
          <w:tcPr>
            <w:tcW w:w="4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guarantee</w:t>
            </w:r>
          </w:p>
        </w:tc>
        <w:tc>
          <w:tcPr>
            <w:tcW w:w="4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459"/>
        </w:trPr>
        <w:tc>
          <w:tcPr>
            <w:tcW w:w="4100" w:type="dxa"/>
            <w:vAlign w:val="bottom"/>
          </w:tcPr>
          <w:p>
            <w:pPr>
              <w:spacing w:after="0"/>
              <w:rPr>
                <w:sz w:val="24"/>
                <w:szCs w:val="24"/>
                <w:color w:val="auto"/>
              </w:rPr>
            </w:pPr>
          </w:p>
        </w:tc>
        <w:tc>
          <w:tcPr>
            <w:tcW w:w="4360" w:type="dxa"/>
            <w:vAlign w:val="bottom"/>
          </w:tcPr>
          <w:p>
            <w:pPr>
              <w:jc w:val="right"/>
              <w:ind w:right="257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hanging="332"/>
        <w:spacing w:after="0" w:line="247"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receivables and liabilities recorded and maximum obligations for agreements entered into prior to December 31, 2008. Agreements entered into after December 31, 2008 have not included residual support or risk sharing programs. In the six months ended June 30, 2012 and 2011 favorable adjustments to our residual support and risk sharing liabilities of $73 million and $323 million were recorded in the U.S. due to increases in estimated and actual residual values at contract termination.</w:t>
      </w:r>
    </w:p>
    <w:p>
      <w:pPr>
        <w:spacing w:after="0" w:line="3"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maximum potential amount of future payments required to be made to Ally Financial under this guarantee is based on the repurchase value of total eligible vehicles financed by Ally Financial in dealer stock. If vehicles are required to be repurchased under this arrangement, the total exposure would be reduced to the extent vehicles are able to be resold.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marketing incentives and lease residual payments</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970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Exclusivity fee income</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balance sheet effects of transactions with Ally Financial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Accounts and notes receivable, net(a)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243</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Accounts payable(b)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59</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and current portion of long-term debt(c)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Accrued liabilities and other liabilities(d)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650</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non-current liabilities(f)</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43"/>
        </w:trPr>
        <w:tc>
          <w:tcPr>
            <w:tcW w:w="846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wholesale settlements due from Ally Financial and receivables for exclusivity fees and royalties.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amounts billed to us and payable related to incentive programs.</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wholesale financing, sales of receivable transactions and the short-term portion of term loans provided to certain dealerships which we own or in which we have an equity interest.</w:t>
      </w:r>
    </w:p>
    <w:p>
      <w:pPr>
        <w:jc w:val="both"/>
        <w:ind w:left="34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accruals for marketing incentives on vehicles which are sold, or anticipated to be sold, to customers or dealers and financed by Ally Financial in North America. This includes the estimated amount of residual and rate support accrued, capitalized cost reduction incentives and amounts owed under lease pull-ahead programs.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long-term portion of term loans from Ally Financial to certain consolidated dealerships.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long-term portion of liabilities for marketing incentives on vehicles financed by Ally Financial.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income statement effects of transactions with Ally Financial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 (decrease)(a)</w:t>
            </w: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Automotive cost of sales and other automotive expenses(b)</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net(c)</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Automotive interest expense(d)</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jc w:val="both"/>
        <w:ind w:left="340" w:hanging="332"/>
        <w:spacing w:after="0" w:line="254"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marketing incentives on vehicles which were sold, or anticipated to be sold, to customers or dealers and financed by Ally Financial. This includes the estimated amount of residual and rate support accrued, capitalized cost reduction incentives and costs under lease pull-ahead programs. This amount is offset by net sales for vehicles sold to Ally Financial for employee and governmental lease programs and third party resale purposes.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6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cost of sales on the sale of vehicles to Ally Financial for employee and governmental lease programs and third party resale purposes.</w:t>
      </w:r>
    </w:p>
    <w:p>
      <w:pPr>
        <w:spacing w:after="0" w:line="19"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income on investments in Ally Financial preferred stock (through March 31, 2011) and exclusivity and royalty fee income. Included in this amount is rental income related to Ally Financial's primary executive and administrative offices located in the Renaissance Center in Detroit, Michigan. The lease agreement expires in November 2016.</w:t>
      </w:r>
    </w:p>
    <w:p>
      <w:pPr>
        <w:spacing w:after="0" w:line="1"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interest incurred on notes payable and wholesale settlements. In January 2012 we received $21 million from Ally Financial as part of a settlement of previously overcharged interest.</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Ally Financial Common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June 30, 2012 and December 31, 2011 we held a 9.9% common equity ownership in Ally Financial. Our entire equity ownership is held indirectly through an independent trust which has the sole authority to vote the shares and is required to dispose of all Ally Financial common stock by December 24, 2013.</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 our fair value analyses included Ally Financial's June 30, 2012 and December 31, 2011 financial statements, financial statements and price to tangible book value multiples of comparable companies in the banking and finance industry, and the effects of certain Ally Financial shareholder rights described below. The measurement of Ally Financial common stock is a Level 3 fair value measurement.</w:t>
      </w:r>
    </w:p>
    <w:p>
      <w:pPr>
        <w:spacing w:after="0" w:line="18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At December 31, 2011 we determined the carrying amount of our investment in Ally Financial common stock exceeded our estimate of its fair value. Our estimate of fair value resulted from broader macroeconomic uncertainties and volatility in the financial markets including the eurozone debt crisis, continued heightened risk of recession and concerns about Ally Financial's mortgage related operations. Our estimate considered the potential effect of contractual provisions held by the United States Department of the Treasury who may receive incremental ownership interest in Ally Financial depending upon Ally Financial's equity value at the time of a successful public offering or private sale. These contractual provisions could result in significant dilution of our ownership interest. Based on an evaluation of the duration and severity of this decline in fair value, we concluded the impairment was other-than-temporary. As a result we recorded an impairment charge of $555 million in Interest income and other non-operating income, net to reduce our investment to its estimated fair value of $403 million.</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estimated fair value of Ally Financial common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403</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Ally Financial Preferred Stock</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March 2011 our investment in Ally Financial preferred stock was sold through a public offering for net proceeds of $1.0 billion. The gain of $339 million related to the sale was recorded in Interest income and other non-operating income,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Reporting</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analyze the results of our business through our five segments: GMNA, GME, GMIO, GMSA and GM Financial.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loaded cost basis, those vehicles are needed in our product mix in order to attract customers to dealer showrooms and to maintain sales volumes for other, more profitable vehicles. Because of these factors, we do not manage our business on an individual brand or vehicle basis. The chief operating decision maker evaluates the operating results and performance of our automotive segments through Income (loss) before interest and income taxes, as adjusted for additional amounts, which are presented net of noncontrolling interests, and evaluates GM Financial through income before income taxes.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distributors and dealers outside of North America, the substantial majority of which are independently owned.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00" w:val="left"/>
          <w:tab w:leader="none" w:pos="3440" w:val="left"/>
          <w:tab w:leader="none" w:pos="5960" w:val="left"/>
          <w:tab w:leader="none" w:pos="6300" w:val="left"/>
          <w:tab w:leader="none" w:pos="880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tab/>
        <w:t>GMC</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5" w:lineRule="exact"/>
        <w:rPr>
          <w:sz w:val="20"/>
          <w:szCs w:val="20"/>
          <w:color w:val="auto"/>
        </w:rPr>
      </w:pPr>
    </w:p>
    <w:p>
      <w:pPr>
        <w:sectPr>
          <w:pgSz w:w="11900" w:h="16838" w:orient="portrait"/>
          <w:cols w:equalWidth="0" w:num="8">
            <w:col w:w="340" w:space="220"/>
            <w:col w:w="1840" w:space="720"/>
            <w:col w:w="80" w:space="220"/>
            <w:col w:w="1840" w:space="720"/>
            <w:col w:w="60" w:space="280"/>
            <w:col w:w="178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6">
            <w:col w:w="340" w:space="220"/>
            <w:col w:w="1840" w:space="720"/>
            <w:col w:w="80" w:space="260"/>
            <w:col w:w="1800" w:space="720"/>
            <w:col w:w="60" w:space="280"/>
            <w:col w:w="510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June 30, 2012 we also had equity ownership stakes directly or indirectly in entities through various regional subsidiaries, including GM Korea, SGM, SGMW, FAW-GM and HKJV. These companies design, manufacture and market vehicles under the following brands: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Alpheon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Wuling</w:t>
      </w:r>
    </w:p>
    <w:p>
      <w:pPr>
        <w:spacing w:after="0" w:line="74" w:lineRule="exact"/>
        <w:rPr>
          <w:sz w:val="20"/>
          <w:szCs w:val="20"/>
          <w:color w:val="auto"/>
        </w:rPr>
      </w:pPr>
    </w:p>
    <w:p>
      <w:pPr>
        <w:sectPr>
          <w:pgSz w:w="11900" w:h="16838" w:orient="portrait"/>
          <w:cols w:equalWidth="0" w:num="8">
            <w:col w:w="340" w:space="220"/>
            <w:col w:w="1840" w:space="720"/>
            <w:col w:w="80" w:space="220"/>
            <w:col w:w="1840" w:space="720"/>
            <w:col w:w="60" w:space="220"/>
            <w:col w:w="184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Baojun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Jiefang</w:t>
      </w:r>
    </w:p>
    <w:p>
      <w:pPr>
        <w:spacing w:after="0" w:line="222" w:lineRule="exact"/>
        <w:rPr>
          <w:sz w:val="20"/>
          <w:szCs w:val="20"/>
          <w:color w:val="auto"/>
        </w:rPr>
      </w:pPr>
    </w:p>
    <w:p>
      <w:pPr>
        <w:sectPr>
          <w:pgSz w:w="11900" w:h="16838" w:orient="portrait"/>
          <w:cols w:equalWidth="0" w:num="6">
            <w:col w:w="340" w:space="220"/>
            <w:col w:w="1840" w:space="720"/>
            <w:col w:w="80" w:space="220"/>
            <w:col w:w="1840" w:space="720"/>
            <w:col w:w="60" w:space="280"/>
            <w:col w:w="5100"/>
          </w:cols>
          <w:pgMar w:left="240" w:top="125" w:right="239" w:bottom="1440" w:gutter="0" w:footer="0" w:header="0"/>
          <w:type w:val="continuous"/>
        </w:sectPr>
      </w:pPr>
    </w:p>
    <w:p>
      <w:pPr>
        <w:spacing w:after="0" w:line="5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and certain nonsegment specific revenues and expenses.</w:t>
      </w:r>
    </w:p>
    <w:p>
      <w:pPr>
        <w:spacing w:after="0" w:line="17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2012 we recorded gains and losses on extinguishment of debt within Corporate for segment reporting purposes. Previously gains and losses on extinguishment of debt were recorded within the applicable automotive segments. This change is consistent with how management currently views the results of our operations.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At and For the Three Months Ended June 30, 2012</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21,553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5,532</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5,915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4,117</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37,127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37,127</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1,030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5,894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37,126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37,614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1,965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(361)</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557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1,902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217</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2,119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3"/>
                <w:szCs w:val="13"/>
                <w:color w:val="auto"/>
              </w:rPr>
              <w:t>Adjustments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2"/>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86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2,087</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34"/>
        </w:trPr>
        <w:tc>
          <w:tcPr>
            <w:tcW w:w="218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Net income (loss) attributable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1,846</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Equity in net assets of nonconsolidated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7,058</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89,874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15,872</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23,481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12,629</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29,804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(33,780)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137,880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14,673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151,987</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1,520</w:t>
            </w: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w w:val="99"/>
              </w:rPr>
              <w:t>Equity income, net of tax and gain 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disposal of investments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298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Significant non-cash charges not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classified as adjustments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5"/>
              </w:rPr>
              <w:t>Impairment charges related to long-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lived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8"/>
        </w:trPr>
        <w:tc>
          <w:tcPr>
            <w:tcW w:w="2180" w:type="dxa"/>
            <w:vAlign w:val="bottom"/>
          </w:tcPr>
          <w:p>
            <w:pPr>
              <w:ind w:left="200"/>
              <w:spacing w:after="0" w:line="148" w:lineRule="exact"/>
              <w:rPr>
                <w:sz w:val="20"/>
                <w:szCs w:val="20"/>
                <w:color w:val="auto"/>
              </w:rPr>
            </w:pPr>
            <w:r>
              <w:rPr>
                <w:rFonts w:ascii="Arial" w:cs="Arial" w:eastAsia="Arial" w:hAnsi="Arial"/>
                <w:sz w:val="13"/>
                <w:szCs w:val="13"/>
                <w:color w:val="auto"/>
              </w:rPr>
              <w:t>Impairment charges related to</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equipment on operating leases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42"/>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ind w:left="100"/>
              <w:spacing w:after="0"/>
              <w:rPr>
                <w:sz w:val="20"/>
                <w:szCs w:val="20"/>
                <w:color w:val="auto"/>
              </w:rPr>
            </w:pPr>
            <w:r>
              <w:rPr>
                <w:rFonts w:ascii="Arial" w:cs="Arial" w:eastAsia="Arial" w:hAnsi="Arial"/>
                <w:sz w:val="13"/>
                <w:szCs w:val="13"/>
                <w:b w:val="1"/>
                <w:bCs w:val="1"/>
                <w:color w:val="auto"/>
              </w:rPr>
              <w:t>For the Six Months Ended June 30, 2012</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4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2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100" w:type="dxa"/>
            <w:vAlign w:val="bottom"/>
          </w:tcPr>
          <w:p>
            <w:pPr>
              <w:ind w:left="18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44,728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10,787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10,931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7,984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74,455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74,455</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264"/>
        </w:trPr>
        <w:tc>
          <w:tcPr>
            <w:tcW w:w="2100" w:type="dxa"/>
            <w:vAlign w:val="bottom"/>
          </w:tcPr>
          <w:p>
            <w:pPr>
              <w:ind w:left="180"/>
              <w:spacing w:after="0"/>
              <w:rPr>
                <w:sz w:val="20"/>
                <w:szCs w:val="20"/>
                <w:color w:val="auto"/>
              </w:rPr>
            </w:pPr>
            <w:r>
              <w:rPr>
                <w:rFonts w:ascii="Arial" w:cs="Arial" w:eastAsia="Arial" w:hAnsi="Arial"/>
                <w:sz w:val="13"/>
                <w:szCs w:val="13"/>
                <w:color w:val="auto"/>
              </w:rPr>
              <w:t>Intersegment</w:t>
            </w:r>
          </w:p>
        </w:tc>
        <w:tc>
          <w:tcPr>
            <w:tcW w:w="12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2,348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net sales and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47,076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13,005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74,454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75,373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88"/>
              </w:rPr>
              <w:t>Income (loss) before automotive interest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3,656</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(617)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1,086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3,903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398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4,301</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(590)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252"/>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262"/>
        </w:trPr>
        <w:tc>
          <w:tcPr>
            <w:tcW w:w="210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272"/>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extinguishment of debt</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49"/>
        </w:trPr>
        <w:tc>
          <w:tcPr>
            <w:tcW w:w="210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3,618</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457</w:t>
            </w: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line="128"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3,161</w:t>
            </w:r>
          </w:p>
        </w:tc>
        <w:tc>
          <w:tcPr>
            <w:tcW w:w="0" w:type="dxa"/>
            <w:vAlign w:val="bottom"/>
          </w:tcPr>
          <w:p>
            <w:pPr>
              <w:spacing w:after="0"/>
              <w:rPr>
                <w:sz w:val="1"/>
                <w:szCs w:val="1"/>
                <w:color w:val="auto"/>
              </w:rPr>
            </w:pPr>
          </w:p>
        </w:tc>
      </w:tr>
      <w:tr>
        <w:trPr>
          <w:trHeight w:val="202"/>
        </w:trPr>
        <w:tc>
          <w:tcPr>
            <w:tcW w:w="2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1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2,241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4,052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4,059</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2"/>
              </w:rPr>
              <w:t>impairment of long-lived assets and</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finite-lived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1,782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2,988</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8" w:lineRule="exact"/>
              <w:rPr>
                <w:sz w:val="20"/>
                <w:szCs w:val="20"/>
                <w:color w:val="auto"/>
              </w:rPr>
            </w:pPr>
            <w:r>
              <w:rPr>
                <w:rFonts w:ascii="Arial" w:cs="Arial" w:eastAsia="Arial" w:hAnsi="Arial"/>
                <w:sz w:val="13"/>
                <w:szCs w:val="13"/>
                <w:color w:val="auto"/>
                <w:w w:val="96"/>
              </w:rPr>
              <w:t>Equity income, net of tax and gain on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rPr>
                <w:sz w:val="20"/>
                <w:szCs w:val="20"/>
                <w:color w:val="auto"/>
              </w:rPr>
            </w:pPr>
            <w:r>
              <w:rPr>
                <w:rFonts w:ascii="Arial" w:cs="Arial" w:eastAsia="Arial" w:hAnsi="Arial"/>
                <w:sz w:val="13"/>
                <w:szCs w:val="13"/>
                <w:color w:val="auto"/>
              </w:rPr>
              <w:t>disposal of investments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719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723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197"/>
        </w:trPr>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8" w:lineRule="exact"/>
              <w:rPr>
                <w:sz w:val="20"/>
                <w:szCs w:val="20"/>
                <w:color w:val="auto"/>
              </w:rPr>
            </w:pPr>
            <w:r>
              <w:rPr>
                <w:rFonts w:ascii="Arial" w:cs="Arial" w:eastAsia="Arial" w:hAnsi="Arial"/>
                <w:sz w:val="13"/>
                <w:szCs w:val="13"/>
                <w:color w:val="auto"/>
              </w:rPr>
              <w:t>Significant non-cash charges not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rPr>
                <w:sz w:val="20"/>
                <w:szCs w:val="20"/>
                <w:color w:val="auto"/>
              </w:rPr>
            </w:pPr>
            <w:r>
              <w:rPr>
                <w:rFonts w:ascii="Arial" w:cs="Arial" w:eastAsia="Arial" w:hAnsi="Arial"/>
                <w:sz w:val="13"/>
                <w:szCs w:val="13"/>
                <w:color w:val="auto"/>
              </w:rPr>
              <w:t>classified as adjustments in (a)</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Impairment charges related to long-</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lived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48"/>
        </w:trPr>
        <w:tc>
          <w:tcPr>
            <w:tcW w:w="2100" w:type="dxa"/>
            <w:vAlign w:val="bottom"/>
          </w:tcPr>
          <w:p>
            <w:pPr>
              <w:ind w:left="180"/>
              <w:spacing w:after="0" w:line="148" w:lineRule="exact"/>
              <w:rPr>
                <w:sz w:val="20"/>
                <w:szCs w:val="20"/>
                <w:color w:val="auto"/>
              </w:rPr>
            </w:pPr>
            <w:r>
              <w:rPr>
                <w:rFonts w:ascii="Arial" w:cs="Arial" w:eastAsia="Arial" w:hAnsi="Arial"/>
                <w:sz w:val="13"/>
                <w:szCs w:val="13"/>
                <w:color w:val="auto"/>
              </w:rPr>
              <w:t>Impairment charges related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w w:val="97"/>
              </w:rPr>
              <w:t>equipment on operating leases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42"/>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Goodwill impairment charges of $590 million in GME and $22 million in GMIO.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For the Three Months Ended June 30, 2011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22,097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7,128</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5,505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4,299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39,043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39,043</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Intersegment(a)</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1,031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331</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7,459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39,043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39,373</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2,249</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102</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573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2,818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144</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3"/>
                <w:szCs w:val="13"/>
                <w:color w:val="auto"/>
              </w:rPr>
              <w:t>Adjustments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2"/>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124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2,931</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benefit</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34"/>
        </w:trPr>
        <w:tc>
          <w:tcPr>
            <w:tcW w:w="218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Net income (loss) attributable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2,992</w:t>
            </w:r>
          </w:p>
        </w:tc>
        <w:tc>
          <w:tcPr>
            <w:tcW w:w="0" w:type="dxa"/>
            <w:vAlign w:val="bottom"/>
          </w:tcPr>
          <w:p>
            <w:pPr>
              <w:spacing w:after="0"/>
              <w:rPr>
                <w:sz w:val="1"/>
                <w:szCs w:val="1"/>
                <w:color w:val="auto"/>
              </w:rPr>
            </w:pPr>
          </w:p>
        </w:tc>
      </w:tr>
      <w:tr>
        <w:trPr>
          <w:trHeight w:val="162"/>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1,634</w:t>
            </w: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w w:val="99"/>
              </w:rPr>
              <w:t>Equity income, net of tax and gain 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disposal of investments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Significant non-cash charges not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classified as adjustments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0"/>
              <w:spacing w:after="0" w:line="148" w:lineRule="exact"/>
              <w:rPr>
                <w:sz w:val="20"/>
                <w:szCs w:val="20"/>
                <w:color w:val="auto"/>
              </w:rPr>
            </w:pPr>
            <w:r>
              <w:rPr>
                <w:rFonts w:ascii="Arial" w:cs="Arial" w:eastAsia="Arial" w:hAnsi="Arial"/>
                <w:sz w:val="13"/>
                <w:szCs w:val="13"/>
                <w:color w:val="auto"/>
                <w:w w:val="95"/>
              </w:rPr>
              <w:t>Impairment charges related to long-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360"/>
              <w:spacing w:after="0"/>
              <w:rPr>
                <w:sz w:val="20"/>
                <w:szCs w:val="20"/>
                <w:color w:val="auto"/>
              </w:rPr>
            </w:pPr>
            <w:r>
              <w:rPr>
                <w:rFonts w:ascii="Arial" w:cs="Arial" w:eastAsia="Arial" w:hAnsi="Arial"/>
                <w:sz w:val="13"/>
                <w:szCs w:val="13"/>
                <w:color w:val="auto"/>
              </w:rPr>
              <w:t>lived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Impairment charges related to</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equipment on operating leases</w:t>
            </w: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41"/>
        </w:trPr>
        <w:tc>
          <w:tcPr>
            <w:tcW w:w="2180" w:type="dxa"/>
            <w:vAlign w:val="bottom"/>
          </w:tcPr>
          <w:p>
            <w:pPr>
              <w:ind w:left="4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Presentation of intersegment sales has been adjusted to conform to the current presentation.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ind w:left="100"/>
              <w:spacing w:after="0"/>
              <w:rPr>
                <w:sz w:val="20"/>
                <w:szCs w:val="20"/>
                <w:color w:val="auto"/>
              </w:rPr>
            </w:pPr>
            <w:r>
              <w:rPr>
                <w:rFonts w:ascii="Arial" w:cs="Arial" w:eastAsia="Arial" w:hAnsi="Arial"/>
                <w:sz w:val="13"/>
                <w:szCs w:val="13"/>
                <w:b w:val="1"/>
                <w:bCs w:val="1"/>
                <w:color w:val="auto"/>
              </w:rPr>
              <w:t>For the Six Months Ended June 30, 2011</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4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2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100" w:type="dxa"/>
            <w:vAlign w:val="bottom"/>
          </w:tcPr>
          <w:p>
            <w:pPr>
              <w:ind w:left="18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43,380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13,390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9,997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8,145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74,942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74,942</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Intersegment(a)</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1,858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939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45,238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74,942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75,567</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88"/>
              </w:rPr>
              <w:t>Income (loss) before automotive interest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3,502</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1,159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4,730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274</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5,004</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Pr>
          <w:p>
            <w:pPr>
              <w:ind w:left="20"/>
              <w:spacing w:after="0"/>
              <w:rPr>
                <w:sz w:val="20"/>
                <w:szCs w:val="20"/>
                <w:color w:val="auto"/>
              </w:rPr>
            </w:pPr>
            <w:r>
              <w:rPr>
                <w:rFonts w:ascii="Arial" w:cs="Arial" w:eastAsia="Arial" w:hAnsi="Arial"/>
                <w:sz w:val="13"/>
                <w:szCs w:val="13"/>
                <w:color w:val="auto"/>
              </w:rPr>
              <w:t>Adjustments(b)</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1,483</w:t>
            </w:r>
          </w:p>
        </w:tc>
        <w:tc>
          <w:tcPr>
            <w:tcW w:w="0" w:type="dxa"/>
            <w:vAlign w:val="bottom"/>
          </w:tcPr>
          <w:p>
            <w:pPr>
              <w:spacing w:after="0"/>
              <w:rPr>
                <w:sz w:val="1"/>
                <w:szCs w:val="1"/>
                <w:color w:val="auto"/>
              </w:rPr>
            </w:pPr>
          </w:p>
        </w:tc>
      </w:tr>
      <w:tr>
        <w:trPr>
          <w:trHeight w:val="252"/>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257"/>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6,434</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1"/>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6,358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2,498</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80"/>
              <w:spacing w:after="0" w:line="135" w:lineRule="exact"/>
              <w:rPr>
                <w:sz w:val="20"/>
                <w:szCs w:val="20"/>
                <w:color w:val="auto"/>
              </w:rPr>
            </w:pPr>
            <w:r>
              <w:rPr>
                <w:rFonts w:ascii="Arial" w:cs="Arial" w:eastAsia="Arial" w:hAnsi="Arial"/>
                <w:sz w:val="13"/>
                <w:szCs w:val="13"/>
                <w:color w:val="auto"/>
                <w:w w:val="92"/>
              </w:rPr>
              <w:t>impairment of long-lived assets and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1,967</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714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3,177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3,210</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Equity income, net of tax and gain on</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disposal of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2,526</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8" w:lineRule="exact"/>
              <w:rPr>
                <w:sz w:val="20"/>
                <w:szCs w:val="20"/>
                <w:color w:val="auto"/>
              </w:rPr>
            </w:pPr>
            <w:r>
              <w:rPr>
                <w:rFonts w:ascii="Arial" w:cs="Arial" w:eastAsia="Arial" w:hAnsi="Arial"/>
                <w:sz w:val="13"/>
                <w:szCs w:val="13"/>
                <w:color w:val="auto"/>
              </w:rPr>
              <w:t>Significant non-cash charges not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rPr>
                <w:sz w:val="20"/>
                <w:szCs w:val="20"/>
                <w:color w:val="auto"/>
              </w:rPr>
            </w:pPr>
            <w:r>
              <w:rPr>
                <w:rFonts w:ascii="Arial" w:cs="Arial" w:eastAsia="Arial" w:hAnsi="Arial"/>
                <w:sz w:val="13"/>
                <w:szCs w:val="13"/>
                <w:color w:val="auto"/>
              </w:rPr>
              <w:t>classified as adjustments in (b)</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Impairment charges related to long-</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lived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48"/>
        </w:trPr>
        <w:tc>
          <w:tcPr>
            <w:tcW w:w="2100" w:type="dxa"/>
            <w:vAlign w:val="bottom"/>
          </w:tcPr>
          <w:p>
            <w:pPr>
              <w:ind w:left="180"/>
              <w:spacing w:after="0" w:line="148" w:lineRule="exact"/>
              <w:rPr>
                <w:sz w:val="20"/>
                <w:szCs w:val="20"/>
                <w:color w:val="auto"/>
              </w:rPr>
            </w:pPr>
            <w:r>
              <w:rPr>
                <w:rFonts w:ascii="Arial" w:cs="Arial" w:eastAsia="Arial" w:hAnsi="Arial"/>
                <w:sz w:val="13"/>
                <w:szCs w:val="13"/>
                <w:color w:val="auto"/>
              </w:rPr>
              <w:t>Impairment charges related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w w:val="97"/>
              </w:rPr>
              <w:t>equipment on operating leases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242"/>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Presentation of intersegment sales has been adjusted to conform to the current presentation.</w:t>
      </w:r>
    </w:p>
    <w:p>
      <w:pPr>
        <w:ind w:left="340" w:hanging="332"/>
        <w:spacing w:after="0" w:line="239"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Consists of the gain on sale of our New Delphi Class A Membership Interests of $1.6 billion in GMNA, Goodwill impairment charges of $395 million in GME, charges related to HKJV of $106 million in GMIO and a gain on the sale of Ally Financial preferred stock of $339 million in Corporate.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2011 (2011 Form 10-K), as filed with the Securities and Exchange Commission (SEC).</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General Motors Financial Company, Inc.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Consistent with industry practice, market share information includes estimates of industry sales in certain countries where public reporting is not legally required or otherwise available on a consistent basis.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providing supplemental consolidating information in order to provide more transparency into the financial position, operating results and cash flows of our two businesses, Automotive and GM Financial.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 in the Preparation of the Financial Statements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Presentation of Financial Statements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2012 we changed the presentation of our condensed consolidated balance sheet, condensed consolidated statements of cash flows and certain notes to the condensed consolidated financial statements to classify the assets and liabilities of GM Financial as current or non-current and to combine line items which were either of a related nature or not individually material. We have made corresponding reclassifications to the comparable information for all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 In the six months ended June 30, 2012, 71.8% of our vehicle sales volume was generated outside the 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automotive business is organized into four geographically-based segments:</w:t>
      </w:r>
    </w:p>
    <w:p>
      <w:pPr>
        <w:spacing w:after="0" w:line="225" w:lineRule="exact"/>
        <w:rPr>
          <w:sz w:val="20"/>
          <w:szCs w:val="20"/>
          <w:color w:val="auto"/>
        </w:rPr>
      </w:pPr>
    </w:p>
    <w:p>
      <w:pPr>
        <w:ind w:left="5620" w:right="2240" w:hanging="5450"/>
        <w:spacing w:after="0" w:line="684" w:lineRule="auto"/>
        <w:tabs>
          <w:tab w:leader="none" w:pos="4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GMNA, with sales, manufacturing and distribution operations in the U.S., Canada and Mexico and sales and distribution 48</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500"/>
        <w:spacing w:after="0" w:line="324" w:lineRule="auto"/>
        <w:rPr>
          <w:sz w:val="20"/>
          <w:szCs w:val="20"/>
          <w:color w:val="auto"/>
        </w:rPr>
      </w:pPr>
      <w:r>
        <w:rPr>
          <w:rFonts w:ascii="Arial" w:cs="Arial" w:eastAsia="Arial" w:hAnsi="Arial"/>
          <w:sz w:val="18"/>
          <w:szCs w:val="18"/>
          <w:color w:val="auto"/>
        </w:rPr>
        <w:t>operations in Central America and the Caribbean, represented 32.6% of our vehicle sales volume in the six months ended June 30, 2012 and we had the largest market share in this market at 17.1%.</w:t>
      </w:r>
    </w:p>
    <w:p>
      <w:pPr>
        <w:spacing w:after="0" w:line="35" w:lineRule="exact"/>
        <w:rPr>
          <w:sz w:val="20"/>
          <w:szCs w:val="20"/>
          <w:color w:val="auto"/>
        </w:rPr>
      </w:pPr>
    </w:p>
    <w:p>
      <w:pPr>
        <w:jc w:val="both"/>
        <w:ind w:left="500" w:hanging="330"/>
        <w:spacing w:after="0" w:line="25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GME has sales, manufacturing and distribution operations across Western and Central Europe. GME's vehicle sales volume, which in addition to Western and Central Europe, includes Eastern Europe (including Russia and the other members of the Commonwealth of Independent States among others) represented 18.3% of our vehicle sales volume in the six months ended June 30, 2012. In the six months ended June 30, 2012 we estimate we had the number four market share in this market at 8.5%. GMIO distributes Chevrolet brand vehicles which, when sold in Europe, are included in GME vehicle sales volume and market share data.</w:t>
      </w:r>
    </w:p>
    <w:p>
      <w:pPr>
        <w:spacing w:after="0" w:line="80" w:lineRule="exact"/>
        <w:rPr>
          <w:rFonts w:ascii="Arial" w:cs="Arial" w:eastAsia="Arial" w:hAnsi="Arial"/>
          <w:sz w:val="18"/>
          <w:szCs w:val="18"/>
          <w:color w:val="auto"/>
        </w:rPr>
      </w:pPr>
    </w:p>
    <w:p>
      <w:pPr>
        <w:jc w:val="both"/>
        <w:ind w:left="500" w:hanging="330"/>
        <w:spacing w:after="0" w:line="293"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GMIO has sales, manufacturing and distribution operations in Asia-Pacific, Eastern Europe (including Russia and the other members of the Commonwealth of Independent States among others), Africa and the Middle East. GMIO's vehicle sales volume, which includes Asia-Pacific, Africa and the Middle East is our largest segment by vehicle sales volume. GMIO represented 38.3% of our global vehicle sales volume, including sales through our joint ventures, in the six months ended June 30, 2012. In the six months ended June 30, 2012 we estimate we had the number two market share in this market at 9.3% and the number one market share in China. In the six months ended June 30, 2012 GMIO derived 79.1% of its vehicle sales volume from China. GMIO records the financial results of Chevrolet brand vehicles that it distributes and sells in Europe.</w:t>
      </w:r>
    </w:p>
    <w:p>
      <w:pPr>
        <w:spacing w:after="0" w:line="56" w:lineRule="exact"/>
        <w:rPr>
          <w:rFonts w:ascii="Arial" w:cs="Arial" w:eastAsia="Arial" w:hAnsi="Arial"/>
          <w:sz w:val="16"/>
          <w:szCs w:val="16"/>
          <w:color w:val="auto"/>
        </w:rPr>
      </w:pPr>
    </w:p>
    <w:p>
      <w:pPr>
        <w:jc w:val="both"/>
        <w:ind w:left="500" w:hanging="330"/>
        <w:spacing w:after="0" w:line="279"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GMSA, with sales, manufacturing, distribution and financing operations in Brazil, Argentina, Colombia, Ecuador and Venezuela as well as sales and distribution operations in Bolivia, Chile, Paraguay, Peru and Uruguay, represented 10.8% of our vehicle sales volume in the six months ended June 30, 2012. In the six months ended June 30, 2012 we estimate we had the largest market share in this market at 18.2%. We had the number three market share in Brazil. In the six months ended June 30, 2012 GMSA derived 57.7% of its vehicle sales volume from Brazil.</w:t>
      </w:r>
    </w:p>
    <w:p>
      <w:pPr>
        <w:spacing w:after="0" w:line="1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upon our current outlook, we expect the average of GMNA's results for the second and third quarters of 2012 to approximate the results of the first quarter.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GM Financial specializes in purchasing retail automobile installment sales contracts originated by GM and non-GM franchised and select independent dealers in connection with the sale of used and new automobiles. GM Financial also offers lease products through GM dealerships in connection with the sale of used and new automobiles that target customers with sub-prime and prime credit bureau scores. GM Financial primarily generates revenue and cash flows through the purchase, retention, subsequent securitization and servicing of finance receivables. To fund the acquisition of receivables prior to securitization, GM Financial uses available cash and borrowings under its credit facilities. GM Financial earns finance charge income on finance receivables and pays interest expense on borrowings under its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19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2012 GM Financial commenced commercial lending activities in the U.S. centered on floor plan financing of dealer vehicle inventory and dealer loans to finance dealer sites, facilities, facility improvements and working capital. These loans are made on a secured basis. We believe the availability of financing for our dealers is important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 on Chinese Market</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the fastest growing global market by volume of vehicles sold,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Jiefang and Wuling brands. We operate in Chinese markets through a number of joint ventures and maintaining good relations with our joint ventures partners, which are affiliated with the Chinese government, is an important part of our China growth strategy.</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8 to our condensed consolidated financial statements for our direct ownership interests in our Chinese joint ventures, collectively referred to as China JVs.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16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2011</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2012</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 2011</w:t>
            </w:r>
          </w:p>
        </w:tc>
      </w:tr>
      <w:tr>
        <w:trPr>
          <w:trHeight w:val="250"/>
        </w:trPr>
        <w:tc>
          <w:tcPr>
            <w:tcW w:w="7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wholesale vehicles(a)</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1,272</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Market share(b)</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7,577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15,146</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1,754</w:t>
            </w: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Including vehicles exported to markets outside of China.</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Market share for China market.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4,679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106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Strategy</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financing strategy centers around ensuring that our dealers and customers have consistently available, transparent and competitive financing options throughout the business and credit cycles.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Historically Ally Financial has provided a majority of the financing for our dealers and a significant portion of the financing for our customers in the U.S., Canada and other major international markets where we operate. Ally Financial continues to provide the majority of the financing needs of our dealers and customers.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utilize GM Financial to further bolster our offerings in the leasing and sub-prime financing segments in the U.S. and Canada. We believe that by having our own capabilities in key segments of the market we will be able to achieve more competition and better service from the market, while ensuring certainty of availability through the business cycles.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April 2011 GM Financial began originating leases for our customers in Canada via FinanciaLinx Corporation. Given the importance of leasing and the current lack of availability of leasing offerings to our customers in the Canadian market (due to regulatory restrictions preventing banks and bank holding companies from offering leasing in Canada), we believe having a captive financing offering in Canada is important to our business.</w:t>
      </w:r>
    </w:p>
    <w:p>
      <w:pPr>
        <w:spacing w:after="0" w:line="16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2012 in order to increase our competitiveness and benefit from increased financing sources, we entered into arrangements with banks to provide incentivized retail financing to our customers in the U.S. and Canada and our Vauxhall customers in the U.K.</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will continue to expand the business of GM Financial in targeted areas that we view as strategic and to otherwise evaluate opportunities in specific segments of the automotive financing market, both in the U.S. and internationally. We expect any expansion of GM Financial or any arrangements with other financing providers will complement our important relationship with Ally Financial.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Outlook</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first half of 2012 the European automotive industry has been severely affected by the ongoing sovereign debt crisis, high unemployment and a lack of consumer confidence coupled with overcapacity. European automotive industry vehicle sales to retail and fleet customers were 10.0 million units in the six months ended June 30, 2012, representing a 4.9% decrease compared to the corresponding period in 2011. In the six months ended June 30, 2012 GME's market share declined to 8.5% from 8.8% in the year ended December 31, 2011 and the region suffered EBIT (loss)-adjusted of $0.6 billion in the six months ended June 30, 2012 compared to EBIT-adjusted of $0.1 billion in the corresponding period in 2011.</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response, we are implementing and executing various actions to strengthen our European operations and increase our competitiveness. The key areas of the plan include: (1) investments in our product portfolio; (2) a revised brand strategy; and (3) reducing material, development and production costs and further leveraging synergies from the alliance between the Company and Peugeot S.A. (PSA), as subsequently discussed.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Notwithstanding the above we believe it is likely that adverse economic conditions, and their effect on the European automotive industry, will not improve significantly during the remainder of 2012 and we expect to incur substantial losses in the region as a result. In addition, the success of our plan will depend on a combination of our ability to execute the actions contemplated, as well as external factors which are outside of our control.</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Should there be a further deterioration in the outlook and in our ability to generate cash in the region we may be required to test certain long-lived assets for recoverability. If the result of such analysis indicates that the carrying amount of such assets exceeds their estimated fair value, the resulting non-cash impairment charge may have a material effect on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with Peugeot S.A.</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February 2012 we entered into an agreement with PSA to create a long-term and broad-scale global strategic alliance that is expected to leverage the combined strengths and capabilities of the two companies, contribute to our profitability and improve our competitiveness in Europe. In connection with the alliance, in March 2012 we acquired a seven percent equity stake in PSA for $0.4 billion and in June 2012 we entered into a long-term exclusive service agreement with Gefco, a wholly-owned subsidiary of PSA, to provide logistics services in Europe beginning in 2013. The alliance is structured around two main pillars: the sharing of vehicle platforms, components and modules and the creation of a global purchasing joint venture for the sourcing of commodities, components and other goods and services. The implementation of the strategic alliance is subject to the execution of various definitive agreements which will outline the terms of the joint business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Activities</w:t>
      </w:r>
    </w:p>
    <w:p>
      <w:pPr>
        <w:spacing w:after="0" w:line="2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2011 labor agreement with the International Union, United Automobile, Aerospace and Agriculture Implement Workers of America included cash severance incentive programs which were completed at March 31, 2012 for skilled trade U.S. hourly employees. A total of 1,400 skilled trade U.S. hourly employees participated in these programs at a total cost of $0.1 billion and was recorded upon irrevocable acceptances by both parties. Substantially all of the program cost was recorded in the three months ended March 31, 2012.</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Through June 30, 2012 separation and early retirement programs in Germany had a total cost of $0.3 billion and affected a total of 1,900 employees. We expect to complete these programs in 2013 and incur an additional $0.1 billion, which will affect an additional 350 employees.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2012 additional programs were implemented in GMIO and GMSA, which recorded charges of $22 million and $0.1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Changes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Pension Plan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January 2012 we amended the U.S. salaried pension plan to cease the accrual of additional benefits effective September 30, 2012. This amendment resulted in a curtailment which decreased the liability and decreased the net actuarial loss component of Accumulated other comprehensive income by $0.3 billion. Active plan participants will receive additional contributions in the defined contribution plan starting in October 2012.</w:t>
      </w:r>
    </w:p>
    <w:p>
      <w:pPr>
        <w:spacing w:after="0" w:line="14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May 2012 we entered into an agreement in which the salaried pension plan will purchase a group annuity contract from an insurance company that requires the insurance company to pay and administer future annuity payments to certain of our salaried retirees. In addition, certain retired participants in the salaried plan are being offered lump-sum distributions. Retired salaried employees that are not offered lump-sum distributions or those that decline the lump-sum offer will receive annuity payments from the insurance company in accordance with the terms of the group annuity contract. We expect to incur pre-tax special charges in the range of $2.5 billion to $3.5 billion ($3.0 billion to $4.0 billion after tax) in the second half of 2012. The tax expense of $0.5 billion would result from the removal of income tax allocations between Accumulated other comprehensive income and operations in prior years. However, due to the magnitude of the pension obligations being settled and the interest rate sensitivity of the transactions, it is possible that the ultimate amount of special charges could be outside of this range when the transactions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completed. The ongoing annual impact to earnings will be approximately $200 million unfavorable due to a decrease in pension income. Upon completion we expect to account for the transactions as a settlement of pension obligations of approximately $26 billion.</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August 2012, the U.S. salaried pension plan was amended to create a legally separate new defined benefit pension plan for primarily active and terminated vested participants. The underlying benefits offered to plan participants were unchanged. The existing plan will primarily cover retirees receiving payments. We expect to settle the existing plan by December 31, 2012 through lump-sum distributions and the purchase of a group annuity contract from an insurance company, as previously discussed, and the plan will subsequently be terminated. Accordingly, we will remeasure the U.S. salaried pension plan in August 2012.</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Salaried Benefit Plans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June 2012 we amended the Canadian salaried pension plan to cease the accrual of additional benefits effective January 1, 2013. Active plan participants will receive additional contributions in the defined contribution plan starting in January 2013. We also amended the Canadian salaried retiree healthcare plan to eliminate post-65 healthcare benefits for employees retiring on or after July 1, 2014. In conjunction with this change we amended the plan to offer either a monthly monetary payment to a defined contribution plan for health care or an annual lump-sum cash payment to a defined contribution plan for health care in lieu of the benefit coverage provisions formerly provided under the healthcare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introduced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 to our condensed consolidated financial statements for additional details regarding amounts pending government approval for settlement and the net assets of our Venezuelan subsidiaries.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140"/>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4"/>
          </w:tcPr>
          <w:p>
            <w:pPr>
              <w:ind w:left="300"/>
              <w:spacing w:after="0"/>
              <w:rPr>
                <w:sz w:val="20"/>
                <w:szCs w:val="20"/>
                <w:color w:val="auto"/>
              </w:rPr>
            </w:pPr>
            <w:r>
              <w:rPr>
                <w:rFonts w:ascii="Arial" w:cs="Arial" w:eastAsia="Arial" w:hAnsi="Arial"/>
                <w:sz w:val="11"/>
                <w:szCs w:val="11"/>
                <w:b w:val="1"/>
                <w:bCs w:val="1"/>
                <w:color w:val="auto"/>
              </w:rPr>
              <w:t>Three Months Ended June 30, 2012</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4"/>
          </w:tcPr>
          <w:p>
            <w:pPr>
              <w:ind w:left="380"/>
              <w:spacing w:after="0"/>
              <w:rPr>
                <w:sz w:val="20"/>
                <w:szCs w:val="20"/>
                <w:color w:val="auto"/>
              </w:rPr>
            </w:pPr>
            <w:r>
              <w:rPr>
                <w:rFonts w:ascii="Arial" w:cs="Arial" w:eastAsia="Arial" w:hAnsi="Arial"/>
                <w:sz w:val="11"/>
                <w:szCs w:val="11"/>
                <w:b w:val="1"/>
                <w:bCs w:val="1"/>
                <w:color w:val="auto"/>
              </w:rPr>
              <w:t>Three Months Ended June 30, 2011</w:t>
            </w:r>
          </w:p>
        </w:tc>
        <w:tc>
          <w:tcPr>
            <w:tcW w:w="1120" w:type="dxa"/>
            <w:vAlign w:val="bottom"/>
          </w:tcPr>
          <w:p>
            <w:pPr>
              <w:spacing w:after="0"/>
              <w:rPr>
                <w:sz w:val="12"/>
                <w:szCs w:val="12"/>
                <w:color w:val="auto"/>
              </w:rPr>
            </w:pPr>
          </w:p>
        </w:tc>
      </w:tr>
      <w:tr>
        <w:trPr>
          <w:trHeight w:val="22"/>
        </w:trPr>
        <w:tc>
          <w:tcPr>
            <w:tcW w:w="128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2"/>
        </w:trPr>
        <w:tc>
          <w:tcPr>
            <w:tcW w:w="1280" w:type="dxa"/>
            <w:vAlign w:val="bottom"/>
            <w:gridSpan w:val="2"/>
          </w:tcPr>
          <w:p>
            <w:pPr>
              <w:ind w:left="320"/>
              <w:spacing w:after="0"/>
              <w:rPr>
                <w:sz w:val="20"/>
                <w:szCs w:val="20"/>
                <w:color w:val="auto"/>
              </w:rPr>
            </w:pPr>
            <w:r>
              <w:rPr>
                <w:rFonts w:ascii="Arial" w:cs="Arial" w:eastAsia="Arial" w:hAnsi="Arial"/>
                <w:sz w:val="11"/>
                <w:szCs w:val="11"/>
                <w:b w:val="1"/>
                <w:bCs w:val="1"/>
                <w:color w:val="auto"/>
              </w:rPr>
              <w:t>Automotive</w:t>
            </w: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GM Financial</w:t>
            </w:r>
          </w:p>
        </w:tc>
        <w:tc>
          <w:tcPr>
            <w:tcW w:w="1180" w:type="dxa"/>
            <w:vAlign w:val="bottom"/>
            <w:gridSpan w:val="2"/>
          </w:tcPr>
          <w:p>
            <w:pPr>
              <w:ind w:left="240"/>
              <w:spacing w:after="0"/>
              <w:rPr>
                <w:sz w:val="20"/>
                <w:szCs w:val="20"/>
                <w:color w:val="auto"/>
              </w:rPr>
            </w:pPr>
            <w:r>
              <w:rPr>
                <w:rFonts w:ascii="Arial" w:cs="Arial" w:eastAsia="Arial" w:hAnsi="Arial"/>
                <w:sz w:val="11"/>
                <w:szCs w:val="11"/>
                <w:b w:val="1"/>
                <w:bCs w:val="1"/>
                <w:color w:val="auto"/>
              </w:rPr>
              <w:t>Eliminations</w:t>
            </w:r>
          </w:p>
        </w:tc>
        <w:tc>
          <w:tcPr>
            <w:tcW w:w="1160" w:type="dxa"/>
            <w:vAlign w:val="bottom"/>
            <w:gridSpan w:val="2"/>
          </w:tcPr>
          <w:p>
            <w:pPr>
              <w:ind w:left="220"/>
              <w:spacing w:after="0"/>
              <w:rPr>
                <w:sz w:val="20"/>
                <w:szCs w:val="20"/>
                <w:color w:val="auto"/>
              </w:rPr>
            </w:pPr>
            <w:r>
              <w:rPr>
                <w:rFonts w:ascii="Arial" w:cs="Arial" w:eastAsia="Arial" w:hAnsi="Arial"/>
                <w:sz w:val="11"/>
                <w:szCs w:val="11"/>
                <w:b w:val="1"/>
                <w:bCs w:val="1"/>
                <w:color w:val="auto"/>
              </w:rPr>
              <w:t>Consolidated</w:t>
            </w:r>
          </w:p>
        </w:tc>
        <w:tc>
          <w:tcPr>
            <w:tcW w:w="1220" w:type="dxa"/>
            <w:vAlign w:val="bottom"/>
            <w:gridSpan w:val="2"/>
          </w:tcPr>
          <w:p>
            <w:pPr>
              <w:ind w:left="280"/>
              <w:spacing w:after="0"/>
              <w:rPr>
                <w:sz w:val="20"/>
                <w:szCs w:val="20"/>
                <w:color w:val="auto"/>
              </w:rPr>
            </w:pPr>
            <w:r>
              <w:rPr>
                <w:rFonts w:ascii="Arial" w:cs="Arial" w:eastAsia="Arial" w:hAnsi="Arial"/>
                <w:sz w:val="11"/>
                <w:szCs w:val="11"/>
                <w:b w:val="1"/>
                <w:bCs w:val="1"/>
                <w:color w:val="auto"/>
              </w:rPr>
              <w:t>Automotive</w:t>
            </w:r>
          </w:p>
        </w:tc>
        <w:tc>
          <w:tcPr>
            <w:tcW w:w="1240" w:type="dxa"/>
            <w:vAlign w:val="bottom"/>
            <w:gridSpan w:val="2"/>
          </w:tcPr>
          <w:p>
            <w:pPr>
              <w:ind w:left="240"/>
              <w:spacing w:after="0"/>
              <w:rPr>
                <w:sz w:val="20"/>
                <w:szCs w:val="20"/>
                <w:color w:val="auto"/>
              </w:rPr>
            </w:pPr>
            <w:r>
              <w:rPr>
                <w:rFonts w:ascii="Arial" w:cs="Arial" w:eastAsia="Arial" w:hAnsi="Arial"/>
                <w:sz w:val="11"/>
                <w:szCs w:val="11"/>
                <w:b w:val="1"/>
                <w:bCs w:val="1"/>
                <w:color w:val="auto"/>
              </w:rPr>
              <w:t>GM Financial</w:t>
            </w:r>
          </w:p>
        </w:tc>
        <w:tc>
          <w:tcPr>
            <w:tcW w:w="1220" w:type="dxa"/>
            <w:vAlign w:val="bottom"/>
            <w:gridSpan w:val="2"/>
          </w:tcPr>
          <w:p>
            <w:pPr>
              <w:ind w:left="260"/>
              <w:spacing w:after="0"/>
              <w:rPr>
                <w:sz w:val="20"/>
                <w:szCs w:val="20"/>
                <w:color w:val="auto"/>
              </w:rPr>
            </w:pPr>
            <w:r>
              <w:rPr>
                <w:rFonts w:ascii="Arial" w:cs="Arial" w:eastAsia="Arial" w:hAnsi="Arial"/>
                <w:sz w:val="11"/>
                <w:szCs w:val="11"/>
                <w:b w:val="1"/>
                <w:bCs w:val="1"/>
                <w:color w:val="auto"/>
              </w:rPr>
              <w:t>Eliminations</w:t>
            </w:r>
          </w:p>
        </w:tc>
        <w:tc>
          <w:tcPr>
            <w:tcW w:w="1120" w:type="dxa"/>
            <w:vAlign w:val="bottom"/>
          </w:tcPr>
          <w:p>
            <w:pPr>
              <w:ind w:left="260"/>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8"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Net sales and revenue</w:t>
      </w:r>
    </w:p>
    <w:p>
      <w:pPr>
        <w:sectPr>
          <w:pgSz w:w="11900" w:h="16838" w:orient="portrait"/>
          <w:cols w:equalWidth="0" w:num="1">
            <w:col w:w="11420"/>
          </w:cols>
          <w:pgMar w:left="240" w:top="341" w:right="239" w:bottom="1440" w:gutter="0" w:footer="0" w:header="0"/>
        </w:sectPr>
      </w:pP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1680" w:type="dxa"/>
            <w:vAlign w:val="bottom"/>
          </w:tcPr>
          <w:p>
            <w:pPr>
              <w:ind w:left="160"/>
              <w:spacing w:after="0"/>
              <w:rPr>
                <w:sz w:val="20"/>
                <w:szCs w:val="20"/>
                <w:color w:val="auto"/>
              </w:rPr>
            </w:pPr>
            <w:r>
              <w:rPr>
                <w:rFonts w:ascii="Arial" w:cs="Arial" w:eastAsia="Arial" w:hAnsi="Arial"/>
                <w:sz w:val="11"/>
                <w:szCs w:val="11"/>
                <w:color w:val="auto"/>
              </w:rPr>
              <w:t>Automotive sales and revenue</w:t>
            </w: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37,126</w:t>
            </w:r>
          </w:p>
        </w:tc>
        <w:tc>
          <w:tcPr>
            <w:tcW w:w="120" w:type="dxa"/>
            <w:vAlign w:val="bottom"/>
          </w:tcPr>
          <w:p>
            <w:pPr>
              <w:spacing w:after="0"/>
              <w:rPr>
                <w:sz w:val="11"/>
                <w:szCs w:val="11"/>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ind w:left="160"/>
              <w:spacing w:after="0"/>
              <w:rPr>
                <w:sz w:val="20"/>
                <w:szCs w:val="20"/>
                <w:color w:val="auto"/>
              </w:rPr>
            </w:pPr>
            <w:r>
              <w:rPr>
                <w:rFonts w:ascii="Arial" w:cs="Arial" w:eastAsia="Arial" w:hAnsi="Arial"/>
                <w:sz w:val="11"/>
                <w:szCs w:val="11"/>
                <w:color w:val="auto"/>
              </w:rPr>
              <w:t>GM Financial revenue</w:t>
            </w:r>
          </w:p>
        </w:tc>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487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680" w:type="dxa"/>
            <w:vAlign w:val="bottom"/>
          </w:tcPr>
          <w:p>
            <w:pPr>
              <w:ind w:left="160"/>
              <w:spacing w:after="0"/>
              <w:rPr>
                <w:sz w:val="20"/>
                <w:szCs w:val="20"/>
                <w:color w:val="auto"/>
              </w:rPr>
            </w:pPr>
            <w:r>
              <w:rPr>
                <w:rFonts w:ascii="Arial" w:cs="Arial" w:eastAsia="Arial" w:hAnsi="Arial"/>
                <w:sz w:val="11"/>
                <w:szCs w:val="11"/>
                <w:color w:val="auto"/>
              </w:rPr>
              <w:t>Total net sales and revenue</w:t>
            </w:r>
          </w:p>
        </w:tc>
        <w:tc>
          <w:tcPr>
            <w:tcW w:w="420" w:type="dxa"/>
            <w:vAlign w:val="bottom"/>
          </w:tcPr>
          <w:p>
            <w:pPr>
              <w:spacing w:after="0"/>
              <w:rPr>
                <w:sz w:val="19"/>
                <w:szCs w:val="19"/>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37,126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487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Costs and expenses</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6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80" w:type="dxa"/>
            <w:vAlign w:val="bottom"/>
          </w:tcPr>
          <w:p>
            <w:pPr>
              <w:ind w:left="160"/>
              <w:spacing w:after="0"/>
              <w:rPr>
                <w:sz w:val="20"/>
                <w:szCs w:val="20"/>
                <w:color w:val="auto"/>
              </w:rPr>
            </w:pPr>
            <w:r>
              <w:rPr>
                <w:rFonts w:ascii="Arial" w:cs="Arial" w:eastAsia="Arial" w:hAnsi="Arial"/>
                <w:sz w:val="11"/>
                <w:szCs w:val="11"/>
                <w:color w:val="auto"/>
              </w:rPr>
              <w:t>Automotive cost of sales</w:t>
            </w:r>
          </w:p>
        </w:tc>
        <w:tc>
          <w:tcPr>
            <w:tcW w:w="42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32,675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80" w:type="dxa"/>
            <w:vAlign w:val="bottom"/>
          </w:tcPr>
          <w:p>
            <w:pPr>
              <w:ind w:left="160"/>
              <w:spacing w:after="0"/>
              <w:rPr>
                <w:sz w:val="20"/>
                <w:szCs w:val="20"/>
                <w:color w:val="auto"/>
              </w:rPr>
            </w:pPr>
            <w:r>
              <w:rPr>
                <w:rFonts w:ascii="Arial" w:cs="Arial" w:eastAsia="Arial" w:hAnsi="Arial"/>
                <w:sz w:val="11"/>
                <w:szCs w:val="11"/>
                <w:color w:val="auto"/>
                <w:w w:val="91"/>
              </w:rPr>
              <w:t>GM Financial operating expenses</w:t>
            </w:r>
          </w:p>
        </w:tc>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80" w:type="dxa"/>
            <w:vAlign w:val="bottom"/>
          </w:tcPr>
          <w:p>
            <w:pPr>
              <w:ind w:left="160"/>
              <w:spacing w:after="0"/>
              <w:rPr>
                <w:sz w:val="20"/>
                <w:szCs w:val="20"/>
                <w:color w:val="auto"/>
              </w:rPr>
            </w:pPr>
            <w:r>
              <w:rPr>
                <w:rFonts w:ascii="Arial" w:cs="Arial" w:eastAsia="Arial" w:hAnsi="Arial"/>
                <w:sz w:val="11"/>
                <w:szCs w:val="11"/>
                <w:color w:val="auto"/>
              </w:rPr>
              <w:t>GM Financial interest expense</w:t>
            </w:r>
          </w:p>
        </w:tc>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80" w:type="dxa"/>
            <w:vAlign w:val="bottom"/>
          </w:tcPr>
          <w:p>
            <w:pPr>
              <w:ind w:left="160"/>
              <w:spacing w:after="0"/>
              <w:rPr>
                <w:sz w:val="20"/>
                <w:szCs w:val="20"/>
                <w:color w:val="auto"/>
              </w:rPr>
            </w:pPr>
            <w:r>
              <w:rPr>
                <w:rFonts w:ascii="Arial" w:cs="Arial" w:eastAsia="Arial" w:hAnsi="Arial"/>
                <w:sz w:val="11"/>
                <w:szCs w:val="11"/>
                <w:color w:val="auto"/>
              </w:rPr>
              <w:t>GM Financial other expenses</w:t>
            </w:r>
          </w:p>
        </w:tc>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113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680" w:type="dxa"/>
            <w:vAlign w:val="bottom"/>
          </w:tcPr>
          <w:p>
            <w:pPr>
              <w:ind w:left="160"/>
              <w:spacing w:after="0"/>
              <w:rPr>
                <w:sz w:val="20"/>
                <w:szCs w:val="20"/>
                <w:color w:val="auto"/>
              </w:rPr>
            </w:pPr>
            <w:r>
              <w:rPr>
                <w:rFonts w:ascii="Arial" w:cs="Arial" w:eastAsia="Arial" w:hAnsi="Arial"/>
                <w:sz w:val="11"/>
                <w:szCs w:val="11"/>
                <w:color w:val="auto"/>
                <w:w w:val="97"/>
              </w:rPr>
              <w:t>Automotive selling, general and</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320"/>
              <w:spacing w:after="0"/>
              <w:rPr>
                <w:sz w:val="20"/>
                <w:szCs w:val="20"/>
                <w:color w:val="auto"/>
              </w:rPr>
            </w:pPr>
            <w:r>
              <w:rPr>
                <w:rFonts w:ascii="Arial" w:cs="Arial" w:eastAsia="Arial" w:hAnsi="Arial"/>
                <w:sz w:val="11"/>
                <w:szCs w:val="11"/>
                <w:color w:val="auto"/>
              </w:rPr>
              <w:t>administrative expense</w:t>
            </w:r>
          </w:p>
        </w:tc>
        <w:tc>
          <w:tcPr>
            <w:tcW w:w="4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2,842</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680" w:type="dxa"/>
            <w:vAlign w:val="bottom"/>
          </w:tcPr>
          <w:p>
            <w:pPr>
              <w:ind w:left="160"/>
              <w:spacing w:after="0"/>
              <w:rPr>
                <w:sz w:val="20"/>
                <w:szCs w:val="20"/>
                <w:color w:val="auto"/>
              </w:rPr>
            </w:pPr>
            <w:r>
              <w:rPr>
                <w:rFonts w:ascii="Arial" w:cs="Arial" w:eastAsia="Arial" w:hAnsi="Arial"/>
                <w:sz w:val="11"/>
                <w:szCs w:val="11"/>
                <w:color w:val="auto"/>
                <w:w w:val="96"/>
              </w:rPr>
              <w:t>Other automotive expenses, net</w:t>
            </w:r>
          </w:p>
        </w:tc>
        <w:tc>
          <w:tcPr>
            <w:tcW w:w="42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80" w:type="dxa"/>
            <w:vAlign w:val="bottom"/>
          </w:tcPr>
          <w:p>
            <w:pPr>
              <w:ind w:left="160"/>
              <w:spacing w:after="0"/>
              <w:rPr>
                <w:sz w:val="20"/>
                <w:szCs w:val="20"/>
                <w:color w:val="auto"/>
              </w:rPr>
            </w:pPr>
            <w:r>
              <w:rPr>
                <w:rFonts w:ascii="Arial" w:cs="Arial" w:eastAsia="Arial" w:hAnsi="Arial"/>
                <w:sz w:val="11"/>
                <w:szCs w:val="11"/>
                <w:color w:val="auto"/>
              </w:rPr>
              <w:t>Goodwill impairment charges</w:t>
            </w:r>
          </w:p>
        </w:tc>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680" w:type="dxa"/>
            <w:vAlign w:val="bottom"/>
          </w:tcPr>
          <w:p>
            <w:pPr>
              <w:ind w:left="160"/>
              <w:spacing w:after="0"/>
              <w:rPr>
                <w:sz w:val="20"/>
                <w:szCs w:val="20"/>
                <w:color w:val="auto"/>
              </w:rPr>
            </w:pPr>
            <w:r>
              <w:rPr>
                <w:rFonts w:ascii="Arial" w:cs="Arial" w:eastAsia="Arial" w:hAnsi="Arial"/>
                <w:sz w:val="11"/>
                <w:szCs w:val="11"/>
                <w:color w:val="auto"/>
              </w:rPr>
              <w:t>Total costs and expenses</w:t>
            </w:r>
          </w:p>
        </w:tc>
        <w:tc>
          <w:tcPr>
            <w:tcW w:w="420" w:type="dxa"/>
            <w:vAlign w:val="bottom"/>
          </w:tcPr>
          <w:p>
            <w:pPr>
              <w:spacing w:after="0"/>
              <w:rPr>
                <w:sz w:val="19"/>
                <w:szCs w:val="19"/>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35,522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680" w:type="dxa"/>
            <w:vAlign w:val="bottom"/>
          </w:tcPr>
          <w:p>
            <w:pPr>
              <w:ind w:left="320"/>
              <w:spacing w:after="0"/>
              <w:rPr>
                <w:sz w:val="20"/>
                <w:szCs w:val="20"/>
                <w:color w:val="auto"/>
              </w:rPr>
            </w:pPr>
            <w:r>
              <w:rPr>
                <w:rFonts w:ascii="Arial" w:cs="Arial" w:eastAsia="Arial" w:hAnsi="Arial"/>
                <w:sz w:val="11"/>
                <w:szCs w:val="11"/>
                <w:color w:val="auto"/>
              </w:rPr>
              <w:t>Operating income</w:t>
            </w:r>
          </w:p>
        </w:tc>
        <w:tc>
          <w:tcPr>
            <w:tcW w:w="420" w:type="dxa"/>
            <w:vAlign w:val="bottom"/>
          </w:tcPr>
          <w:p>
            <w:pPr>
              <w:spacing w:after="0"/>
              <w:rPr>
                <w:sz w:val="19"/>
                <w:szCs w:val="19"/>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1,604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Automotive interest expense</w:t>
            </w:r>
          </w:p>
        </w:tc>
        <w:tc>
          <w:tcPr>
            <w:tcW w:w="42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680" w:type="dxa"/>
            <w:vAlign w:val="bottom"/>
          </w:tcPr>
          <w:p>
            <w:pPr>
              <w:spacing w:after="0"/>
              <w:rPr>
                <w:sz w:val="20"/>
                <w:szCs w:val="20"/>
                <w:color w:val="auto"/>
              </w:rPr>
            </w:pPr>
            <w:r>
              <w:rPr>
                <w:rFonts w:ascii="Arial" w:cs="Arial" w:eastAsia="Arial" w:hAnsi="Arial"/>
                <w:sz w:val="11"/>
                <w:szCs w:val="11"/>
                <w:color w:val="auto"/>
              </w:rPr>
              <w:t>Interest income and other non-</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160"/>
              <w:spacing w:after="0"/>
              <w:rPr>
                <w:sz w:val="20"/>
                <w:szCs w:val="20"/>
                <w:color w:val="auto"/>
              </w:rPr>
            </w:pPr>
            <w:r>
              <w:rPr>
                <w:rFonts w:ascii="Arial" w:cs="Arial" w:eastAsia="Arial" w:hAnsi="Arial"/>
                <w:sz w:val="11"/>
                <w:szCs w:val="11"/>
                <w:color w:val="auto"/>
              </w:rPr>
              <w:t>operating income, net</w:t>
            </w:r>
          </w:p>
        </w:tc>
        <w:tc>
          <w:tcPr>
            <w:tcW w:w="4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139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Loss on extinguishment of debt</w:t>
            </w:r>
          </w:p>
        </w:tc>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1680" w:type="dxa"/>
            <w:vAlign w:val="bottom"/>
            <w:vMerge w:val="restart"/>
          </w:tcPr>
          <w:p>
            <w:pPr>
              <w:spacing w:after="0"/>
              <w:rPr>
                <w:sz w:val="20"/>
                <w:szCs w:val="20"/>
                <w:color w:val="auto"/>
              </w:rPr>
            </w:pPr>
            <w:r>
              <w:rPr>
                <w:rFonts w:ascii="Arial" w:cs="Arial" w:eastAsia="Arial" w:hAnsi="Arial"/>
                <w:sz w:val="11"/>
                <w:szCs w:val="11"/>
                <w:color w:val="auto"/>
              </w:rPr>
              <w:t>Income before income taxes and</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6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160"/>
              <w:spacing w:after="0"/>
              <w:rPr>
                <w:sz w:val="20"/>
                <w:szCs w:val="20"/>
                <w:color w:val="auto"/>
              </w:rPr>
            </w:pPr>
            <w:r>
              <w:rPr>
                <w:rFonts w:ascii="Arial" w:cs="Arial" w:eastAsia="Arial" w:hAnsi="Arial"/>
                <w:sz w:val="11"/>
                <w:szCs w:val="11"/>
                <w:color w:val="auto"/>
              </w:rPr>
              <w:t>equity income</w:t>
            </w:r>
          </w:p>
        </w:tc>
        <w:tc>
          <w:tcPr>
            <w:tcW w:w="4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1,625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Income tax expense (benefit)</w:t>
            </w:r>
          </w:p>
        </w:tc>
        <w:tc>
          <w:tcPr>
            <w:tcW w:w="42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680" w:type="dxa"/>
            <w:vAlign w:val="bottom"/>
          </w:tcPr>
          <w:p>
            <w:pPr>
              <w:spacing w:after="0"/>
              <w:rPr>
                <w:sz w:val="20"/>
                <w:szCs w:val="20"/>
                <w:color w:val="auto"/>
              </w:rPr>
            </w:pPr>
            <w:r>
              <w:rPr>
                <w:rFonts w:ascii="Arial" w:cs="Arial" w:eastAsia="Arial" w:hAnsi="Arial"/>
                <w:sz w:val="11"/>
                <w:szCs w:val="11"/>
                <w:color w:val="auto"/>
                <w:w w:val="91"/>
              </w:rPr>
              <w:t>Equity income, net of tax and gain on</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160"/>
              <w:spacing w:after="0"/>
              <w:rPr>
                <w:sz w:val="20"/>
                <w:szCs w:val="20"/>
                <w:color w:val="auto"/>
              </w:rPr>
            </w:pPr>
            <w:r>
              <w:rPr>
                <w:rFonts w:ascii="Arial" w:cs="Arial" w:eastAsia="Arial" w:hAnsi="Arial"/>
                <w:sz w:val="11"/>
                <w:szCs w:val="11"/>
                <w:color w:val="auto"/>
              </w:rPr>
              <w:t>disposal of investments</w:t>
            </w:r>
          </w:p>
        </w:tc>
        <w:tc>
          <w:tcPr>
            <w:tcW w:w="4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300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Net income</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1,793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680" w:type="dxa"/>
            <w:vAlign w:val="bottom"/>
          </w:tcPr>
          <w:p>
            <w:pPr>
              <w:spacing w:after="0"/>
              <w:rPr>
                <w:sz w:val="20"/>
                <w:szCs w:val="20"/>
                <w:color w:val="auto"/>
              </w:rPr>
            </w:pPr>
            <w:r>
              <w:rPr>
                <w:rFonts w:ascii="Arial" w:cs="Arial" w:eastAsia="Arial" w:hAnsi="Arial"/>
                <w:sz w:val="11"/>
                <w:szCs w:val="11"/>
                <w:color w:val="auto"/>
              </w:rPr>
              <w:t>Net income attributable to</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160"/>
              <w:spacing w:after="0"/>
              <w:rPr>
                <w:sz w:val="20"/>
                <w:szCs w:val="20"/>
                <w:color w:val="auto"/>
              </w:rPr>
            </w:pPr>
            <w:r>
              <w:rPr>
                <w:rFonts w:ascii="Arial" w:cs="Arial" w:eastAsia="Arial" w:hAnsi="Arial"/>
                <w:sz w:val="11"/>
                <w:szCs w:val="11"/>
                <w:color w:val="auto"/>
              </w:rPr>
              <w:t>noncontrolling interests</w:t>
            </w:r>
          </w:p>
        </w:tc>
        <w:tc>
          <w:tcPr>
            <w:tcW w:w="42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Net income attributable to</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680" w:type="dxa"/>
            <w:vAlign w:val="bottom"/>
            <w:vMerge w:val="continue"/>
          </w:tcPr>
          <w:p>
            <w:pPr>
              <w:spacing w:after="0"/>
              <w:rPr>
                <w:sz w:val="9"/>
                <w:szCs w:val="9"/>
                <w:color w:val="auto"/>
              </w:rPr>
            </w:pPr>
          </w:p>
        </w:tc>
        <w:tc>
          <w:tcPr>
            <w:tcW w:w="420" w:type="dxa"/>
            <w:vAlign w:val="bottom"/>
            <w:vMerge w:val="restart"/>
          </w:tcPr>
          <w:p>
            <w:pPr>
              <w:jc w:val="right"/>
              <w:ind w:right="286"/>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color w:val="auto"/>
              </w:rPr>
              <w:t>1,738</w:t>
            </w:r>
          </w:p>
        </w:tc>
        <w:tc>
          <w:tcPr>
            <w:tcW w:w="120" w:type="dxa"/>
            <w:vAlign w:val="bottom"/>
          </w:tcPr>
          <w:p>
            <w:pPr>
              <w:spacing w:after="0"/>
              <w:rPr>
                <w:sz w:val="9"/>
                <w:szCs w:val="9"/>
                <w:color w:val="auto"/>
              </w:rPr>
            </w:pPr>
          </w:p>
        </w:tc>
        <w:tc>
          <w:tcPr>
            <w:tcW w:w="480" w:type="dxa"/>
            <w:vAlign w:val="bottom"/>
            <w:vMerge w:val="restart"/>
          </w:tcPr>
          <w:p>
            <w:pPr>
              <w:jc w:val="right"/>
              <w:ind w:right="346"/>
              <w:spacing w:after="0"/>
              <w:rPr>
                <w:sz w:val="20"/>
                <w:szCs w:val="20"/>
                <w:color w:val="auto"/>
              </w:rPr>
            </w:pPr>
            <w:r>
              <w:rPr>
                <w:rFonts w:ascii="Arial" w:cs="Arial" w:eastAsia="Arial" w:hAnsi="Arial"/>
                <w:sz w:val="11"/>
                <w:szCs w:val="11"/>
                <w:color w:val="auto"/>
                <w:w w:val="97"/>
              </w:rPr>
              <w:t>$</w:t>
            </w: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9"/>
                <w:szCs w:val="9"/>
                <w:color w:val="auto"/>
              </w:rPr>
            </w:pPr>
          </w:p>
        </w:tc>
        <w:tc>
          <w:tcPr>
            <w:tcW w:w="460" w:type="dxa"/>
            <w:vAlign w:val="bottom"/>
            <w:vMerge w:val="restart"/>
          </w:tcPr>
          <w:p>
            <w:pPr>
              <w:jc w:val="right"/>
              <w:ind w:right="30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680" w:type="dxa"/>
            <w:vAlign w:val="bottom"/>
          </w:tcPr>
          <w:p>
            <w:pPr>
              <w:ind w:left="160"/>
              <w:spacing w:after="0"/>
              <w:rPr>
                <w:sz w:val="20"/>
                <w:szCs w:val="20"/>
                <w:color w:val="auto"/>
              </w:rPr>
            </w:pPr>
            <w:r>
              <w:rPr>
                <w:rFonts w:ascii="Arial" w:cs="Arial" w:eastAsia="Arial" w:hAnsi="Arial"/>
                <w:sz w:val="11"/>
                <w:szCs w:val="11"/>
                <w:b w:val="1"/>
                <w:bCs w:val="1"/>
                <w:color w:val="auto"/>
              </w:rPr>
              <w:t>stockholders</w:t>
            </w:r>
          </w:p>
        </w:tc>
        <w:tc>
          <w:tcPr>
            <w:tcW w:w="4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-3729990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-2331720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-1285875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-1988820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-3387090</wp:posOffset>
            </wp:positionV>
            <wp:extent cx="72466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jc w:val="right"/>
              <w:ind w:right="166"/>
              <w:spacing w:after="0"/>
              <w:rPr>
                <w:sz w:val="20"/>
                <w:szCs w:val="20"/>
                <w:color w:val="auto"/>
              </w:rPr>
            </w:pPr>
            <w:r>
              <w:rPr>
                <w:rFonts w:ascii="Arial" w:cs="Arial" w:eastAsia="Arial" w:hAnsi="Arial"/>
                <w:sz w:val="11"/>
                <w:szCs w:val="11"/>
                <w:color w:val="auto"/>
                <w:w w:val="83"/>
              </w:rPr>
              <w:t>37,127</w:t>
            </w: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39,043</w:t>
            </w:r>
          </w:p>
        </w:tc>
        <w:tc>
          <w:tcPr>
            <w:tcW w:w="100" w:type="dxa"/>
            <w:vAlign w:val="bottom"/>
          </w:tcPr>
          <w:p>
            <w:pPr>
              <w:spacing w:after="0"/>
              <w:rPr>
                <w:sz w:val="11"/>
                <w:szCs w:val="11"/>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39,043</w:t>
            </w:r>
          </w:p>
        </w:tc>
      </w:tr>
      <w:tr>
        <w:trPr>
          <w:trHeight w:val="270"/>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487</w:t>
            </w: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330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330</w:t>
            </w:r>
          </w:p>
        </w:tc>
      </w:tr>
      <w:tr>
        <w:trPr>
          <w:trHeight w:val="22"/>
        </w:trPr>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520" w:type="dxa"/>
            <w:vAlign w:val="bottom"/>
          </w:tcPr>
          <w:p>
            <w:pPr>
              <w:jc w:val="right"/>
              <w:ind w:right="166"/>
              <w:spacing w:after="0"/>
              <w:rPr>
                <w:sz w:val="20"/>
                <w:szCs w:val="20"/>
                <w:color w:val="auto"/>
              </w:rPr>
            </w:pPr>
            <w:r>
              <w:rPr>
                <w:rFonts w:ascii="Arial" w:cs="Arial" w:eastAsia="Arial" w:hAnsi="Arial"/>
                <w:sz w:val="11"/>
                <w:szCs w:val="11"/>
                <w:color w:val="auto"/>
                <w:w w:val="83"/>
              </w:rPr>
              <w:t>37,614</w:t>
            </w:r>
          </w:p>
        </w:tc>
        <w:tc>
          <w:tcPr>
            <w:tcW w:w="400" w:type="dxa"/>
            <w:vAlign w:val="bottom"/>
          </w:tcPr>
          <w:p>
            <w:pPr>
              <w:spacing w:after="0"/>
              <w:rPr>
                <w:sz w:val="19"/>
                <w:szCs w:val="19"/>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39,043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9"/>
                <w:szCs w:val="19"/>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39,373</w:t>
            </w:r>
          </w:p>
        </w:tc>
      </w:tr>
      <w:tr>
        <w:trPr>
          <w:trHeight w:val="22"/>
        </w:trPr>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12"/>
        </w:trPr>
        <w:tc>
          <w:tcPr>
            <w:tcW w:w="520" w:type="dxa"/>
            <w:vAlign w:val="bottom"/>
          </w:tcPr>
          <w:p>
            <w:pPr>
              <w:jc w:val="right"/>
              <w:ind w:right="166"/>
              <w:spacing w:after="0"/>
              <w:rPr>
                <w:sz w:val="20"/>
                <w:szCs w:val="20"/>
                <w:color w:val="auto"/>
              </w:rPr>
            </w:pPr>
            <w:r>
              <w:rPr>
                <w:rFonts w:ascii="Arial" w:cs="Arial" w:eastAsia="Arial" w:hAnsi="Arial"/>
                <w:sz w:val="11"/>
                <w:szCs w:val="11"/>
                <w:color w:val="auto"/>
                <w:w w:val="83"/>
              </w:rPr>
              <w:t>32,678</w:t>
            </w:r>
          </w:p>
        </w:tc>
        <w:tc>
          <w:tcPr>
            <w:tcW w:w="400" w:type="dxa"/>
            <w:vAlign w:val="bottom"/>
          </w:tcPr>
          <w:p>
            <w:pPr>
              <w:spacing w:after="0"/>
              <w:rPr>
                <w:sz w:val="24"/>
                <w:szCs w:val="2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33,793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4"/>
                <w:szCs w:val="2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33,793</w:t>
            </w:r>
          </w:p>
        </w:tc>
      </w:tr>
      <w:tr>
        <w:trPr>
          <w:trHeight w:val="270"/>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93</w:t>
            </w: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86</w:t>
            </w:r>
          </w:p>
        </w:tc>
      </w:tr>
      <w:tr>
        <w:trPr>
          <w:trHeight w:val="270"/>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64</w:t>
            </w: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42</w:t>
            </w:r>
          </w:p>
        </w:tc>
      </w:tr>
      <w:tr>
        <w:trPr>
          <w:trHeight w:val="270"/>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111</w:t>
            </w: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58</w:t>
            </w:r>
          </w:p>
        </w:tc>
      </w:tr>
      <w:tr>
        <w:trPr>
          <w:trHeight w:val="297"/>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2,842</w:t>
            </w:r>
          </w:p>
        </w:tc>
        <w:tc>
          <w:tcPr>
            <w:tcW w:w="400" w:type="dxa"/>
            <w:vAlign w:val="bottom"/>
          </w:tcPr>
          <w:p>
            <w:pPr>
              <w:spacing w:after="0"/>
              <w:rPr>
                <w:sz w:val="24"/>
                <w:szCs w:val="2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2,924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4"/>
                <w:szCs w:val="2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2,924</w:t>
            </w:r>
          </w:p>
        </w:tc>
      </w:tr>
      <w:tr>
        <w:trPr>
          <w:trHeight w:val="270"/>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19</w:t>
            </w:r>
          </w:p>
        </w:tc>
      </w:tr>
      <w:tr>
        <w:trPr>
          <w:trHeight w:val="270"/>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520" w:type="dxa"/>
            <w:vAlign w:val="bottom"/>
          </w:tcPr>
          <w:p>
            <w:pPr>
              <w:jc w:val="right"/>
              <w:ind w:right="166"/>
              <w:spacing w:after="0"/>
              <w:rPr>
                <w:sz w:val="20"/>
                <w:szCs w:val="20"/>
                <w:color w:val="auto"/>
              </w:rPr>
            </w:pPr>
            <w:r>
              <w:rPr>
                <w:rFonts w:ascii="Arial" w:cs="Arial" w:eastAsia="Arial" w:hAnsi="Arial"/>
                <w:sz w:val="11"/>
                <w:szCs w:val="11"/>
                <w:color w:val="auto"/>
                <w:w w:val="83"/>
              </w:rPr>
              <w:t>35,793</w:t>
            </w:r>
          </w:p>
        </w:tc>
        <w:tc>
          <w:tcPr>
            <w:tcW w:w="400" w:type="dxa"/>
            <w:vAlign w:val="bottom"/>
          </w:tcPr>
          <w:p>
            <w:pPr>
              <w:spacing w:after="0"/>
              <w:rPr>
                <w:sz w:val="19"/>
                <w:szCs w:val="19"/>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36,736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9"/>
                <w:szCs w:val="19"/>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36,922</w:t>
            </w:r>
          </w:p>
        </w:tc>
      </w:tr>
      <w:tr>
        <w:trPr>
          <w:trHeight w:val="22"/>
        </w:trPr>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1,821</w:t>
            </w:r>
          </w:p>
        </w:tc>
        <w:tc>
          <w:tcPr>
            <w:tcW w:w="400" w:type="dxa"/>
            <w:vAlign w:val="bottom"/>
          </w:tcPr>
          <w:p>
            <w:pPr>
              <w:spacing w:after="0"/>
              <w:rPr>
                <w:sz w:val="19"/>
                <w:szCs w:val="19"/>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9"/>
                <w:szCs w:val="19"/>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2,451</w:t>
            </w:r>
          </w:p>
        </w:tc>
      </w:tr>
      <w:tr>
        <w:trPr>
          <w:trHeight w:val="270"/>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118</w:t>
            </w:r>
          </w:p>
        </w:tc>
        <w:tc>
          <w:tcPr>
            <w:tcW w:w="4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155</w:t>
            </w:r>
          </w:p>
        </w:tc>
      </w:tr>
      <w:tr>
        <w:trPr>
          <w:trHeight w:val="297"/>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139</w:t>
            </w:r>
          </w:p>
        </w:tc>
        <w:tc>
          <w:tcPr>
            <w:tcW w:w="400" w:type="dxa"/>
            <w:vAlign w:val="bottom"/>
          </w:tcPr>
          <w:p>
            <w:pPr>
              <w:spacing w:after="0"/>
              <w:rPr>
                <w:sz w:val="24"/>
                <w:szCs w:val="2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308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4"/>
                <w:szCs w:val="2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308</w:t>
            </w:r>
          </w:p>
        </w:tc>
      </w:tr>
      <w:tr>
        <w:trPr>
          <w:trHeight w:val="270"/>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10</w:t>
            </w:r>
          </w:p>
        </w:tc>
      </w:tr>
      <w:tr>
        <w:trPr>
          <w:trHeight w:val="22"/>
        </w:trPr>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5"/>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1,842</w:t>
            </w:r>
          </w:p>
        </w:tc>
        <w:tc>
          <w:tcPr>
            <w:tcW w:w="400" w:type="dxa"/>
            <w:vAlign w:val="bottom"/>
          </w:tcPr>
          <w:p>
            <w:pPr>
              <w:spacing w:after="0"/>
              <w:rPr>
                <w:sz w:val="22"/>
                <w:szCs w:val="2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2,450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2"/>
                <w:szCs w:val="2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2,594</w:t>
            </w:r>
          </w:p>
        </w:tc>
      </w:tr>
      <w:tr>
        <w:trPr>
          <w:trHeight w:val="270"/>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241</w:t>
            </w:r>
          </w:p>
        </w:tc>
        <w:tc>
          <w:tcPr>
            <w:tcW w:w="400" w:type="dxa"/>
            <w:vAlign w:val="bottom"/>
          </w:tcPr>
          <w:p>
            <w:pPr>
              <w:spacing w:after="0"/>
              <w:rPr>
                <w:sz w:val="23"/>
                <w:szCs w:val="2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(61)</w:t>
            </w:r>
          </w:p>
        </w:tc>
      </w:tr>
      <w:tr>
        <w:trPr>
          <w:trHeight w:val="297"/>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300</w:t>
            </w:r>
          </w:p>
        </w:tc>
        <w:tc>
          <w:tcPr>
            <w:tcW w:w="400" w:type="dxa"/>
            <w:vAlign w:val="bottom"/>
          </w:tcPr>
          <w:p>
            <w:pPr>
              <w:spacing w:after="0"/>
              <w:rPr>
                <w:sz w:val="24"/>
                <w:szCs w:val="2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382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4"/>
                <w:szCs w:val="2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382</w:t>
            </w:r>
          </w:p>
        </w:tc>
      </w:tr>
      <w:tr>
        <w:trPr>
          <w:trHeight w:val="22"/>
        </w:trPr>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1,901</w:t>
            </w:r>
          </w:p>
        </w:tc>
        <w:tc>
          <w:tcPr>
            <w:tcW w:w="400" w:type="dxa"/>
            <w:vAlign w:val="bottom"/>
          </w:tcPr>
          <w:p>
            <w:pPr>
              <w:spacing w:after="0"/>
              <w:rPr>
                <w:sz w:val="19"/>
                <w:szCs w:val="19"/>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2,876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161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9"/>
                <w:szCs w:val="19"/>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3,037</w:t>
            </w:r>
          </w:p>
        </w:tc>
      </w:tr>
      <w:tr>
        <w:trPr>
          <w:trHeight w:val="297"/>
        </w:trPr>
        <w:tc>
          <w:tcPr>
            <w:tcW w:w="520" w:type="dxa"/>
            <w:vAlign w:val="bottom"/>
          </w:tcPr>
          <w:p>
            <w:pPr>
              <w:jc w:val="right"/>
              <w:ind w:right="126"/>
              <w:spacing w:after="0"/>
              <w:rPr>
                <w:sz w:val="20"/>
                <w:szCs w:val="20"/>
                <w:color w:val="auto"/>
              </w:rPr>
            </w:pPr>
            <w:r>
              <w:rPr>
                <w:rFonts w:ascii="Arial" w:cs="Arial" w:eastAsia="Arial" w:hAnsi="Arial"/>
                <w:sz w:val="11"/>
                <w:szCs w:val="11"/>
                <w:color w:val="auto"/>
              </w:rPr>
              <w:t>(55)</w:t>
            </w:r>
          </w:p>
        </w:tc>
        <w:tc>
          <w:tcPr>
            <w:tcW w:w="40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(45)</w:t>
            </w:r>
          </w:p>
        </w:tc>
      </w:tr>
      <w:tr>
        <w:trPr>
          <w:trHeight w:val="22"/>
        </w:trPr>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2"/>
        </w:trPr>
        <w:tc>
          <w:tcPr>
            <w:tcW w:w="520" w:type="dxa"/>
            <w:vAlign w:val="bottom"/>
          </w:tcPr>
          <w:p>
            <w:pPr>
              <w:jc w:val="right"/>
              <w:ind w:right="166"/>
              <w:spacing w:after="0"/>
              <w:rPr>
                <w:sz w:val="20"/>
                <w:szCs w:val="20"/>
                <w:color w:val="auto"/>
              </w:rPr>
            </w:pPr>
            <w:r>
              <w:rPr>
                <w:rFonts w:ascii="Arial" w:cs="Arial" w:eastAsia="Arial" w:hAnsi="Arial"/>
                <w:sz w:val="11"/>
                <w:szCs w:val="11"/>
                <w:color w:val="auto"/>
              </w:rPr>
              <w:t>1,846</w:t>
            </w: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2,831</w:t>
            </w:r>
          </w:p>
        </w:tc>
        <w:tc>
          <w:tcPr>
            <w:tcW w:w="100" w:type="dxa"/>
            <w:vAlign w:val="bottom"/>
          </w:tcPr>
          <w:p>
            <w:pPr>
              <w:spacing w:after="0"/>
              <w:rPr>
                <w:sz w:val="21"/>
                <w:szCs w:val="21"/>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161</w:t>
            </w:r>
          </w:p>
        </w:tc>
        <w:tc>
          <w:tcPr>
            <w:tcW w:w="120" w:type="dxa"/>
            <w:vAlign w:val="bottom"/>
          </w:tcPr>
          <w:p>
            <w:pPr>
              <w:spacing w:after="0"/>
              <w:rPr>
                <w:sz w:val="21"/>
                <w:szCs w:val="21"/>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2,992</w:t>
            </w:r>
          </w:p>
        </w:tc>
      </w:tr>
      <w:tr>
        <w:trPr>
          <w:trHeight w:val="22"/>
        </w:trPr>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-8255</wp:posOffset>
            </wp:positionV>
            <wp:extent cx="660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-1114425</wp:posOffset>
            </wp:positionV>
            <wp:extent cx="660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-1817370</wp:posOffset>
            </wp:positionV>
            <wp:extent cx="6604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-3558540</wp:posOffset>
            </wp:positionV>
            <wp:extent cx="6604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560"/>
            <w:col w:w="5320"/>
          </w:cols>
          <w:pgMar w:left="240" w:top="341"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41"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3"/>
          </w:tcPr>
          <w:p>
            <w:pPr>
              <w:jc w:val="right"/>
              <w:ind w:right="186"/>
              <w:spacing w:after="0"/>
              <w:rPr>
                <w:sz w:val="20"/>
                <w:szCs w:val="20"/>
                <w:color w:val="auto"/>
              </w:rPr>
            </w:pPr>
            <w:r>
              <w:rPr>
                <w:rFonts w:ascii="Arial" w:cs="Arial" w:eastAsia="Arial" w:hAnsi="Arial"/>
                <w:sz w:val="11"/>
                <w:szCs w:val="11"/>
                <w:b w:val="1"/>
                <w:bCs w:val="1"/>
                <w:color w:val="auto"/>
                <w:w w:val="98"/>
              </w:rPr>
              <w:t>Six Months Ended June 30, 2012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right"/>
              <w:ind w:right="106"/>
              <w:spacing w:after="0"/>
              <w:rPr>
                <w:sz w:val="20"/>
                <w:szCs w:val="20"/>
                <w:color w:val="auto"/>
              </w:rPr>
            </w:pPr>
            <w:r>
              <w:rPr>
                <w:rFonts w:ascii="Arial" w:cs="Arial" w:eastAsia="Arial" w:hAnsi="Arial"/>
                <w:sz w:val="11"/>
                <w:szCs w:val="11"/>
                <w:b w:val="1"/>
                <w:bCs w:val="1"/>
                <w:color w:val="auto"/>
              </w:rPr>
              <w:t>Six Months Ended June 30, 2011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Automotive</w:t>
            </w:r>
          </w:p>
        </w:tc>
        <w:tc>
          <w:tcPr>
            <w:tcW w:w="18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GM Financial</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Eliminations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Consolidated</w:t>
            </w:r>
          </w:p>
        </w:tc>
        <w:tc>
          <w:tcPr>
            <w:tcW w:w="18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Automotive</w:t>
            </w:r>
          </w:p>
        </w:tc>
        <w:tc>
          <w:tcPr>
            <w:tcW w:w="1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GM Financial</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Eliminations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06"/>
              <w:spacing w:after="0"/>
              <w:rPr>
                <w:sz w:val="20"/>
                <w:szCs w:val="20"/>
                <w:color w:val="auto"/>
              </w:rPr>
            </w:pPr>
            <w:r>
              <w:rPr>
                <w:rFonts w:ascii="Arial" w:cs="Arial" w:eastAsia="Arial" w:hAnsi="Arial"/>
                <w:sz w:val="11"/>
                <w:szCs w:val="11"/>
                <w:b w:val="1"/>
                <w:bCs w:val="1"/>
                <w:color w:val="auto"/>
                <w:w w:val="97"/>
              </w:rPr>
              <w:t>Consolidated</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sales and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720" w:type="dxa"/>
            <w:vAlign w:val="bottom"/>
          </w:tcPr>
          <w:p>
            <w:pPr>
              <w:ind w:left="200"/>
              <w:spacing w:after="0"/>
              <w:rPr>
                <w:sz w:val="20"/>
                <w:szCs w:val="20"/>
                <w:color w:val="auto"/>
              </w:rPr>
            </w:pPr>
            <w:r>
              <w:rPr>
                <w:rFonts w:ascii="Arial" w:cs="Arial" w:eastAsia="Arial" w:hAnsi="Arial"/>
                <w:sz w:val="11"/>
                <w:szCs w:val="11"/>
                <w:color w:val="auto"/>
              </w:rPr>
              <w:t>Automotive sales and revenue</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74,454</w:t>
            </w:r>
          </w:p>
        </w:tc>
        <w:tc>
          <w:tcPr>
            <w:tcW w:w="120" w:type="dxa"/>
            <w:vAlign w:val="bottom"/>
          </w:tcPr>
          <w:p>
            <w:pPr>
              <w:spacing w:after="0"/>
              <w:rPr>
                <w:sz w:val="21"/>
                <w:szCs w:val="2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8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74,455</w:t>
            </w:r>
          </w:p>
        </w:tc>
        <w:tc>
          <w:tcPr>
            <w:tcW w:w="120" w:type="dxa"/>
            <w:vAlign w:val="bottom"/>
          </w:tcPr>
          <w:p>
            <w:pPr>
              <w:spacing w:after="0"/>
              <w:rPr>
                <w:sz w:val="21"/>
                <w:szCs w:val="2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74,942</w:t>
            </w:r>
          </w:p>
        </w:tc>
        <w:tc>
          <w:tcPr>
            <w:tcW w:w="10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74,942</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revenue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625</w:t>
            </w:r>
          </w:p>
        </w:tc>
        <w:tc>
          <w:tcPr>
            <w:tcW w:w="0" w:type="dxa"/>
            <w:vAlign w:val="bottom"/>
          </w:tcPr>
          <w:p>
            <w:pPr>
              <w:spacing w:after="0"/>
              <w:rPr>
                <w:sz w:val="1"/>
                <w:szCs w:val="1"/>
                <w:color w:val="auto"/>
              </w:rPr>
            </w:pPr>
          </w:p>
        </w:tc>
      </w:tr>
      <w:tr>
        <w:trPr>
          <w:trHeight w:val="228"/>
        </w:trPr>
        <w:tc>
          <w:tcPr>
            <w:tcW w:w="1720" w:type="dxa"/>
            <w:vAlign w:val="bottom"/>
          </w:tcPr>
          <w:p>
            <w:pPr>
              <w:ind w:left="200"/>
              <w:spacing w:after="0"/>
              <w:rPr>
                <w:sz w:val="20"/>
                <w:szCs w:val="20"/>
                <w:color w:val="auto"/>
              </w:rPr>
            </w:pPr>
            <w:r>
              <w:rPr>
                <w:rFonts w:ascii="Arial" w:cs="Arial" w:eastAsia="Arial" w:hAnsi="Arial"/>
                <w:sz w:val="11"/>
                <w:szCs w:val="11"/>
                <w:color w:val="auto"/>
              </w:rPr>
              <w:t>Total net sales and revenue</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74,454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918</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75,373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74,942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625</w:t>
            </w:r>
          </w:p>
        </w:tc>
        <w:tc>
          <w:tcPr>
            <w:tcW w:w="1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75,567</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Costs 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720" w:type="dxa"/>
            <w:vAlign w:val="bottom"/>
          </w:tcPr>
          <w:p>
            <w:pPr>
              <w:ind w:left="200"/>
              <w:spacing w:after="0"/>
              <w:rPr>
                <w:sz w:val="20"/>
                <w:szCs w:val="20"/>
                <w:color w:val="auto"/>
              </w:rPr>
            </w:pPr>
            <w:r>
              <w:rPr>
                <w:rFonts w:ascii="Arial" w:cs="Arial" w:eastAsia="Arial" w:hAnsi="Arial"/>
                <w:sz w:val="11"/>
                <w:szCs w:val="11"/>
                <w:color w:val="auto"/>
              </w:rPr>
              <w:t>Automotive cost of sales</w:t>
            </w:r>
          </w:p>
        </w:tc>
        <w:tc>
          <w:tcPr>
            <w:tcW w:w="2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65,583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21"/>
                <w:szCs w:val="21"/>
                <w:color w:val="auto"/>
              </w:rPr>
            </w:pP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65,588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65,478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65,478</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w w:val="91"/>
              </w:rPr>
              <w:t>GM Financial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162</w:t>
            </w:r>
          </w:p>
        </w:tc>
        <w:tc>
          <w:tcPr>
            <w:tcW w:w="0" w:type="dxa"/>
            <w:vAlign w:val="bottom"/>
          </w:tcPr>
          <w:p>
            <w:pPr>
              <w:spacing w:after="0"/>
              <w:rPr>
                <w:sz w:val="1"/>
                <w:szCs w:val="1"/>
                <w:color w:val="auto"/>
              </w:rPr>
            </w:pPr>
          </w:p>
        </w:tc>
      </w:tr>
      <w:tr>
        <w:trPr>
          <w:trHeight w:val="248"/>
        </w:trPr>
        <w:tc>
          <w:tcPr>
            <w:tcW w:w="1720" w:type="dxa"/>
            <w:vAlign w:val="bottom"/>
          </w:tcPr>
          <w:p>
            <w:pPr>
              <w:ind w:left="200"/>
              <w:spacing w:after="0"/>
              <w:rPr>
                <w:sz w:val="20"/>
                <w:szCs w:val="20"/>
                <w:color w:val="auto"/>
              </w:rPr>
            </w:pPr>
            <w:r>
              <w:rPr>
                <w:rFonts w:ascii="Arial" w:cs="Arial" w:eastAsia="Arial" w:hAnsi="Arial"/>
                <w:sz w:val="11"/>
                <w:szCs w:val="11"/>
                <w:color w:val="auto"/>
              </w:rPr>
              <w:t>GM Financial interest expense</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39"/>
        </w:trPr>
        <w:tc>
          <w:tcPr>
            <w:tcW w:w="1720" w:type="dxa"/>
            <w:vAlign w:val="bottom"/>
          </w:tcPr>
          <w:p>
            <w:pPr>
              <w:ind w:left="200"/>
              <w:spacing w:after="0"/>
              <w:rPr>
                <w:sz w:val="20"/>
                <w:szCs w:val="20"/>
                <w:color w:val="auto"/>
              </w:rPr>
            </w:pPr>
            <w:r>
              <w:rPr>
                <w:rFonts w:ascii="Arial" w:cs="Arial" w:eastAsia="Arial" w:hAnsi="Arial"/>
                <w:sz w:val="11"/>
                <w:szCs w:val="11"/>
                <w:color w:val="auto"/>
                <w:w w:val="97"/>
              </w:rPr>
              <w:t>Automotive selling, general and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360"/>
              <w:spacing w:after="0"/>
              <w:rPr>
                <w:sz w:val="20"/>
                <w:szCs w:val="20"/>
                <w:color w:val="auto"/>
              </w:rPr>
            </w:pPr>
            <w:r>
              <w:rPr>
                <w:rFonts w:ascii="Arial" w:cs="Arial" w:eastAsia="Arial" w:hAnsi="Arial"/>
                <w:sz w:val="11"/>
                <w:szCs w:val="11"/>
                <w:color w:val="auto"/>
              </w:rPr>
              <w:t>administrative expense</w:t>
            </w:r>
          </w:p>
        </w:tc>
        <w:tc>
          <w:tcPr>
            <w:tcW w:w="200" w:type="dxa"/>
            <w:vAlign w:val="bottom"/>
          </w:tcPr>
          <w:p>
            <w:pPr>
              <w:spacing w:after="0"/>
              <w:rPr>
                <w:sz w:val="11"/>
                <w:szCs w:val="1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5,815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5,815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5,918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5,918</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w w:val="96"/>
              </w:rPr>
              <w:t>Other automotive expenses,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248"/>
        </w:trPr>
        <w:tc>
          <w:tcPr>
            <w:tcW w:w="1720" w:type="dxa"/>
            <w:vAlign w:val="bottom"/>
          </w:tcPr>
          <w:p>
            <w:pPr>
              <w:ind w:left="200"/>
              <w:spacing w:after="0"/>
              <w:rPr>
                <w:sz w:val="20"/>
                <w:szCs w:val="20"/>
                <w:color w:val="auto"/>
              </w:rPr>
            </w:pPr>
            <w:r>
              <w:rPr>
                <w:rFonts w:ascii="Arial" w:cs="Arial" w:eastAsia="Arial" w:hAnsi="Arial"/>
                <w:sz w:val="11"/>
                <w:szCs w:val="11"/>
                <w:color w:val="auto"/>
              </w:rPr>
              <w:t>Goodwill impairment charges</w:t>
            </w:r>
          </w:p>
        </w:tc>
        <w:tc>
          <w:tcPr>
            <w:tcW w:w="2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21"/>
                <w:szCs w:val="2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72,556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72,167</w:t>
            </w:r>
          </w:p>
        </w:tc>
        <w:tc>
          <w:tcPr>
            <w:tcW w:w="0" w:type="dxa"/>
            <w:vAlign w:val="bottom"/>
          </w:tcPr>
          <w:p>
            <w:pPr>
              <w:spacing w:after="0"/>
              <w:rPr>
                <w:sz w:val="1"/>
                <w:szCs w:val="1"/>
                <w:color w:val="auto"/>
              </w:rPr>
            </w:pPr>
          </w:p>
        </w:tc>
      </w:tr>
      <w:tr>
        <w:trPr>
          <w:trHeight w:val="228"/>
        </w:trPr>
        <w:tc>
          <w:tcPr>
            <w:tcW w:w="1720" w:type="dxa"/>
            <w:vAlign w:val="bottom"/>
          </w:tcPr>
          <w:p>
            <w:pPr>
              <w:ind w:left="360"/>
              <w:spacing w:after="0"/>
              <w:rPr>
                <w:sz w:val="20"/>
                <w:szCs w:val="20"/>
                <w:color w:val="auto"/>
              </w:rPr>
            </w:pPr>
            <w:r>
              <w:rPr>
                <w:rFonts w:ascii="Arial" w:cs="Arial" w:eastAsia="Arial" w:hAnsi="Arial"/>
                <w:sz w:val="11"/>
                <w:szCs w:val="11"/>
                <w:color w:val="auto"/>
              </w:rPr>
              <w:t>Operating income</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2,419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398</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2,817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3,126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274</w:t>
            </w:r>
          </w:p>
        </w:tc>
        <w:tc>
          <w:tcPr>
            <w:tcW w:w="1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3,400</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Automotive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304</w:t>
            </w:r>
          </w:p>
        </w:tc>
        <w:tc>
          <w:tcPr>
            <w:tcW w:w="0" w:type="dxa"/>
            <w:vAlign w:val="bottom"/>
          </w:tcPr>
          <w:p>
            <w:pPr>
              <w:spacing w:after="0"/>
              <w:rPr>
                <w:sz w:val="1"/>
                <w:szCs w:val="1"/>
                <w:color w:val="auto"/>
              </w:rPr>
            </w:pPr>
          </w:p>
        </w:tc>
      </w:tr>
      <w:tr>
        <w:trPr>
          <w:trHeight w:val="139"/>
        </w:trPr>
        <w:tc>
          <w:tcPr>
            <w:tcW w:w="1720" w:type="dxa"/>
            <w:vAlign w:val="bottom"/>
          </w:tcPr>
          <w:p>
            <w:pPr>
              <w:ind w:left="40"/>
              <w:spacing w:after="0"/>
              <w:rPr>
                <w:sz w:val="20"/>
                <w:szCs w:val="20"/>
                <w:color w:val="auto"/>
              </w:rPr>
            </w:pPr>
            <w:r>
              <w:rPr>
                <w:rFonts w:ascii="Arial" w:cs="Arial" w:eastAsia="Arial" w:hAnsi="Arial"/>
                <w:sz w:val="11"/>
                <w:szCs w:val="11"/>
                <w:color w:val="auto"/>
              </w:rPr>
              <w:t>Interest income and other non-</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0"/>
              <w:spacing w:after="0"/>
              <w:rPr>
                <w:sz w:val="20"/>
                <w:szCs w:val="20"/>
                <w:color w:val="auto"/>
              </w:rPr>
            </w:pPr>
            <w:r>
              <w:rPr>
                <w:rFonts w:ascii="Arial" w:cs="Arial" w:eastAsia="Arial" w:hAnsi="Arial"/>
                <w:sz w:val="11"/>
                <w:szCs w:val="11"/>
                <w:color w:val="auto"/>
              </w:rPr>
              <w:t>operating income, net</w:t>
            </w:r>
          </w:p>
        </w:tc>
        <w:tc>
          <w:tcPr>
            <w:tcW w:w="200" w:type="dxa"/>
            <w:vAlign w:val="bottom"/>
          </w:tcPr>
          <w:p>
            <w:pPr>
              <w:spacing w:after="0"/>
              <w:rPr>
                <w:sz w:val="11"/>
                <w:szCs w:val="1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414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414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912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912</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Loss on extinguishment of debt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19"/>
        </w:trPr>
        <w:tc>
          <w:tcPr>
            <w:tcW w:w="1720" w:type="dxa"/>
            <w:vAlign w:val="bottom"/>
          </w:tcPr>
          <w:p>
            <w:pPr>
              <w:ind w:left="40"/>
              <w:spacing w:after="0" w:line="119" w:lineRule="exact"/>
              <w:rPr>
                <w:sz w:val="20"/>
                <w:szCs w:val="20"/>
                <w:color w:val="auto"/>
              </w:rPr>
            </w:pPr>
            <w:r>
              <w:rPr>
                <w:rFonts w:ascii="Arial" w:cs="Arial" w:eastAsia="Arial" w:hAnsi="Arial"/>
                <w:sz w:val="11"/>
                <w:szCs w:val="11"/>
                <w:color w:val="auto"/>
              </w:rPr>
              <w:t>Income before income taxes and</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0"/>
              <w:spacing w:after="0"/>
              <w:rPr>
                <w:sz w:val="20"/>
                <w:szCs w:val="20"/>
                <w:color w:val="auto"/>
              </w:rPr>
            </w:pPr>
            <w:r>
              <w:rPr>
                <w:rFonts w:ascii="Arial" w:cs="Arial" w:eastAsia="Arial" w:hAnsi="Arial"/>
                <w:sz w:val="11"/>
                <w:szCs w:val="11"/>
                <w:color w:val="auto"/>
              </w:rPr>
              <w:t>equity income</w:t>
            </w:r>
          </w:p>
        </w:tc>
        <w:tc>
          <w:tcPr>
            <w:tcW w:w="200" w:type="dxa"/>
            <w:vAlign w:val="bottom"/>
          </w:tcPr>
          <w:p>
            <w:pPr>
              <w:spacing w:after="0"/>
              <w:rPr>
                <w:sz w:val="11"/>
                <w:szCs w:val="1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2,587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398</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2,985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3,724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274</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3,998</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39"/>
        </w:trPr>
        <w:tc>
          <w:tcPr>
            <w:tcW w:w="1720" w:type="dxa"/>
            <w:vAlign w:val="bottom"/>
          </w:tcPr>
          <w:p>
            <w:pPr>
              <w:ind w:left="40"/>
              <w:spacing w:after="0"/>
              <w:rPr>
                <w:sz w:val="20"/>
                <w:szCs w:val="20"/>
                <w:color w:val="auto"/>
              </w:rPr>
            </w:pPr>
            <w:r>
              <w:rPr>
                <w:rFonts w:ascii="Arial" w:cs="Arial" w:eastAsia="Arial" w:hAnsi="Arial"/>
                <w:sz w:val="11"/>
                <w:szCs w:val="11"/>
                <w:color w:val="auto"/>
                <w:w w:val="91"/>
              </w:rPr>
              <w:t>Equity income, net of tax and gain on</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0"/>
              <w:spacing w:after="0"/>
              <w:rPr>
                <w:sz w:val="20"/>
                <w:szCs w:val="20"/>
                <w:color w:val="auto"/>
              </w:rPr>
            </w:pPr>
            <w:r>
              <w:rPr>
                <w:rFonts w:ascii="Arial" w:cs="Arial" w:eastAsia="Arial" w:hAnsi="Arial"/>
                <w:sz w:val="11"/>
                <w:szCs w:val="11"/>
                <w:color w:val="auto"/>
              </w:rPr>
              <w:t>disposal of investments</w:t>
            </w:r>
          </w:p>
        </w:tc>
        <w:tc>
          <w:tcPr>
            <w:tcW w:w="200" w:type="dxa"/>
            <w:vAlign w:val="bottom"/>
          </w:tcPr>
          <w:p>
            <w:pPr>
              <w:spacing w:after="0"/>
              <w:rPr>
                <w:sz w:val="11"/>
                <w:szCs w:val="1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723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723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2,526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2,526</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6,448</w:t>
            </w:r>
          </w:p>
        </w:tc>
        <w:tc>
          <w:tcPr>
            <w:tcW w:w="0" w:type="dxa"/>
            <w:vAlign w:val="bottom"/>
          </w:tcPr>
          <w:p>
            <w:pPr>
              <w:spacing w:after="0"/>
              <w:rPr>
                <w:sz w:val="1"/>
                <w:szCs w:val="1"/>
                <w:color w:val="auto"/>
              </w:rPr>
            </w:pPr>
          </w:p>
        </w:tc>
      </w:tr>
      <w:tr>
        <w:trPr>
          <w:trHeight w:val="139"/>
        </w:trPr>
        <w:tc>
          <w:tcPr>
            <w:tcW w:w="1720" w:type="dxa"/>
            <w:vAlign w:val="bottom"/>
          </w:tcPr>
          <w:p>
            <w:pPr>
              <w:ind w:left="40"/>
              <w:spacing w:after="0"/>
              <w:rPr>
                <w:sz w:val="20"/>
                <w:szCs w:val="20"/>
                <w:color w:val="auto"/>
              </w:rPr>
            </w:pPr>
            <w:r>
              <w:rPr>
                <w:rFonts w:ascii="Arial" w:cs="Arial" w:eastAsia="Arial" w:hAnsi="Arial"/>
                <w:sz w:val="11"/>
                <w:szCs w:val="11"/>
                <w:color w:val="auto"/>
              </w:rPr>
              <w:t>Net income attributable to</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0"/>
              <w:spacing w:after="0"/>
              <w:rPr>
                <w:sz w:val="20"/>
                <w:szCs w:val="20"/>
                <w:color w:val="auto"/>
              </w:rPr>
            </w:pPr>
            <w:r>
              <w:rPr>
                <w:rFonts w:ascii="Arial" w:cs="Arial" w:eastAsia="Arial" w:hAnsi="Arial"/>
                <w:sz w:val="11"/>
                <w:szCs w:val="11"/>
                <w:color w:val="auto"/>
              </w:rPr>
              <w:t>noncontrolling interests</w:t>
            </w:r>
          </w:p>
        </w:tc>
        <w:tc>
          <w:tcPr>
            <w:tcW w:w="200" w:type="dxa"/>
            <w:vAlign w:val="bottom"/>
          </w:tcPr>
          <w:p>
            <w:pPr>
              <w:spacing w:after="0"/>
              <w:rPr>
                <w:sz w:val="11"/>
                <w:szCs w:val="11"/>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CCEEFF"/>
          </w:tcPr>
          <w:p>
            <w:pPr>
              <w:ind w:left="40"/>
              <w:spacing w:after="0" w:line="115" w:lineRule="exact"/>
              <w:rPr>
                <w:sz w:val="20"/>
                <w:szCs w:val="20"/>
                <w:color w:val="auto"/>
              </w:rPr>
            </w:pPr>
            <w:r>
              <w:rPr>
                <w:rFonts w:ascii="Arial" w:cs="Arial" w:eastAsia="Arial" w:hAnsi="Arial"/>
                <w:sz w:val="11"/>
                <w:szCs w:val="11"/>
                <w:b w:val="1"/>
                <w:bCs w:val="1"/>
                <w:color w:val="auto"/>
              </w:rPr>
              <w:t>Net income attributable to</w:t>
            </w: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2,946</w:t>
            </w: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215</w:t>
            </w:r>
          </w:p>
        </w:tc>
        <w:tc>
          <w:tcPr>
            <w:tcW w:w="12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86"/>
              <w:spacing w:after="0"/>
              <w:rPr>
                <w:sz w:val="20"/>
                <w:szCs w:val="20"/>
                <w:color w:val="auto"/>
              </w:rPr>
            </w:pPr>
            <w:r>
              <w:rPr>
                <w:rFonts w:ascii="Arial" w:cs="Arial" w:eastAsia="Arial" w:hAnsi="Arial"/>
                <w:sz w:val="11"/>
                <w:szCs w:val="11"/>
                <w:color w:val="auto"/>
              </w:rPr>
              <w:t>$</w:t>
            </w: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3,161</w:t>
            </w: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6,138</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220</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36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6,358</w:t>
            </w:r>
          </w:p>
        </w:tc>
        <w:tc>
          <w:tcPr>
            <w:tcW w:w="0" w:type="dxa"/>
            <w:vAlign w:val="bottom"/>
          </w:tcPr>
          <w:p>
            <w:pPr>
              <w:spacing w:after="0"/>
              <w:rPr>
                <w:sz w:val="1"/>
                <w:szCs w:val="1"/>
                <w:color w:val="auto"/>
              </w:rPr>
            </w:pPr>
          </w:p>
        </w:tc>
      </w:tr>
      <w:tr>
        <w:trPr>
          <w:trHeight w:val="145"/>
        </w:trPr>
        <w:tc>
          <w:tcPr>
            <w:tcW w:w="172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stockholders</w:t>
            </w:r>
          </w:p>
        </w:tc>
        <w:tc>
          <w:tcPr>
            <w:tcW w:w="20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Production and Retail Vehicle Sales Volume</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Management believes that production volume and retail vehicle sales data provide meaningful information regarding our automotive operating results. Production volumes manufactured by our assembly facilities are generally aligned with current period net sales and revenue, as we generally recognize revenue either upon the release of the vehicle to the carrier responsible for transporting it to a dealer, or when the vehicle is delivered to a dealer. Retail vehicle sales data, which represents estimated sales to the end customer, including fleets, does not correlate directly to the revenue we recognize during the period. However, retail vehicle sales data is indicative of the underlying demand for our vehicles and is the basis for our market share.</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Information relating to our relative position in the global automotive industry is based upon the good faith estimates of management and includes all sales by joint ventures on a total vehicle basis, not based on the percentage of ownership in the joint venture. Market share information is based on retail vehicle sales volume. Worldwide market share and vehicle sales data excludes the markets of Iran, North Korea, Sudan and Syria.</w:t>
      </w:r>
    </w:p>
    <w:p>
      <w:pPr>
        <w:spacing w:after="0" w:line="16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Production volume includes vehicles produced by certain joint ventures. The joint venture agreements with SAIC-GM-Wuling Automobile Co., Ltd. (SGMW) and FAW-GM Light Duty Commercial Vehicle Co., Ltd. (FAW-GM) allow for significant rights as a member as well as the contractual right to report SGMW and FAW-GM joint venture production in China. The following table summarizes total production volume (vehicles in thousands):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92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593</w:t>
            </w: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GMNA</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824</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1,699</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1,610</w:t>
            </w: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GMIO</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entities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SGMW</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SGM</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583</w:t>
            </w: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FAW-GM</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191</w:t>
            </w:r>
          </w:p>
        </w:tc>
      </w:tr>
      <w:tr>
        <w:trPr>
          <w:trHeight w:val="27"/>
        </w:trPr>
        <w:tc>
          <w:tcPr>
            <w:tcW w:w="7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GMIO</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GMSA</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478</w:t>
            </w:r>
          </w:p>
        </w:tc>
      </w:tr>
      <w:tr>
        <w:trPr>
          <w:trHeight w:val="27"/>
        </w:trPr>
        <w:tc>
          <w:tcPr>
            <w:tcW w:w="7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4,727</w:t>
            </w:r>
          </w:p>
        </w:tc>
      </w:tr>
      <w:tr>
        <w:trPr>
          <w:trHeight w:val="20"/>
        </w:trPr>
        <w:tc>
          <w:tcPr>
            <w:tcW w:w="7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Vehicle Sales</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tables summarize total industry sales of new motor vehicles of domestic and foreign makes and the related competitive position (vehicles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Mexico</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GMNA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Italy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Russia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Uzbekistan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Spain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GME</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China(d)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 Operations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India(d)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Egypt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GMIO</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color w:val="auto"/>
              </w:rPr>
              <w:t>GMSA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Argentina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Colombia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GMSA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20,611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18,834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80" w:type="dxa"/>
            <w:vAlign w:val="bottom"/>
          </w:tcPr>
          <w:p>
            <w:pPr>
              <w:spacing w:after="0"/>
              <w:rPr>
                <w:sz w:val="24"/>
                <w:szCs w:val="24"/>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7,426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1,262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Mexico</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GMNA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7,836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Italy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Russia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Uzbekistan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Spain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GME</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10,540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China(d)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9,419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 Operations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India(d)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Egypt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5,552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GMIO</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19,234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17,085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color w:val="auto"/>
              </w:rPr>
              <w:t>GMSA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Argentina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Colombia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GMSA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40,955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38,205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Crossovers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Canada, Mexico and Other</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GMNA</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Vehicle Sales(a)(b)(c)</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Crossovers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Canada, Mexico and Other</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GMNA</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8,937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7,836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4" w:lineRule="auto"/>
        <w:tabs>
          <w:tab w:leader="none" w:pos="3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b)  Certain fleet sales that are accounted for as operating leases are included in vehicle sales at the time of delivery to the daily rental car companies.</w:t>
      </w:r>
    </w:p>
    <w:p>
      <w:pPr>
        <w:spacing w:after="0" w:line="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Vehicle sales data may include rounding differences.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the following joint venture vehicle sales: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19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744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2012</w:t>
            </w: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2011</w:t>
            </w: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2012</w:t>
            </w:r>
          </w:p>
        </w:tc>
        <w:tc>
          <w:tcPr>
            <w:tcW w:w="900" w:type="dxa"/>
            <w:vAlign w:val="bottom"/>
          </w:tcPr>
          <w:p>
            <w:pPr>
              <w:jc w:val="right"/>
              <w:ind w:right="30"/>
              <w:spacing w:after="0"/>
              <w:rPr>
                <w:sz w:val="20"/>
                <w:szCs w:val="20"/>
                <w:color w:val="auto"/>
              </w:rPr>
            </w:pPr>
            <w:r>
              <w:rPr>
                <w:rFonts w:ascii="Arial" w:cs="Arial" w:eastAsia="Arial" w:hAnsi="Arial"/>
                <w:sz w:val="13"/>
                <w:szCs w:val="13"/>
                <w:b w:val="1"/>
                <w:bCs w:val="1"/>
                <w:color w:val="auto"/>
                <w:w w:val="92"/>
              </w:rPr>
              <w:t>June 30, 2011</w:t>
            </w:r>
          </w:p>
        </w:tc>
      </w:tr>
      <w:tr>
        <w:trPr>
          <w:trHeight w:val="27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Joint venture sales in China</w:t>
            </w: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SGM</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600</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SGMW and FAW-GM</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672</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Joint venture sales in India</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SAIC GM Investment Limited (HKJV)</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Total Net Sales and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1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2"/>
                <w:szCs w:val="22"/>
                <w:color w:val="auto"/>
              </w:rPr>
            </w:pPr>
          </w:p>
        </w:tc>
        <w:tc>
          <w:tcPr>
            <w:tcW w:w="188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3180" w:type="dxa"/>
            <w:vAlign w:val="bottom"/>
          </w:tcPr>
          <w:p>
            <w:pPr>
              <w:spacing w:after="0"/>
              <w:rPr>
                <w:sz w:val="22"/>
                <w:szCs w:val="22"/>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r>
      <w:tr>
        <w:trPr>
          <w:trHeight w:val="250"/>
        </w:trPr>
        <w:tc>
          <w:tcPr>
            <w:tcW w:w="3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GME</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5,894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GMSA</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46.9 %</w:t>
            </w: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Total operating segments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40,405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80,524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80,061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57"/>
        </w:trPr>
        <w:tc>
          <w:tcPr>
            <w:tcW w:w="318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37,614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39,373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75,373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three months ended June 30, 2012 Total net sales and revenue decreased by $1.8 billion (or 4.5%) due primarily to: (1) net foreign currency translation and remeasurement losses of $1.6 billion due to the weakening of major currencies against the U.S. Dollar; (2) decreased wholesale volumes of $1.0 billion; (3) decreased revenues from powertrain and part sales of $0.3 billion due to decreased volumes; (4) reduction in favorable lease residual adjustments of $0.2 billion; (5) decreased revenues of $0.1 billion due to the deconsolidation of VM Motori (VMM) in June 2011; partially offset by (6) favorable vehicle mix of $0.7 billion; (7) favorable vehicle pricing effect of $0.3 billion; and (8) increased GM Financial finance income of $0.2 billion.</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2012 Total net sales and revenue decreased by $0.2 billion (or 0.3%) due primarily to: (1) net foreign currency translation and remeasurement losses of $2.1 billion due to the weakening of major currencies against the U.S. Dollar; (2) decreased revenues from powertrain and parts sales of $0.5 billion due to decreased volumes; (3) reduction in favorable lease residual adjustments of $0.3 billion; (4) decreased revenues of $0.1 billion due to the deconsolidation of VMM in June 2011; (5) decreased revenues from rental car leases of $0.1 billion; partially offset by (6) favorable vehicle mix of $1.2 billion; (7) favorable vehicle pricing effect of $1.1 billion; (8) increased GM Financial finance income of $0.3 billion; and (9) increased wholesale volumes of $0.2 billion.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251"/>
        </w:trPr>
        <w:tc>
          <w:tcPr>
            <w:tcW w:w="3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1"/>
                <w:szCs w:val="21"/>
                <w:color w:val="auto"/>
              </w:rPr>
            </w:pPr>
          </w:p>
        </w:tc>
        <w:tc>
          <w:tcPr>
            <w:tcW w:w="188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3180" w:type="dxa"/>
            <w:vAlign w:val="bottom"/>
          </w:tcPr>
          <w:p>
            <w:pPr>
              <w:spacing w:after="0"/>
              <w:rPr>
                <w:sz w:val="22"/>
                <w:szCs w:val="22"/>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r>
      <w:tr>
        <w:trPr>
          <w:trHeight w:val="250"/>
        </w:trPr>
        <w:tc>
          <w:tcPr>
            <w:tcW w:w="3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cost of sales</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8,867</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the three months ended June 30, 2012 Automotive cost of sales decreased by $1.1 billion (or 3.3%), in line with Total net sales and revenue, due primarily to: (1) net foreign currency translation, remeasurement and transaction gains of $1.2 billion due to the weakening of major currencies against the U.S. Dollar; (2) decreased costs of $0.8 billion related to decreased wholesale volumes; (3) decreased costs of $0.2 billion related to powertrain and parts sales; (4) decreased engineering expense of $0.1 billion; (5) decreased policy and warranty expense of $0.1 billion; (6) decreased depreciation and amortization expense of $0.1 billion; (7) decreased material and freight costs of $0.1 billion; (8) decreased costs of $0.1 billion due to the deconsolidation of VMM in June 2011; partially offset by (9) unfavorable vehicle mix of $0.9 billion; (10) increased employee costs of $0.3 billion including decreased net pension and other postretirement benefits (OPEB) income and separation costs; and (11) increased manufacturing expense, including new launches of $0.2 billion.</w:t>
      </w:r>
    </w:p>
    <w:p>
      <w:pPr>
        <w:spacing w:after="0" w:line="19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six months ended June 30, 2012 Automotive cost of sales increased by $0.1 billion (or 0.2%) due primarily to: (1) unfavorable vehicle mix of $1.6 billion; (2) increased employee costs of $0.5 billion including decreased net pension and OPEB income and separation costs; (3) increased manufacturing expense, including new launches of $0.3 billion; (4) increased policy and warranty expense of $0.1 billion; partially offset by (5) net foreign currency translation, remeasurement and transaction gains of $2.0 billion due to the weakening of major currencies against the U.S. Dollar; (6) decreased costs of $0.3 billion related to powertrain and parts sales; and (7) decreased costs of $0.1 billion due to the deconsolidation of VMM in June 2011.</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Selling, General and Administrative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78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3"/>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251"/>
        </w:trPr>
        <w:tc>
          <w:tcPr>
            <w:tcW w:w="32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88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320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215"/>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5,815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  $</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(103)</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2012 Automotive selling, general and administrative expense decreased by $0.1 billion (or 2.8%) due primarily to: (1) net foreign currency translation and remeasurement gains of $0.1 billion due to the weakening of major currencies against the U.S. Dollar; (2) the recovery of bad debt of $40 million; partially offset by (3) increased administrative expenses of $0.1 billion.</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2012 Automotive selling, general and administrative expense decreased by $0.1 billion (or 1.7%) due primarily to: (1) net foreign currency translation and remeasurement gains of $0.2 billion due to the weakening of major currencies against the U.S. Dollar; (2) reduction in bad debt expense of $0.1 billion; partially offset by (3) increased administrative expenses of $0.2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Impairment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2012 vs. 2011 Change</w:t>
            </w:r>
          </w:p>
        </w:tc>
        <w:tc>
          <w:tcPr>
            <w:tcW w:w="184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32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2012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395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3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In the six months ended June 30, 2012 Goodwill impairment charges increased by $0.2 billion (or 56.2%) as we recorded charges of $0.6 billion, primarily in GME. Refer to Note 9 to our condensed consolidated financial statements for additional information related to our Goodwill impairment charges.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Income and Other Non-Operating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74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3"/>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251"/>
        </w:trPr>
        <w:tc>
          <w:tcPr>
            <w:tcW w:w="32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2012 vs. 2011 Change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320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215"/>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Interest income and other non-operating</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net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(54.9)%  $</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(498)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June 30, 2012 Interest income and other non-operating income, net decreased by $0.2 billion (or 54.9%) due primarily to: (1) increased derivative losses of $0.1 billion related to fair value adjustments; and (2) decreased interest income of $38 million.</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six months ended June 30, 2012 Interest income and other non-operating income, net decreased by $0.5 billion (or 54.6%) due primarily to: (1) decreased other non-operating income of $0.3 billion related to the sale of Ally Financial preferred stock in the six months ended June 30, 2011 that did not recur in the six months ended June 30, 2012; (2) increased derivative losses of $0.2 billion related to fair value adjustments; (3) decreased interest income of $0.1 billion; partially offset by (4) a bargain purchase gain of $50 million related to the acquisition of GMAC South America LLC whose only asset is GMAC de Venezuela CA (GMAC Venezuela) in the six months ended June 30, 2012.</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 (Benefit)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32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Six Months Ended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Six Months Ended</w:t>
            </w:r>
          </w:p>
        </w:tc>
      </w:tr>
      <w:tr>
        <w:trPr>
          <w:trHeight w:val="251"/>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2012 vs. 2011 Change</w:t>
            </w:r>
          </w:p>
        </w:tc>
        <w:tc>
          <w:tcPr>
            <w:tcW w:w="17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2012</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2011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June 30, 2012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89"/>
              </w:rPr>
              <w:t>Income tax expense (benefit)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n.m.  $</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0"/>
        </w:trPr>
        <w:tc>
          <w:tcPr>
            <w:tcW w:w="20" w:type="dxa"/>
            <w:vAlign w:val="bottom"/>
          </w:tcPr>
          <w:p>
            <w:pPr>
              <w:spacing w:after="0"/>
              <w:rPr>
                <w:sz w:val="19"/>
                <w:szCs w:val="19"/>
                <w:color w:val="auto"/>
              </w:rPr>
            </w:pPr>
          </w:p>
        </w:tc>
        <w:tc>
          <w:tcPr>
            <w:tcW w:w="3320" w:type="dxa"/>
            <w:vAlign w:val="bottom"/>
          </w:tcPr>
          <w:p>
            <w:pPr>
              <w:jc w:val="right"/>
              <w:ind w:right="2350"/>
              <w:spacing w:after="0"/>
              <w:rPr>
                <w:sz w:val="20"/>
                <w:szCs w:val="20"/>
                <w:color w:val="auto"/>
              </w:rPr>
            </w:pPr>
            <w:r>
              <w:rPr>
                <w:rFonts w:ascii="Arial" w:cs="Arial" w:eastAsia="Arial" w:hAnsi="Arial"/>
                <w:sz w:val="18"/>
                <w:szCs w:val="18"/>
                <w:color w:val="auto"/>
                <w:w w:val="85"/>
              </w:rPr>
              <w:t>__________</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17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and six months ended June 30, 2012 income tax expense increased by $0.3 billion and $0.4 billion due primarily to the recognition of previously unrecognized tax benefits of $0.2 billion, including reductions to interest expense of $0.1 billion and associated valuation allowances of $0.1 billion in the three months ended June 30, 2011, that did not recur in the three and six</w:t>
      </w:r>
    </w:p>
    <w:p>
      <w:pPr>
        <w:sectPr>
          <w:pgSz w:w="11900" w:h="16838" w:orient="portrait"/>
          <w:cols w:equalWidth="0" w:num="1">
            <w:col w:w="11420"/>
          </w:cols>
          <w:pgMar w:left="240" w:top="34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341"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2012.</w:t>
      </w:r>
    </w:p>
    <w:p>
      <w:pPr>
        <w:spacing w:after="0" w:line="2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recorded effective tax rate is lower than the applicable statutory tax rate in both periods due primarily to income earned in jurisdictions for which a full valuation allowance is recorded.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Income, Net of Tax and Gain on Disposal of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90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1"/>
        </w:trPr>
        <w:tc>
          <w:tcPr>
            <w:tcW w:w="32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1"/>
                <w:szCs w:val="21"/>
                <w:color w:val="auto"/>
              </w:rPr>
            </w:pPr>
          </w:p>
        </w:tc>
        <w:tc>
          <w:tcPr>
            <w:tcW w:w="190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w w:val="93"/>
              </w:rPr>
              <w:t>New Delphi (including gain on disposition)</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9"/>
        </w:trPr>
        <w:tc>
          <w:tcPr>
            <w:tcW w:w="3200" w:type="dxa"/>
            <w:vAlign w:val="bottom"/>
          </w:tcPr>
          <w:p>
            <w:pPr>
              <w:ind w:left="40"/>
              <w:spacing w:after="0"/>
              <w:rPr>
                <w:sz w:val="20"/>
                <w:szCs w:val="20"/>
                <w:color w:val="auto"/>
              </w:rPr>
            </w:pPr>
            <w:r>
              <w:rPr>
                <w:rFonts w:ascii="Arial" w:cs="Arial" w:eastAsia="Arial" w:hAnsi="Arial"/>
                <w:sz w:val="18"/>
                <w:szCs w:val="18"/>
                <w:color w:val="auto"/>
                <w:w w:val="92"/>
              </w:rPr>
              <w:t>Total equity income, net of tax and gain on</w:t>
            </w: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8"/>
                <w:szCs w:val="18"/>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disposal of investments</w:t>
            </w:r>
          </w:p>
        </w:tc>
        <w:tc>
          <w:tcPr>
            <w:tcW w:w="2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8890</wp:posOffset>
            </wp:positionV>
            <wp:extent cx="5213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-130175</wp:posOffset>
            </wp:positionV>
            <wp:extent cx="5213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2012 Equity income, net of tax and gain on disposal of investments decreased by $0.1 billion (or 21.5%) due primarily to decreased equity income from the China JVs.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six months ended June 30, 2012 Equity income, net of tax and gain on disposal of investments decreased by $1.8 billion (or 71.4%) due primarily to</w:t>
      </w:r>
    </w:p>
    <w:p>
      <w:pPr>
        <w:spacing w:after="0" w:line="46" w:lineRule="exact"/>
        <w:rPr>
          <w:sz w:val="20"/>
          <w:szCs w:val="20"/>
          <w:color w:val="auto"/>
        </w:rPr>
      </w:pPr>
    </w:p>
    <w:p>
      <w:pPr>
        <w:ind w:firstLine="8"/>
        <w:spacing w:after="0" w:line="323" w:lineRule="auto"/>
        <w:tabs>
          <w:tab w:leader="none" w:pos="2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$1.6 billion gain related to the sale of our Delphi Automotive LLP (New Delphi) Class A Membership Interests and related equity income in the six months ended June 30, 2011 that did not recur in the six months ended June 30, 2012; and (2) decreased equity income of $0.1 billion from the China JVs.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Reconciliation of Consolidated, Automotive and GM Financial Segment Results</w:t>
      </w:r>
    </w:p>
    <w:p>
      <w:pPr>
        <w:spacing w:after="0" w:line="2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Management believes earnings before interest and taxes (EBIT)-adjusted provides meaningful supplemental information regarding our automotive segments' operating results because it excludes interest income, interest expense and income taxes as well as certain additional amounts. Management does not consider these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 Such adjustments include impairment charges related to goodwill and certain investments, gains or losses on the settlement/extinguishment of obligations and gains or losses on the sale of non-core investments. Management believes this measure allows it to readily view operating trends, perform analytical comparisons and benchmark performance between periods and among geographic regions. We believe EBIT-adjusted is useful in allowing for greater transparency of our core operations and is therefore used by management in its financial and operational decision-making.</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While management believes that EBIT-adjusted provides useful information, it is not an operating measure under U.S. GAAP and there are limitations associated with its use. Our calculation of EBIT-adjusted may not be completely comparable to similarly titled measures of other companies due to potential differences between companies in the method of calculation. As a result the use of EBIT-adjusted has limitations and should not be considered in isolation from, or as a substitute for, other measures such as Net income or Net income attributable to stockholders. Due to these limitations, EBIT-adjusted is used as a supplement to U.S. GAAP measures.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believes income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2012 we recorded a loss on extinguishment of debt within Corporate for segment reporting purposes, and it is excluded from EBIT-adjusted. Previously gains and losses on extinguishment of debt were recorded within the applicable automotive segments. This change is consistent with how management currently views the results of our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following tables summarize the reconciliation of our automotive segments EBIT-adjusted and GM Financial's income before income taxes to Net income attributable to stockholders and provide supplemental detail of the adjustments, which are presented net of noncontrolling interests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4"/>
          </w:tcPr>
          <w:p>
            <w:pPr>
              <w:ind w:left="320"/>
              <w:spacing w:after="0"/>
              <w:rPr>
                <w:sz w:val="20"/>
                <w:szCs w:val="20"/>
                <w:color w:val="auto"/>
              </w:rPr>
            </w:pPr>
            <w:r>
              <w:rPr>
                <w:rFonts w:ascii="Arial" w:cs="Arial" w:eastAsia="Arial" w:hAnsi="Arial"/>
                <w:sz w:val="14"/>
                <w:szCs w:val="14"/>
                <w:b w:val="1"/>
                <w:bCs w:val="1"/>
                <w:color w:val="auto"/>
              </w:rPr>
              <w:t>June 30, 2012</w:t>
            </w:r>
          </w:p>
        </w:tc>
        <w:tc>
          <w:tcPr>
            <w:tcW w:w="260" w:type="dxa"/>
            <w:vAlign w:val="bottom"/>
          </w:tcPr>
          <w:p>
            <w:pPr>
              <w:spacing w:after="0"/>
              <w:rPr>
                <w:sz w:val="22"/>
                <w:szCs w:val="22"/>
                <w:color w:val="auto"/>
              </w:rPr>
            </w:pPr>
          </w:p>
        </w:tc>
        <w:tc>
          <w:tcPr>
            <w:tcW w:w="1840" w:type="dxa"/>
            <w:vAlign w:val="bottom"/>
            <w:gridSpan w:val="4"/>
          </w:tcPr>
          <w:p>
            <w:pPr>
              <w:ind w:left="340"/>
              <w:spacing w:after="0"/>
              <w:rPr>
                <w:sz w:val="20"/>
                <w:szCs w:val="20"/>
                <w:color w:val="auto"/>
              </w:rPr>
            </w:pPr>
            <w:r>
              <w:rPr>
                <w:rFonts w:ascii="Arial" w:cs="Arial" w:eastAsia="Arial" w:hAnsi="Arial"/>
                <w:sz w:val="14"/>
                <w:szCs w:val="14"/>
                <w:b w:val="1"/>
                <w:bCs w:val="1"/>
                <w:color w:val="auto"/>
              </w:rPr>
              <w:t>June 30, 2011</w:t>
            </w:r>
          </w:p>
        </w:tc>
        <w:tc>
          <w:tcPr>
            <w:tcW w:w="260" w:type="dxa"/>
            <w:vAlign w:val="bottom"/>
          </w:tcPr>
          <w:p>
            <w:pPr>
              <w:spacing w:after="0"/>
              <w:rPr>
                <w:sz w:val="22"/>
                <w:szCs w:val="22"/>
                <w:color w:val="auto"/>
              </w:rPr>
            </w:pPr>
          </w:p>
        </w:tc>
        <w:tc>
          <w:tcPr>
            <w:tcW w:w="1840" w:type="dxa"/>
            <w:vAlign w:val="bottom"/>
            <w:gridSpan w:val="4"/>
          </w:tcPr>
          <w:p>
            <w:pPr>
              <w:ind w:left="320"/>
              <w:spacing w:after="0"/>
              <w:rPr>
                <w:sz w:val="20"/>
                <w:szCs w:val="20"/>
                <w:color w:val="auto"/>
              </w:rPr>
            </w:pPr>
            <w:r>
              <w:rPr>
                <w:rFonts w:ascii="Arial" w:cs="Arial" w:eastAsia="Arial" w:hAnsi="Arial"/>
                <w:sz w:val="14"/>
                <w:szCs w:val="14"/>
                <w:b w:val="1"/>
                <w:bCs w:val="1"/>
                <w:color w:val="auto"/>
              </w:rPr>
              <w:t>June 30, 2012</w:t>
            </w:r>
          </w:p>
        </w:tc>
        <w:tc>
          <w:tcPr>
            <w:tcW w:w="260" w:type="dxa"/>
            <w:vAlign w:val="bottom"/>
          </w:tcPr>
          <w:p>
            <w:pPr>
              <w:spacing w:after="0"/>
              <w:rPr>
                <w:sz w:val="22"/>
                <w:szCs w:val="22"/>
                <w:color w:val="auto"/>
              </w:rPr>
            </w:pPr>
          </w:p>
        </w:tc>
        <w:tc>
          <w:tcPr>
            <w:tcW w:w="17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June 30, 2011</w:t>
            </w: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Automotive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EBIT-adjusted</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GMNA(a)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74.0 %</w:t>
            </w:r>
          </w:p>
        </w:tc>
        <w:tc>
          <w:tcPr>
            <w:tcW w:w="0" w:type="dxa"/>
            <w:vAlign w:val="bottom"/>
          </w:tcPr>
          <w:p>
            <w:pPr>
              <w:spacing w:after="0"/>
              <w:rPr>
                <w:sz w:val="1"/>
                <w:szCs w:val="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6"/>
                <w:szCs w:val="16"/>
                <w:color w:val="auto"/>
              </w:rPr>
              <w:t>GME(a)</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GMIO(a)</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0" w:type="dxa"/>
            <w:vAlign w:val="bottom"/>
          </w:tcPr>
          <w:p>
            <w:pPr>
              <w:spacing w:after="0"/>
              <w:rPr>
                <w:sz w:val="1"/>
                <w:szCs w:val="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6"/>
                <w:szCs w:val="16"/>
                <w:color w:val="auto"/>
              </w:rPr>
              <w:t>GMSA(a)</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147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automotive EBIT-adjusted</w:t>
            </w: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1,902</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2,818</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3,903</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4,730</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6"/>
                <w:szCs w:val="16"/>
                <w:color w:val="auto"/>
              </w:rPr>
              <w:t>Corporate interest income</w:t>
            </w: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Automotive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Automotive Financing</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GM Financial income before income taxes</w:t>
            </w: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automotive operations interest and income taxes are recorded centrally in Corporate; therefore, there are no reconciling items for our automotive operating segments between EBIT-adjusted and Net income attributable to stockholders.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5"/>
              </w:rPr>
              <w:t>Six Months Ended June 30, 2012</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GMNA</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GME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615"/>
        </w:trPr>
        <w:tc>
          <w:tcPr>
            <w:tcW w:w="5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5"/>
              </w:rPr>
              <w:t>Six Months Ended June 30, 2011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GMNA</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GME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our Class A Membership Interests in New Delphi</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related to HKJV</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Gain on sale of Ally Financial preferred stock</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339</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Consolidating Financial Condition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9"/>
              </w:rPr>
              <w:t>June 30, 2012</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5"/>
          </w:tcPr>
          <w:p>
            <w:pPr>
              <w:ind w:left="300"/>
              <w:spacing w:after="0"/>
              <w:rPr>
                <w:sz w:val="20"/>
                <w:szCs w:val="20"/>
                <w:color w:val="auto"/>
              </w:rPr>
            </w:pPr>
            <w:r>
              <w:rPr>
                <w:rFonts w:ascii="Arial" w:cs="Arial" w:eastAsia="Arial" w:hAnsi="Arial"/>
                <w:sz w:val="11"/>
                <w:szCs w:val="11"/>
                <w:b w:val="1"/>
                <w:bCs w:val="1"/>
                <w:color w:val="auto"/>
              </w:rPr>
              <w:t>December 31, 2011</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Current Assets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21,232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22,184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16,071</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11,381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11,381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16,148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16,148</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1,005</w:t>
            </w:r>
          </w:p>
        </w:tc>
      </w:tr>
      <w:tr>
        <w:trPr>
          <w:trHeight w:val="248"/>
        </w:trPr>
        <w:tc>
          <w:tcPr>
            <w:tcW w:w="3780" w:type="dxa"/>
            <w:vAlign w:val="bottom"/>
          </w:tcPr>
          <w:p>
            <w:pPr>
              <w:ind w:left="180"/>
              <w:spacing w:after="0"/>
              <w:rPr>
                <w:sz w:val="20"/>
                <w:szCs w:val="20"/>
                <w:color w:val="auto"/>
              </w:rPr>
            </w:pPr>
            <w:r>
              <w:rPr>
                <w:rFonts w:ascii="Arial" w:cs="Arial" w:eastAsia="Arial" w:hAnsi="Arial"/>
                <w:sz w:val="11"/>
                <w:szCs w:val="11"/>
                <w:color w:val="auto"/>
              </w:rPr>
              <w:t>Accounts and notes receivable, net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11,096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11,117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9,949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9,964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finance receivables,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3,251</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15,433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15,433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14,324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14,324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Equipment on operating leases,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2,464</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Other current assets and deferred income taxes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2,087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1,696</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65,236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70,233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60,247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64,923</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Non-current Assets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1,228</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GM Financial finance receivables,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6,552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6,552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5,911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5,911</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Equity in net assets of nonconsolidated affiliates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6,790</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Property, net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24,976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25,026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22,957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23,005</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Goodwill</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27,127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28,405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27,741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29,019</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Intangible assets, net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9,192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9,192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10,013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10,014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equipment on operating leases,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785</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Other assets and deferred income taxes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3,588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(478)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3,151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2,928</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72,644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81,754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79,680</w:t>
            </w:r>
          </w:p>
        </w:tc>
      </w:tr>
      <w:tr>
        <w:trPr>
          <w:trHeight w:val="27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137,880</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14,673</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(566)</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151,987</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131,860</w:t>
            </w:r>
          </w:p>
        </w:tc>
        <w:tc>
          <w:tcPr>
            <w:tcW w:w="12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13,112</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(369)</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144,603</w:t>
            </w:r>
          </w:p>
        </w:tc>
      </w:tr>
      <w:tr>
        <w:trPr>
          <w:trHeight w:val="235"/>
        </w:trPr>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Accounts payable (principally trade)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26,390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26,425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24,551</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Short-term debt and current portion of long-term debt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1,682</w:t>
            </w: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3,732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3,732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4,118</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Accrued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25,006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25,134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22,767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22,875</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52,756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3,948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56,651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48,980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4,295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53,226</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3,613</w:t>
            </w: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5,918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5,918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4,420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4,420</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Postretirement benefits other than pensions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6,836</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Pensions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24,558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24,558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25,075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25,075</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liabilities and deferred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12,631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12,735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12,355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12,442</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non-current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47,704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6,534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(512)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53,726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47,879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(319)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52,386</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100,460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110,377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96,859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105,612</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color w:val="auto"/>
              </w:rPr>
              <w:t>Commitments and contingencies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Preferred stock, $0.01 par value, 2,000,000,000 shares authorized: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780" w:type="dxa"/>
            <w:vAlign w:val="bottom"/>
            <w:shd w:val="clear" w:color="auto" w:fill="CCEEFF"/>
          </w:tcPr>
          <w:p>
            <w:pPr>
              <w:ind w:left="340"/>
              <w:spacing w:after="0"/>
              <w:rPr>
                <w:sz w:val="20"/>
                <w:szCs w:val="20"/>
                <w:color w:val="auto"/>
              </w:rPr>
            </w:pPr>
            <w:r>
              <w:rPr>
                <w:rFonts w:ascii="Arial" w:cs="Arial" w:eastAsia="Arial" w:hAnsi="Arial"/>
                <w:sz w:val="11"/>
                <w:szCs w:val="11"/>
                <w:color w:val="auto"/>
                <w:w w:val="94"/>
              </w:rPr>
              <w:t>Series A (276,101,695 shares issued and outstanding (each with a $25.00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7"/>
              </w:rPr>
              <w:t>liquidation preference) at June 30, 2012 and December 31, 2011)</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5,536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5,536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5,536</w:t>
            </w:r>
          </w:p>
        </w:tc>
      </w:tr>
      <w:tr>
        <w:trPr>
          <w:trHeight w:val="139"/>
        </w:trPr>
        <w:tc>
          <w:tcPr>
            <w:tcW w:w="3780" w:type="dxa"/>
            <w:vAlign w:val="bottom"/>
          </w:tcPr>
          <w:p>
            <w:pPr>
              <w:ind w:left="340"/>
              <w:spacing w:after="0"/>
              <w:rPr>
                <w:sz w:val="20"/>
                <w:szCs w:val="20"/>
                <w:color w:val="auto"/>
              </w:rPr>
            </w:pPr>
            <w:r>
              <w:rPr>
                <w:rFonts w:ascii="Arial" w:cs="Arial" w:eastAsia="Arial" w:hAnsi="Arial"/>
                <w:sz w:val="11"/>
                <w:szCs w:val="11"/>
                <w:color w:val="auto"/>
                <w:w w:val="94"/>
              </w:rPr>
              <w:t>Series B (100,000,000 shares issued and outstanding (each with a $50.00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3780" w:type="dxa"/>
            <w:vAlign w:val="bottom"/>
          </w:tcPr>
          <w:p>
            <w:pPr>
              <w:jc w:val="center"/>
              <w:spacing w:after="0"/>
              <w:rPr>
                <w:sz w:val="20"/>
                <w:szCs w:val="20"/>
                <w:color w:val="auto"/>
              </w:rPr>
            </w:pPr>
            <w:r>
              <w:rPr>
                <w:rFonts w:ascii="Arial" w:cs="Arial" w:eastAsia="Arial" w:hAnsi="Arial"/>
                <w:sz w:val="11"/>
                <w:szCs w:val="11"/>
                <w:color w:val="auto"/>
                <w:w w:val="87"/>
              </w:rPr>
              <w:t>liquidation preference) at June 30, 2012 and December 31, 2011)</w:t>
            </w: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4,855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4,855</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7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Common stock, $0.01 par value (5,000,000,000 shares authorized and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22"/>
        </w:trPr>
        <w:tc>
          <w:tcPr>
            <w:tcW w:w="378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w w:val="86"/>
              </w:rPr>
              <w:t>1,565,941,048 shares and 1,564,727,289 shares issued and outstanding at June</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8"/>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30, 2012 and December 31, 2011)</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Capital surplus (principally additional paid-in capital)</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26,399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26,399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26,391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26,391</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Retained earnings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5,689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7,183</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Accumulated other comprehensive loss</w:t>
            </w:r>
          </w:p>
        </w:tc>
        <w:tc>
          <w:tcPr>
            <w:tcW w:w="1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(5,985)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(5,995)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(5,854)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(5,861)</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stockholders’ equity</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36,510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40,700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34,130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38,120</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Noncontrolling interests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910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871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871</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Equity</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37,420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41,610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38,991</w:t>
            </w:r>
          </w:p>
        </w:tc>
      </w:tr>
      <w:tr>
        <w:trPr>
          <w:trHeight w:val="232"/>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137,880</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14,673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(566)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151,987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131,860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13,112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(369)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144,603</w:t>
            </w: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9019"/>
          </w:cols>
          <w:pgMar w:left="1440" w:top="584" w:right="1440"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Marketable securities decreased by $4.8 billion (or 29.5%) due primarily to our reinvesting in shorter term cash equivalents as these marketable securities matured to rebalance our securities portfolio in the normal course of business.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Accounts and notes receivable, net increased by $1.2 billion (or 11.6%) due primarily to: (1) an increase of $2.0 billion related to higher vehicle sales at the end of June 2012 compared to December 2011; (2) net increase of $0.3 billion in value added tax receivable; partially offset by (3) a net decrease of $0.9 billion related to dividends collected from our China JVs in the six months ended June 30, 2012; and (3) decreased net foreign currency translation of $0.1 billion due to the weakening of major currencies against the U.S. Dollar.</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 net increased by $1.4 billion (or 55.0%) due primarily to a net increase of $1.6 billion in vehicles under lease; partially offset by depreciation of $0.2 billion for the six months ended June 30, 2012.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Non-Current Assets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finance receivables, net increased by $0.6 billion (or 10.8%) due primarily to an increase of new loan originations, partially offset by expected principal payments becoming current.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decreased by $0.6 billion (or 2.1%) due to the impairment charges in GME and GMIO.</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equipment on operating leases, net increased by $0.5 billion (or 68.7%) due primarily to leased vehicles purchased in the U.S. and Canada of $0.5 billion and $0.3 billion; partially offset by depreciation of $0.1 billion for the six months ended June 30, 2012.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Non-Current Liabilities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Long-term debt increased by $1.5 billion (or 33.9%) due primarily to the issuance of securitization notes payable of $2.6 billion partially offset by long-term debt reclassed to current of $1.0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North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20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2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2"/>
                <w:szCs w:val="22"/>
                <w:color w:val="auto"/>
              </w:rPr>
            </w:pPr>
          </w:p>
        </w:tc>
        <w:tc>
          <w:tcPr>
            <w:tcW w:w="18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3200" w:type="dxa"/>
            <w:vAlign w:val="bottom"/>
          </w:tcPr>
          <w:p>
            <w:pPr>
              <w:spacing w:after="0"/>
              <w:rPr>
                <w:sz w:val="22"/>
                <w:szCs w:val="22"/>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2012 Total net sales and revenue decreased by $0.2 billion (or 1.0%) due primarily to: (1) reduction in favorable lease residual adjustments of $0.2 billion; and (2) unfavorable net foreign currency remeasurement of $0.2 billion due to the weakening of the Canadian Dollar (CAD) and Mexican Peso against the U.S. Dollar; partially offset by (3) favorable vehicle mix of $0.2 billion.</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2012 Total net sales and revenue increased by $1.8 billion (or 4.1%) due primarily to: (1) increased wholesale volumes of $2.2 billion representing 90,000 vehicles (or 5.6%) due to increased industry demand and successful recent vehicle launches such as the Buick Verano, Chevrolet Sonic and Chevrolet Cruze; and (2) favorable vehicle pricing of $0.5 billion; partially offset by (3) reduction in favorable lease residual adjustments of $0.3 billion; (4) unfavorable net foreign currency remeasurement of $0.2 billion due to the weakening of the CAD and Mexican Peso against the U.S. Dollar; and (5) unfavorable vehicle mix of $0.1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2012 EBIT-adjusted decreased by $0.3 billion (or 12.6%) due primarily to: (1) decrease in U.S. pension income of $0.2 billion; (2) reduction in favorable lease residual adjustments of $0.2 billion; (3) increase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manufacturing expense, including new launches, of $0.2 billion; and (4) unfavorable vehicle mix of $0.1 billion; partially offset by (5) decreased material prices and freight of $0.2 billion; and (6) decrease in depreciation and amortization expense of $0.1 billion.</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2012 EBIT-adjusted increased by $0.2 billion (or 4.4%) due primarily to: (1) increased wholesale volumes of $0.6 billion due to increased industry demand and successful recent vehicle launches; and (2) favorable vehicle pricing of $0.5 billion; (3) decrease in depreciation and amortization expense of $0.2 billion; and (4) decreased material prices and freight of $0.1 billion; partially offset by (5) decrease in U.S. pension income of $0.4 billion; (6) unfavorable vehicle mix of $0.4 billion; (7) reduction in favorable lease residual adjustments of $0.3 billion; and (8) increase in manufacturing expense, including new launches, of $0.3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Europe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02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020" w:type="dxa"/>
            <w:vAlign w:val="bottom"/>
            <w:gridSpan w:val="3"/>
          </w:tcPr>
          <w:p>
            <w:pPr>
              <w:jc w:val="center"/>
              <w:ind w:right="36"/>
              <w:spacing w:after="0"/>
              <w:rPr>
                <w:sz w:val="20"/>
                <w:szCs w:val="20"/>
                <w:color w:val="auto"/>
              </w:rPr>
            </w:pPr>
            <w:r>
              <w:rPr>
                <w:rFonts w:ascii="Arial" w:cs="Arial" w:eastAsia="Arial" w:hAnsi="Arial"/>
                <w:sz w:val="14"/>
                <w:szCs w:val="14"/>
                <w:b w:val="1"/>
                <w:bCs w:val="1"/>
                <w:color w:val="auto"/>
                <w:w w:val="93"/>
              </w:rPr>
              <w:t>Six Months Ended</w:t>
            </w:r>
          </w:p>
        </w:tc>
      </w:tr>
      <w:tr>
        <w:trPr>
          <w:trHeight w:val="264"/>
        </w:trPr>
        <w:tc>
          <w:tcPr>
            <w:tcW w:w="30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2012 vs. 2011 Change</w:t>
            </w:r>
          </w:p>
        </w:tc>
        <w:tc>
          <w:tcPr>
            <w:tcW w:w="140" w:type="dxa"/>
            <w:vAlign w:val="bottom"/>
          </w:tcPr>
          <w:p>
            <w:pPr>
              <w:spacing w:after="0"/>
              <w:rPr>
                <w:sz w:val="22"/>
                <w:szCs w:val="22"/>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2012 vs. 2011 Change</w:t>
            </w:r>
          </w:p>
        </w:tc>
      </w:tr>
      <w:tr>
        <w:trPr>
          <w:trHeight w:val="264"/>
        </w:trPr>
        <w:tc>
          <w:tcPr>
            <w:tcW w:w="308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top w:val="single" w:sz="8" w:color="auto"/>
            </w:tcBorders>
          </w:tcPr>
          <w:p>
            <w:pPr>
              <w:ind w:lef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5"/>
              </w:rPr>
              <w:t>(21.0)%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n.m.</w:t>
            </w:r>
          </w:p>
        </w:tc>
      </w:tr>
      <w:tr>
        <w:trPr>
          <w:trHeight w:val="233"/>
        </w:trPr>
        <w:tc>
          <w:tcPr>
            <w:tcW w:w="308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6"/>
        </w:trPr>
        <w:tc>
          <w:tcPr>
            <w:tcW w:w="3080" w:type="dxa"/>
            <w:vAlign w:val="bottom"/>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2012 Total net sales and revenue decreased by $1.6 billion (or 21.0%) due primarily to: (1) decreased wholesale volumes of $0.8 billion representing 51,000 vehicles (or 14.5%) due to the weak European economy; (2) unfavorable foreign currency translation effect of $0.7 billion, due to the strengthening of the U.S. Dollar against the Euro, British Pound, Hungarian Forint, Russian Ruble and Turkish Lira; (3) decreased parts, accessories and powertrain engine and transmission sales of $0.1 billion associated with lower demand; and (4) a decrease of $0.1 billion due to the deconsolidation of VMM in June 2011; partially offset by (5) favorable vehicle mix of $0.2 billion due to the new generation Opel Astra GTC and Ampera and increased sales of other higher priced vehicles.</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2012 Total net sales and revenue decreased by $2.9 billion (or 20.4%) due primarily to: (1) decreased wholesale volumes of $1.8 billion representing 121,000 vehicles (or 17.7%) due to the weak European economy; (2) unfavorable foreign currency translation effect of $1.0 billion, due to the strengthening of the U.S. Dollar against the Euro, British Pound, Hungarian Forint, Russian Ruble and Turkish Lira; (3) decreased parts, accessories and powertrain engine and transmission sales of $0.4 billion associated with lower demand; and (4) a decrease of $0.1 billion due to the deconsolidation of VMM in June 2011; partially offset by (5) favorable vehicle mix of $0.4 billion due to the new generation Opel Zafira, Astra GTC and Ampera and increased sales of other higher priced vehicles.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2012 EBIT (loss)-adjusted was $0.4 billion compared to EBIT-adjusted of $0.1 billion in the three months ended June 30, 2011 due primarily to: (1) decreased volumes of $0.1 billion; (2) unfavorable net vehicle mix of $0.1 billion; (3) decreased parts, accessories and powertrain engine and transmission sales of $0.1 billion associated with lower demand; and (4) a decrease of $0.1 billion resulting from the net effect of changes in an embedded foreign currency derivative asset associated with a long-term supply agreement; partially offset by (5) lower manufacturing and material costs of $0.1 billion.</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2012 EBIT (loss)-adjusted was $0.6 billion compared to EBIT-adjusted of $0.1 billion in the six months ended June 30, 2011 due primarily to: (1) decreased volumes of $0.4 billion; (2) a decrease of $0.2 billion resulting from the net effect of changes in an embedded foreign currency derivative asset associated with a long-term supply agreement; (3) decreased parts, accessories and powertrain engine and transmission sales of $0.2 billion, associated with lower demand; and (4) unfavorable net vehicle mix of $0.1 billion; partially offset by (5) lower manufacturing and material costs of $0.2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International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90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1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2"/>
                <w:szCs w:val="22"/>
                <w:color w:val="auto"/>
              </w:rPr>
            </w:pPr>
          </w:p>
        </w:tc>
        <w:tc>
          <w:tcPr>
            <w:tcW w:w="190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318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r>
      <w:tr>
        <w:trPr>
          <w:trHeight w:val="250"/>
        </w:trPr>
        <w:tc>
          <w:tcPr>
            <w:tcW w:w="3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2012 Total net sales and revenue increased by $0.5 billion (or 8.5%) due primarily to: (1) increased wholesale volumes of $0.5 billion representing 33,000 vehicles due primarily to industry growth across the region; (2) favorable vehicle pricing effect of $0.2 billion due to higher pricing on new models launched and lower sales incentives; and (3) favorable components, parts and accessories sales of $0.1 billion; partially offset by (4) unfavorable net foreign currency translation effect of $0.3 billion driven by weakening of major currencies such as the Korean Won, Australian Dollar and South African Rand against the U.S. Dollar.</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2012 Total net sales and revenue increased by $1.4 billion (or 12.0%) due primarily to: (1) increased wholesale volumes of $0.9 billion representing 61,000 vehicles due primarily to strong industry growth across the region; (2) favorable vehicle mix of $0.3 billion due to the sales of higher priced Chevrolet Captiva, Chevrolet Orlando and Chevrolet Malibu; (3) favorable vehicle pricing effect of $0.3 billion due to higher pricing on new models launched and lower sales incentives; and (4) favorable components, parts and accessories sales of $0.2 billion; partially offset by (5) unfavorable net foreign currency translation effect of $0.3 billion driven by weakening of major currencies such as the Korean Won and South African Rand against the U.S. Dollar.</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China and India joint ventures are not reflected in Total net sales and revenue. The results of our joint ventures are recorded in Equity income, net of tax and gain on disposal of investments.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2012 EBIT-adjusted remained flat, due primarily to: (1) favorable price effect of $0.2 billion due to higher pricing on new models launched and lower sales incentives; and (2) favorable net wholesale volumes of $0.1 billion; offset by (3) increased costs of $0.1 billion due primarily to increased material and manufacturing costs; (4) unfavorable net foreign currency translation effect of $0.1 billion driven by weakening of major currencies such as the Korean Won, Australian Dollar and South Africa Rand against the U.S. Dollar; and (5) decreased equity income, net of tax, of $0.1 billion.</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six months ended June 30, 2012 EBIT-adjusted decreased by $0.1 billion (or 6.3%), due primarily to: (1) increased costs of $0.5 billion due primarily to increased material, manufacturing and warranty costs; and (2) decreased equity income, net of tax, of $0.1 billion; partially offset by (3) favorable price effect of $0.3 billion due to higher pricing on new models launched and lower sales incentives; and (4) favorable net wholesale volumes of $0.2 billion.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South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90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1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2"/>
                <w:szCs w:val="22"/>
                <w:color w:val="auto"/>
              </w:rPr>
            </w:pPr>
          </w:p>
        </w:tc>
        <w:tc>
          <w:tcPr>
            <w:tcW w:w="190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318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r>
      <w:tr>
        <w:trPr>
          <w:trHeight w:val="250"/>
        </w:trPr>
        <w:tc>
          <w:tcPr>
            <w:tcW w:w="3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33"/>
        </w:trPr>
        <w:tc>
          <w:tcPr>
            <w:tcW w:w="318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6"/>
        </w:trPr>
        <w:tc>
          <w:tcPr>
            <w:tcW w:w="3180" w:type="dxa"/>
            <w:vAlign w:val="bottom"/>
          </w:tcPr>
          <w:p>
            <w:pPr>
              <w:spacing w:after="0"/>
              <w:rPr>
                <w:sz w:val="20"/>
                <w:szCs w:val="20"/>
                <w:color w:val="auto"/>
              </w:rPr>
            </w:pPr>
            <w:r>
              <w:rPr>
                <w:rFonts w:ascii="Arial" w:cs="Arial" w:eastAsia="Arial" w:hAnsi="Arial"/>
                <w:sz w:val="16"/>
                <w:szCs w:val="16"/>
                <w:color w:val="auto"/>
              </w:rPr>
              <w:t>n.m. = not meaningful</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2012 Total net sales and revenue decreased by $0.2 billion (or 4.2%), due primarily to: (1) unfavorable net foreign currency translation effect of $0.5 billion, due to the strengthening of the U.S. dollar against major currencies such as the Brazilian Real and Argentinian Peso; and (2) decreased wholesale volumes of $0.1 billion representing 7,000 vehicles (or 2.6%) due to deteriorated market share driven by increased competition and aggressive pricing in the market; offset by (3) favorable vehicle mix of $0.3 billion due to increased sales of the Chevrolet Cruze and Chevrolet S10; and (4) favorable vehicle pricing effect of $0.1 billion, primarily in Argentina due to higher inflation and in Venezuela due to the hyperinflationary economy.</w:t>
      </w:r>
    </w:p>
    <w:p>
      <w:pPr>
        <w:sectPr>
          <w:pgSz w:w="11900" w:h="16838" w:orient="portrait"/>
          <w:cols w:equalWidth="0" w:num="1">
            <w:col w:w="11420"/>
          </w:cols>
          <w:pgMar w:left="240" w:top="34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341"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2012 Total net sales and revenue decreased by $0.1 billion (or 1.7%), due primarily to: (1) unfavorable net foreign currency translation effect of $0.6 billion, due to the strengthening of the U.S. dollar against major currencies such as the Brazilian Real and Argentinian Peso; and (2) decreased wholesale volumes of $0.4 billion representing 26,000 vehicles (or 4.9%) due to deteriorated market share driven by increased competition and aggressive pricing in the market; partially offset by (3) favorable vehicle mix of $0.6 billion due to increased sales of the Chevrolet Cruze and Chevrolet S10; and (4) favorable vehicle pricing effect of $0.2 billion, primarily in Argentina due to higher inflation and in Venezuela due to the hyperinflationary economy.</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June 30, 2012 EBIT (loss)-adjusted was $19 million compared to EBIT-adjusted of $0.1 billion in the three months ended June 30, 2011, due primarily to: (1) increased material, freight and manufacturing costs of $0.1 billion; and (2) employee separation costs in Brazil of $0.1 billion; partially offset by (3) favorable vehicle pricing effect of $0.1 billion, primarily in Argentina due to higher inflation and in Venezuela due to the hyperinflationary economy; and (4) favorable net vehicle mix of $0.1 billion due to increased sales of the Chevrolet Cruze and Chevrolet S10.</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2012 EBIT-adjusted decreased by $0.1 billion (or 56.5%), due primarily to: (1) increased material, freight and manufacturing costs of $0.3 billion; (2) unfavorable net wholesale volumes of $0.1 billion; and (3) employee separation costs of $0.1 billion in Brazil; partially offset by (3) favorable vehicle pricing effect of $0.2 billion, primarily in Argentina due to higher inflation and in Venezuela due to the hyperinflationary economy; (4) favorable net vehicle mix of $0.2 billion due to increased sales of the Chevrolet Cruze and Chevrolet S10; and (5) a bargain purchase gain of $50 million on the purchase of GMAC Venezuela.</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4"/>
                <w:szCs w:val="4"/>
                <w:color w:val="auto"/>
              </w:rPr>
            </w:pPr>
          </w:p>
        </w:tc>
        <w:tc>
          <w:tcPr>
            <w:tcW w:w="184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244"/>
        </w:trPr>
        <w:tc>
          <w:tcPr>
            <w:tcW w:w="3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revenue</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625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2012 GM Financial revenue increased by $157 million (or 47.6%) due to: (1) increased finance income of $113 million due to a larger loan portfolio balance; and (2) increased lease income of $44 million due to a larger lease portfolio.</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2012 GM Financial revenue increased by $293 million (or 46.9%) due primarily to: (1) increased finance income of $203 million due to a larger loan portfolio balance; and (2) increased lease income of $85 million due to a larger lease portfolio.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2012 income before income taxes increased by $73 million (or 50.7%) due primarily to: (1) increased finance income of $113 million due to a larger loan portfolio; and (2) increased lease income of $44 million due to a larger lease portfolio; partially offset by (3) increased leased vehicle expenses of $38 million due to a larger lease portfolio; (4) increased interest expense of $22 million due to an increase in average debt outstanding and an increase in the effective interest rate; (5) increased provision for loan losses of $17 million due to a larger loan portfolio; and (6) increased operating expenses of $7 million due to company growth.</w:t>
      </w:r>
    </w:p>
    <w:p>
      <w:pPr>
        <w:spacing w:after="0" w:line="18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Average debt outstanding in the three months ended June 30, 2012 and 2011 was $8.9 billion and $7.5 billion and the effective rate of interest paid was 2.9% and 2.3%.</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2012 income before income taxes increased by $124 million (or 45.3%) due primarily to: (1) increased finance income of $203 million due to a larger loan portfolio; and (2) increased lease income of $85 million due to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larger lease portfolio; partially offset by (3) increased leased vehicle expenses of $70 million due to a larger lease portfolio; (4) increased interest expense of $44 million due to an increase in average debt outstanding and an increase in the effective interest rate; (5) increased provision for loan losses of $26 million due to a larger loan portfolio; and (6) increased operating expenses of $29 million due to company growth.</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Average debt outstanding in the six months ended June 30, 2012 and 2011 was $8.8 billion and $7.3 billion and the effective rate of interest paid was 2.9% and 2.3%.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Six Months Ended</w:t>
            </w:r>
          </w:p>
        </w:tc>
      </w:tr>
      <w:tr>
        <w:trPr>
          <w:trHeight w:val="251"/>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2012 vs. 2011 Change</w:t>
            </w:r>
          </w:p>
        </w:tc>
        <w:tc>
          <w:tcPr>
            <w:tcW w:w="17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June 30, 2012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2012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Net income (loss) attributable to stockholders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220.0%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Net Income (Loss) Attributable to Stockholders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2012 Net loss attributable to stockholders increased by $0.3 billion due primarily to an increase in income tax expense of $0.2 billion; and (2) an increase in foreign currency transaction losses of $0.1 billion.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2012 Net loss attributable to stockholders was $0.6 billion compared to Net income attributable to stockholders of $0.1 billion in the six months ended June 30, 2011 due primarily to: (1) a gain of $0.3 billion recorded on the sale of our Ally Financial preferred stock in March 2011 that did not recur in the six months ended June 30, 2012; (2) an increase in income tax expense of $0.3 billion; and (3) an increase in foreign currency transaction losses of $0.1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secured revolving credit facility will be sufficient to meet our liquidity needs. However, we expect to have substantial cash requirements going forward which we plan to fund through available liquidity and cash flow from operations. Our known material future uses of cash include, among other possible demands: (1) reinvestment in our business through capital expenditures, engineering and product development activities; (2) pension contributions and OPEB and other payments; (3) payments to reduce debt and other long-term obligations; (4) dividend payments on our Series A and Series B Preferred Shares; and (5) certain South American income and indirect tax-related administrative proceedings may require that we deposit funds in escrow or make payments which may range up to $0.9 billion.</w:t>
      </w:r>
    </w:p>
    <w:p>
      <w:pPr>
        <w:spacing w:after="0" w:line="16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2011 Form 10-K,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monitor and evaluate opportunities to optimize our liquidity position and capital structure in order to strengthen our balance sheet. Maintaining minimal financial leverage remains a key strategic initiative. We continue to evaluate potential repayments of long-term obligations prior to maturity. Any such repayments may negatively affect our liquidity in the short-term.</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From time to time we consider the possibility of acquisitions, dispositions and strategic alliances that we believe would generate significant advantages and substantially strengthen our business. This may include additional loans or investments with our joint venture partners and may negatively impact our liquidity in the short-term. As previously mentioned, in February 2012 we entered into an agreement with PSA to create an alliance to leverage the strengths and capabilities of our two companies and acquired a seven percent equity stake in PSA for $0.4 billion.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41"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pursue various options to fund and derisk our pension plans. In May 2012 we entered into an agreement in which the U.S. salaried pension plan will purchase a group annuity contract from an insurance company to pay and administer future annuity payments to certain of our salaried retirees and expect to provide additional funding for the salaried pension plan in the range of $3.5 billion to $4.5 billion by December 31, 2012. Refer to Note 15 to our condensed consolidated financial statements for additional details on pension activities.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41"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420"/>
          </w:cols>
          <w:pgMar w:left="240" w:top="341" w:right="239" w:bottom="1068" w:gutter="0" w:footer="0" w:header="0"/>
        </w:sectPr>
      </w:pPr>
    </w:p>
    <w:p>
      <w:pPr>
        <w:spacing w:after="0" w:line="200" w:lineRule="exact"/>
        <w:rPr>
          <w:sz w:val="20"/>
          <w:szCs w:val="20"/>
          <w:color w:val="auto"/>
        </w:rPr>
      </w:pPr>
    </w:p>
    <w:p>
      <w:pPr>
        <w:spacing w:after="0" w:line="266" w:lineRule="exact"/>
        <w:rPr>
          <w:sz w:val="20"/>
          <w:szCs w:val="20"/>
          <w:color w:val="auto"/>
        </w:rPr>
      </w:pPr>
    </w:p>
    <w:p>
      <w:pPr>
        <w:ind w:right="1640"/>
        <w:spacing w:after="0" w:line="281" w:lineRule="auto"/>
        <w:rPr>
          <w:sz w:val="20"/>
          <w:szCs w:val="20"/>
          <w:color w:val="auto"/>
        </w:rPr>
      </w:pPr>
      <w:r>
        <w:rPr>
          <w:rFonts w:ascii="Arial" w:cs="Arial" w:eastAsia="Arial" w:hAnsi="Arial"/>
          <w:sz w:val="16"/>
          <w:szCs w:val="16"/>
          <w:b w:val="1"/>
          <w:bCs w:val="1"/>
          <w:color w:val="auto"/>
        </w:rPr>
        <w:t>Consolidating Statements of Cash Flows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operating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Acquisition of companies, net of cash acquired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Operating leases,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sale of business units/investments,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consumer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Principal collections and recoveries on consumer finance receivables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purchases of leased vehicles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investing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investing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Proceeds from issuance of debt (original maturities greater than three months)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on debt (original maturities greater than three months)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to acquire noncontrolling interest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issuance of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Effect of exchange rate changes on 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w:t>
      </w:r>
    </w:p>
    <w:p>
      <w:pPr>
        <w:spacing w:after="0" w:line="202" w:lineRule="exact"/>
        <w:rPr>
          <w:sz w:val="20"/>
          <w:szCs w:val="20"/>
          <w:color w:val="auto"/>
        </w:rPr>
      </w:pPr>
    </w:p>
    <w:p>
      <w:pPr>
        <w:ind w:left="40" w:right="1640" w:firstLine="135"/>
        <w:spacing w:after="0" w:line="422" w:lineRule="auto"/>
        <w:rPr>
          <w:sz w:val="20"/>
          <w:szCs w:val="20"/>
          <w:color w:val="auto"/>
        </w:rPr>
      </w:pPr>
      <w:r>
        <w:rPr>
          <w:rFonts w:ascii="Arial" w:cs="Arial" w:eastAsia="Arial" w:hAnsi="Arial"/>
          <w:sz w:val="11"/>
          <w:szCs w:val="11"/>
          <w:color w:val="auto"/>
        </w:rPr>
        <w:t>Net increase (decrease) in cash and cash equivalents Cash and cash equivalents at beginning of period</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jc w:val="right"/>
              <w:ind w:right="617"/>
              <w:spacing w:after="0"/>
              <w:rPr>
                <w:sz w:val="20"/>
                <w:szCs w:val="20"/>
                <w:color w:val="auto"/>
              </w:rPr>
            </w:pPr>
            <w:r>
              <w:rPr>
                <w:rFonts w:ascii="Arial" w:cs="Arial" w:eastAsia="Arial" w:hAnsi="Arial"/>
                <w:sz w:val="13"/>
                <w:szCs w:val="13"/>
                <w:b w:val="1"/>
                <w:bCs w:val="1"/>
                <w:color w:val="auto"/>
              </w:rPr>
              <w:t>Six Months Ended June 30, 2012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ind w:right="557"/>
              <w:spacing w:after="0"/>
              <w:rPr>
                <w:sz w:val="20"/>
                <w:szCs w:val="20"/>
                <w:color w:val="auto"/>
              </w:rPr>
            </w:pPr>
            <w:r>
              <w:rPr>
                <w:rFonts w:ascii="Arial" w:cs="Arial" w:eastAsia="Arial" w:hAnsi="Arial"/>
                <w:sz w:val="13"/>
                <w:szCs w:val="13"/>
                <w:b w:val="1"/>
                <w:bCs w:val="1"/>
                <w:color w:val="auto"/>
              </w:rPr>
              <w:t>Six Months Ended June 30, 2011</w:t>
            </w:r>
          </w:p>
        </w:tc>
      </w:tr>
      <w:tr>
        <w:trPr>
          <w:trHeight w:val="264"/>
        </w:trPr>
        <w:tc>
          <w:tcPr>
            <w:tcW w:w="12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Automotive</w:t>
            </w:r>
          </w:p>
        </w:tc>
        <w:tc>
          <w:tcPr>
            <w:tcW w:w="100" w:type="dxa"/>
            <w:vAlign w:val="bottom"/>
          </w:tcPr>
          <w:p>
            <w:pPr>
              <w:spacing w:after="0"/>
              <w:rPr>
                <w:sz w:val="22"/>
                <w:szCs w:val="22"/>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GM Financial</w:t>
            </w:r>
          </w:p>
        </w:tc>
        <w:tc>
          <w:tcPr>
            <w:tcW w:w="12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Automotive</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GM Financial</w:t>
            </w:r>
          </w:p>
        </w:tc>
        <w:tc>
          <w:tcPr>
            <w:tcW w:w="120" w:type="dxa"/>
            <w:vAlign w:val="bottom"/>
          </w:tcPr>
          <w:p>
            <w:pPr>
              <w:spacing w:after="0"/>
              <w:rPr>
                <w:sz w:val="22"/>
                <w:szCs w:val="22"/>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b w:val="1"/>
                <w:bCs w:val="1"/>
                <w:color w:val="auto"/>
                <w:w w:val="87"/>
              </w:rPr>
              <w:t>Consolidated</w:t>
            </w:r>
          </w:p>
        </w:tc>
      </w:tr>
      <w:tr>
        <w:trPr>
          <w:trHeight w:val="241"/>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6,032</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409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6,441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4,365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4,687</w:t>
            </w:r>
          </w:p>
        </w:tc>
      </w:tr>
      <w:tr>
        <w:trPr>
          <w:trHeight w:val="540"/>
        </w:trPr>
        <w:tc>
          <w:tcPr>
            <w:tcW w:w="1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(4,052)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(2,494)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(2,498)</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(2,928)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(12,993)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(12,993)</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(3,997)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(258)</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7,592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7,592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6,288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6,288</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3,625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3,625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269</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27</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4,778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4,778</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(311)</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366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488</w:t>
            </w:r>
          </w:p>
        </w:tc>
      </w:tr>
      <w:tr>
        <w:trPr>
          <w:trHeight w:val="270"/>
        </w:trPr>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(2,874)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(2,444)</w:t>
            </w:r>
          </w:p>
        </w:tc>
      </w:tr>
      <w:tr>
        <w:trPr>
          <w:trHeight w:val="270"/>
        </w:trPr>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2,040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2,040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1,880</w:t>
            </w:r>
          </w:p>
        </w:tc>
      </w:tr>
      <w:tr>
        <w:trPr>
          <w:trHeight w:val="270"/>
        </w:trPr>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(410)</w:t>
            </w:r>
          </w:p>
        </w:tc>
      </w:tr>
      <w:tr>
        <w:trPr>
          <w:trHeight w:val="280"/>
        </w:trPr>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w:t>
            </w:r>
          </w:p>
        </w:tc>
      </w:tr>
      <w:tr>
        <w:trPr>
          <w:trHeight w:val="241"/>
        </w:trPr>
        <w:tc>
          <w:tcPr>
            <w:tcW w:w="12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(5,187)</w:t>
            </w:r>
          </w:p>
        </w:tc>
      </w:tr>
      <w:tr>
        <w:trPr>
          <w:trHeight w:val="540"/>
        </w:trPr>
        <w:tc>
          <w:tcPr>
            <w:tcW w:w="1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216</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5,063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5,278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4,871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5,145</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(3,929)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(4,849)</w:t>
            </w:r>
          </w:p>
        </w:tc>
      </w:tr>
      <w:tr>
        <w:trPr>
          <w:trHeight w:val="270"/>
        </w:trPr>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(435)</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241"/>
        </w:trPr>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(545)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321</w:t>
            </w:r>
          </w:p>
        </w:tc>
      </w:tr>
      <w:tr>
        <w:trPr>
          <w:trHeight w:val="280"/>
        </w:trPr>
        <w:tc>
          <w:tcPr>
            <w:tcW w:w="1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41"/>
        </w:trPr>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5,733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6,113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(259)</w:t>
            </w:r>
          </w:p>
        </w:tc>
      </w:tr>
      <w:tr>
        <w:trPr>
          <w:trHeight w:val="280"/>
        </w:trPr>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15,499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16,071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21,061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21,256</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21,232</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952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22,184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20,471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20,997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-5333365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-4990465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-4647565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-4304665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-3961130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-3618230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-3275330</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-2932430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-2589530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-2245995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-1903095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-1560195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-1217295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-874395</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-530860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-187960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40" w:space="720"/>
            <w:col w:w="6260"/>
          </w:cols>
          <w:pgMar w:left="240" w:top="341" w:right="239" w:bottom="1068" w:gutter="0" w:footer="0" w:header="0"/>
          <w:type w:val="continuous"/>
        </w:sect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Available liquidity includes cash, cash equivalents and current marketable securities balances. At June 30, 2012 our available liquidity was $32.6 billion, excluding funds available under credit facilities of $5.8 billion. The amount of available liquidity is subject to intra-month and seasonal fluctuations and includes balances held by various business units and subsidiaries worldwide that are needed to fund their operations.</w:t>
      </w:r>
    </w:p>
    <w:p>
      <w:pPr>
        <w:spacing w:after="0" w:line="18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manage our liquidity primarily at our treasury centers as well as at certain of our significant consolidated overseas subsidiaries. Our cash equivalents and marketable securities balances include investments in U.S. government and agency obligations, foreign government securities, time deposits and certificates of deposits and corporate debt securities, and are primarily denominated in U.S. Dollars. Our investment guidelines, which we may change from time to time, prescribe certain minimum credit rating thresholds and limit our exposures to any particular sector, asset class, issuance or security type. Substantially all of our current investments in debt securities are with A/A2 or better rated issuers. We maintain cash balances and investments in certain foreign currencies, such as the CAD, to fund future payments on foreign currency denominated obligations thereby reducing a portion of the related foreign currency exposure. We actively monitor and manage our liquidity exposure to Europe which is related primarily to short-term bank deposits and short-term debt securities of high-quality European issuers. A portion of our total liquidity includes amounts deemed indefinitely reinvested in our foreign subsidiaries. We have used and will continue to use other methods including</w:t>
      </w:r>
    </w:p>
    <w:p>
      <w:pPr>
        <w:sectPr>
          <w:pgSz w:w="11900" w:h="16838" w:orient="portrait"/>
          <w:cols w:equalWidth="0" w:num="1">
            <w:col w:w="11420"/>
          </w:cols>
          <w:pgMar w:left="240" w:top="341" w:right="239" w:bottom="1068"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41" w:right="239" w:bottom="1068"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intercompany loans to utilize these funds across our global operations as needed. The following table summarizes our liquidity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15,499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16,148</w:t>
            </w: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31,647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5,867</w:t>
            </w: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37,514</w:t>
            </w: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primary borrowing capacity under these credit facilities comes from our $5.0 billion secured revolving credit facility. The balance of our credit facilities are geographically dispersed across all regions. The following tables summarize our committed and uncommitted credit facilities (dollars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4"/>
            <w:vMerge w:val="restart"/>
          </w:tcPr>
          <w:p>
            <w:pPr>
              <w:jc w:val="right"/>
              <w:ind w:right="734"/>
              <w:spacing w:after="0"/>
              <w:rPr>
                <w:sz w:val="20"/>
                <w:szCs w:val="20"/>
                <w:color w:val="auto"/>
              </w:rPr>
            </w:pPr>
            <w:r>
              <w:rPr>
                <w:rFonts w:ascii="Arial" w:cs="Arial" w:eastAsia="Arial" w:hAnsi="Arial"/>
                <w:sz w:val="14"/>
                <w:szCs w:val="14"/>
                <w:b w:val="1"/>
                <w:bCs w:val="1"/>
                <w:color w:val="auto"/>
              </w:rPr>
              <w:t>Total Credit Facilities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2"/>
              </w:rPr>
              <w:t>Amounts Available</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5"/>
              </w:rPr>
              <w:t>Under Credit Facilities</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2012</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2011</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Committed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Uncommitted</w:t>
            </w:r>
          </w:p>
        </w:tc>
        <w:tc>
          <w:tcPr>
            <w:tcW w:w="18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4"/>
            <w:vMerge w:val="restart"/>
          </w:tcPr>
          <w:p>
            <w:pPr>
              <w:jc w:val="right"/>
              <w:ind w:right="734"/>
              <w:spacing w:after="0"/>
              <w:rPr>
                <w:sz w:val="20"/>
                <w:szCs w:val="20"/>
                <w:color w:val="auto"/>
              </w:rPr>
            </w:pPr>
            <w:r>
              <w:rPr>
                <w:rFonts w:ascii="Arial" w:cs="Arial" w:eastAsia="Arial" w:hAnsi="Arial"/>
                <w:sz w:val="14"/>
                <w:szCs w:val="14"/>
                <w:b w:val="1"/>
                <w:bCs w:val="1"/>
                <w:color w:val="auto"/>
              </w:rPr>
              <w:t>Total Credit Facilities</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2"/>
              </w:rPr>
              <w:t>Amounts Available</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5"/>
              </w:rPr>
              <w:t>Under Credit Facilities</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2012</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2011</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revolving credit facility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Other(a)</w:t>
            </w:r>
          </w:p>
        </w:tc>
        <w:tc>
          <w:tcPr>
            <w:tcW w:w="18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Consists of credit facilities available at our foreign subsidiaries that are not individually significant.</w:t>
      </w:r>
    </w:p>
    <w:p>
      <w:pPr>
        <w:spacing w:after="0" w:line="217"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Our largest credit facility is our five year, $5.0 billion secured revolving credit facility which includes a letter of credit sub-facility of up to $500 million. Additionally, we can use collateral under the revolving credit facility to support other obligations of up to $2.0 billion. We continue to evaluate potential uses for this collateral which may strengthen our overall liquidity position without impacting our financial leverage. We entered into the secured revolving credit facility agreement in October 2010. While we do not believe that we will draw on the secured revolving credit facility to fund operating activities, the facility provides additional liquidity and financing flexibility. Availability under the secured revolving credit facility is subject to borrowing base restrictions. Our obligations under the secured revolving credit facility are guaranteed by certain of our domestic subsidiaries and secured by a substantial portion of our domestic assets excluding cash, cash equivalents, marketable securities and GM Financial. If we receive an investment grade corporate rating from two or more of the credit rating agencies: Fitch Ratings, Moody's Investor Service and Standard &amp; Poor's, we may no longer have to post collateral under the terms of the facility.</w:t>
      </w:r>
    </w:p>
    <w:p>
      <w:pPr>
        <w:spacing w:after="0" w:line="19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2012 net cash provided by operating activities increased by $1.7 billion due primarily to: (1) favorable changes in working capital of $1.1 billion including the termination of advance wholesale agreements in GMNA which adversely impacted working capital in 2011; and (2) other items of $0.6 billion which primarily included favorable net pension and OPEB activities of $0.4 billion and increased non-cash goodwill impairment charges of $0.2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2012 net cash provided by investing activities was $0.5 billion compared to net cash used in investing activities of $4.2 billion in the six months ended June 30, 2011 due primarily to: (1) proceeds in excess of new investments in marketable securities of $11.0 billion; partially offset by (2) proceeds received from the sale of our investments in New Delphi and Ally Financial preferred stock of $4.8 billion in 2011; and (3) increased capital expenditures of $1.6 billion as we continue to reinvest in our business.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six months ended June 30, 2012 net cash used in financing activities decreased $0.4 billion due primarily to: (1) additional payments on debt obligations of $0.7 billion in 2011 which included prepayments to retire debt facilities in GMSA; and (2) a payment to acquire an additional interest in GM Korea Company (GM Korea) of $0.1 billion in 2011; partially offset by (3) net decreases in short-term debt facilities of $0.4 billion.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Management believes free cash flow provides meaningful supplemental information regarding the liquidity of our automotive operations and its ability to generate sufficient cash flow above those required in our business to sustain our operations. We measure free cash flow as cash flow from operations adjusted for capital expenditures. While management believes that free cash flow provides useful information, it is not an operating measure under U.S. GAAP and there are limitations associated with its use. Our calculation of free cash flow may not be completely comparable to similarly titled measures of other companies due to potential differences between companies in the method of calculation. As a result the use of free cash flow has limitations and should not be considered in isolation from, or as a substitute for, other measures such as cash flows from operating activities. Due to these limitations, free cash flow is used as a supplement to U.S. GAAP measures. The following table summarizes free cash flow (dollars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948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r>
      <w:tr>
        <w:trPr>
          <w:trHeight w:val="250"/>
        </w:trPr>
        <w:tc>
          <w:tcPr>
            <w:tcW w:w="9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(2,494)</w:t>
            </w:r>
          </w:p>
        </w:tc>
      </w:tr>
      <w:tr>
        <w:trPr>
          <w:trHeight w:val="27"/>
        </w:trPr>
        <w:tc>
          <w:tcPr>
            <w:tcW w:w="9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1,871</w:t>
            </w: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primary sources of cash are finance charge income, servicing fees, net distributions from securitization trusts, borrowings under credit facilities, transfers of finance receivables to trusts in securitization transactions, collections and recoveries on finance receivables and net proceeds from senior notes transactions. GM Financial's primary uses of cash are purchases of finance receivables and leased assets, repayment of credit facilities, securitization of notes payable and other indebtedness, funding credit enhancement requirements for securitization transactions and credit facilities and operating expenses.</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used cash of $2.9 billion and $2.4 billion for the purchase of consumer finance receivables and $0.6 billion and $0.4 billion for the purchase of leased vehicles in the six months ended June 30, 2012 and 2011. GM Financial used cash of $0.2 billion for the purchase of commercial finance receivables in the three months ended June 30, 2012. These purchases were funded initially utilizing cash and borrowings under credit facilities and subsequently funded in securitization transactions. GM Financial received cash of $2.0 billion and $1.9 billion from collections and recoveries on receivables in the six months ended June 30, 2012 and 2011.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receivables</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387</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unpledged eligible leased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1,253</w:t>
            </w: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normal course of business, in addition to using available cash, GM Financial pledges receivables to and borrows under credit facilities to fund operations and repays these borrowings as appropriate under GM Financial's cash management strategy.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those credit facilities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5"/>
              </w:rPr>
              <w:t>Facility Amount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Advances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3"/>
              </w:rPr>
              <w:t>Facility Amount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Advances</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Outstanding</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U.S. lease warehouse facility(b)</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lease warehouse facility(c)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Medium-term note facility(d)</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funding facility</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May 2012 GM Financial increased the Syndicated warehouse facility amount from $2.0 billion to $2.5 billion and extended the maturity date to May 2013.</w:t>
      </w:r>
    </w:p>
    <w:p>
      <w:pPr>
        <w:spacing w:after="0" w:line="9"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January 2012 GM Financial extended the maturity date of the lease warehouse facility for lease originations in the U.S. to January 2013. Borrowings on the facility are collateralized by leased assets.</w:t>
      </w:r>
    </w:p>
    <w:p>
      <w:pPr>
        <w:jc w:val="both"/>
        <w:ind w:left="340" w:hanging="332"/>
        <w:spacing w:after="0" w:line="263" w:lineRule="auto"/>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July 2012 GM Financial increased the lease warehouse facility for lease originations in Canada from CAD $600 million to CAD $800 million and extended the maturity date to July 2013. Borrowings on this facility are collateralized by leased assets. The facility amount represents CAD $600 million at June 30, 2012 and December 31, 2011, and the advances outstanding amount represents CAD $314 million and CAD $185 million at June 30, 2012 and December 31, 2011.</w:t>
      </w:r>
    </w:p>
    <w:p>
      <w:pPr>
        <w:ind w:left="340" w:hanging="332"/>
        <w:spacing w:after="0" w:line="257"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18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is required to hold certain funds in restricted cash accounts to provide additional collateral for borrowings under the credit facilities and securitization notes payable. GM Financial's funding agreements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or, with respect to the syndicated warehouse facility, restrict GM Financial's ability to obtain additional borrowings.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commercial loans made by Ally Financial and outstanding with certain third parties excluding vehicle repurchase obligations, residual support and risk sharing related to Ally Financial. The maximum potential obligation under these commitments was $1.2 billion and $1.1 billion at June 30, 2012 and December 31, 2011.</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current agreement with Ally Financial requires the repurchase of Ally Financial financed inventory invoiced to dealers with limited exclusions, in the event of a qualifying voluntary or involuntary termination of the dealer's sales and service agreement. The repurchase obligation ended in August 2011 for vehicles invoiced through August 2010, ends in August 2012 for vehicles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41"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invoiced through August 2011 and ends in August 2013 for vehicles invoiced through August 2012.</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maximum potential amount of future payments required to be made to Ally Financial under this guarantee would be based on the repurchase value of total eligible vehicles financed by Ally Financial in dealer stock and is estimated to be $22.0 billion and $19.8 billion at June 30, 2012 and December 31, 2011. If vehicles are required to be repurchased under this arrangement, the total exposure would be reduced to the extent vehicles are able to be resold to another dealer or at auction. The fair value of the guarantee was $16 million and $17 million at June 30, 2012 and December 31, 2011 which considers the likelihood of dealers terminating and estimating the loss exposure for the ultimate disposition of vehicles.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Notes 17 and 22 to our condensed consolidated financial statements for additional information on guarantees we have provided.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Funding Requirements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July 6, 2012 the U.S. Government enacted the Moving Ahead for Progress in the 21st Century Act which allows plan sponsors funding relief for U.S. pension plans through the application of higher funding interest rates. As a result, under current economic conditions, we expect the new law to further delay required contributions to our U.S. pension plans. The new law does not impact our reported funded status or funding contemplated under our derisking initiatives as subsequently discussed.</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part of our overall balance sheet derisking strategy on June 1, 2012 we announced certain actions related to our U.S. salaried pension plan which we expect to complete in 2012. These actions include the offer of lump-sum payments to retirees and the purchase of annuities for the vast majority of the remaining salaried retiree obligation. To consummate the actions announced we expect that the additional funding for the salaried pension plan will be in the range of $3.5 billion to $4.5 billion subject to several factors including interest rates, salaried pension plan asset returns and the lump-sum election rate.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condensed consolidated financial statements for information regarding derivative fair value measurements.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declaration of any dividend on our common stock is a matter to be acted upon by our Board of Directors in its sole discretion. Since our formation we have not paid any dividends on our common stock and have no current plans to pay any dividends on our common stock. Our payment of dividends on our common stock in the future, if any, will be determined by our Board of Directors in its sole discretion out of funds legally available for that purpose and will depend on business conditions, our financial condition, earnings, liquidity and capital requirements, the covenants in our debt instruments and other factors.</w:t>
      </w:r>
    </w:p>
    <w:p>
      <w:pPr>
        <w:spacing w:after="0" w:line="15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So long as any share of our Series A or B Preferred Stock remains outstanding, no dividend or distribution may be declared or paid on our common stock unless all accrued and unpaid dividends have been paid on our Series A and B Preferred Stock, subject to exceptions, such as dividends on our common stock payable solely in shares of our common stock. Our secured revolving credit facility contains certain restrictions on our ability to pay dividends, subject to exceptions, such as dividends payable solely in shares of our common stock. So long as any share of our Series A Preferred Stock remains outstanding, no dividend or distribution may be declared or paid on our Series B Preferred Stock unless all accrued and unpaid dividends have been paid on our Series A Preferred Stock, subject to exceptions, such as dividends on our Series B Preferred Stock solely in shares of our common stock.</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dividends paid on our Series A and B Preferred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2011</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Stock(a)</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311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Series B Preferred Stock(b)</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124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Preferred Stock dividends paid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435</w:t>
            </w:r>
          </w:p>
        </w:tc>
        <w:tc>
          <w:tcPr>
            <w:tcW w:w="0" w:type="dxa"/>
            <w:vAlign w:val="bottom"/>
          </w:tcPr>
          <w:p>
            <w:pPr>
              <w:spacing w:after="0"/>
              <w:rPr>
                <w:sz w:val="1"/>
                <w:szCs w:val="1"/>
                <w:color w:val="auto"/>
              </w:rPr>
            </w:pPr>
          </w:p>
        </w:tc>
      </w:tr>
      <w:tr>
        <w:trPr>
          <w:trHeight w:val="20"/>
        </w:trPr>
        <w:tc>
          <w:tcPr>
            <w:tcW w:w="7440" w:type="dxa"/>
            <w:vAlign w:val="bottom"/>
            <w:vMerge w:val="restart"/>
          </w:tcPr>
          <w:p>
            <w:pPr>
              <w:jc w:val="right"/>
              <w:ind w:right="6450"/>
              <w:spacing w:after="0"/>
              <w:rPr>
                <w:sz w:val="20"/>
                <w:szCs w:val="20"/>
                <w:color w:val="auto"/>
              </w:rPr>
            </w:pPr>
            <w:r>
              <w:rPr>
                <w:rFonts w:ascii="Arial" w:cs="Arial" w:eastAsia="Arial" w:hAnsi="Arial"/>
                <w:sz w:val="18"/>
                <w:szCs w:val="18"/>
                <w:color w:val="auto"/>
                <w:w w:val="87"/>
              </w:rPr>
              <w:t>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Cumulative unpaid dividends on our Series A Preferred Stock were $26 million at June 30, 2012.</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Cumulative unpaid dividends on our Series B Preferred Stock were $20 million at June 30, 2012 and 2011.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1"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June 30, 2012 we employed 210,000 employees of whom 142,000 (68%) were hourly employees and 68,000 (32%) were salaried employees. The following table summarizes worldwide employment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2012</w:t>
            </w:r>
          </w:p>
        </w:tc>
        <w:tc>
          <w:tcPr>
            <w:tcW w:w="158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2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GME</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8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GMSA</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8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97"/>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w:t>
            </w:r>
          </w:p>
        </w:tc>
      </w:tr>
      <w:tr>
        <w:trPr>
          <w:trHeight w:val="257"/>
        </w:trPr>
        <w:tc>
          <w:tcPr>
            <w:tcW w:w="84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U.S. - Salaried</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8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 Hourly</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84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2011 Form 10-K, with updates to our critical accounting estimates related to events occurring subsequent to the filing of our 2011 Form 10-K discussed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We adopted the provisions of Accounting Standards Update 2010-28, "When to Perform Step 2 of the Goodwill Impairment Test for Reporting Units with Zero or Negative Carrying Amounts," on January 1, 2011 and performed Step 2 of the goodwill impairment testing for our GME reporting unit which had a negative carrying amount resulting in the recognition of a cumulative-effect adjustment to Retained earnings of $1.5 billion. In addition, in the three months ended March 31, 2012 and 2011 we performed event-driven goodwill impairment tests at our GME reporting unit which resulted in Goodwill impairment charges of $590 million and $395 million. At March 31, 2012 GME's Goodwill balance was $0. In the three months ended March 31 and June 30, 2012 we also performed event-driven goodwill impairment tests at our GM Korea reporting unit which resulted in a Goodwill impairment charge of $27 million in the three months ended March 31, 2012. Refer to Note 9 to our condensed consolidated financial statements for additional information on these Goodwill impairment charges, including assumptions utilized in determining the fair values of GME and GM Korea and the amounts of these reporting units' implied goodwill.</w:t>
      </w:r>
    </w:p>
    <w:p>
      <w:pPr>
        <w:spacing w:after="0" w:line="19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key assumptions utilized in determining the fair value-to-U.S. GAAP differences giving rise to the implied goodwill for GME and GM Korea are the determination of our nonperformance risk, interest rates, estimates of our employee benefit related obligations and/or the estimated timing of the utilization of our deferred tax assets, including our determination whether it is more likely than not that the deferred tax assets will be utilized. Of these factors, the amount of implied goodwill determined for GME is most sensitive to changes in our nonperformance risk, interest rates and estimates of our employee benefit related obligations. The amount of implied goodwill determined for GM Korea is most sensitive to our determination of whether it is more likely than not that its deferred tax assets will or will not be utilized.</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fair value estimates assume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Deferred Tax Assets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establish valuation allowances for deferred tax assets based on a more likely than not standard. The ability to realize deferred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tax assets depends on the ability to generate sufficient taxable income within the carryback or carryforward periods provided for in the tax law for each applicable tax jurisdiction. We consider the following possible sources of taxable income when assessing the realization of deferred tax assets:</w:t>
      </w:r>
    </w:p>
    <w:p>
      <w:pPr>
        <w:spacing w:after="0" w:line="14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Nature, frequency, and severity of recent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Near- and medium-term financial outlook.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It is difficult to conclude a valuation allowance is not required when there is significant objective and verifiable negative evidence, such as cumulative losses in recent years. We utilize a rolling three years of actual and current year anticipated results as the primary measure of cumulative losses in recent years.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evaluation of deferred tax assets requires judgment in assessing the likely future tax consequences of events that have been recognized in our financial statements or tax returns and future profitability. Our accounting for deferred tax consequences represents our best estimate of those future events. Changes in our current estimates, due to unanticipated events or otherwise, could have a material effect on our financial condition and results of operations.</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After many years of significant North American operating losses, our U.S. and Canadian operations have experienced profitability in 2010, 2011 and through the first half of 2012. We continue to believe it is more likely than not our U.S. and Canadian deferred tax assets will not be realized. However, to the extent positive evidence trends continue, our conclusion regarding the need for full valuation allowances could change leading to the reversal of a significant portion of our valuation allowances in 2012. At June 30, 2012 deferred tax asset valuation allowances for the U.S. and Canada were $36.2 billion and $3.1 billion.</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 valuation allowance environment, utilization of tax attributes to offset taxable income reduces the overall level of deferred tax assets subject to valuation allowance. Additionally, our recorded effective tax rate is lower than the applicable statutory tax rate, due primarily to income earned in jurisdictions for which a full valuation allowance is recorded. Our effective tax rate will approach the statutory tax rate in periods after valuation allowances are reversed. In the quarter in which valuation allowances are reversed, we will record a material tax benefit reflecting the reversal, which could result in a negative effective tax rate. Valuation allowance reversals could result in goodwill impairment. Refer to Note 9 to our condensed consolidated financial statements for additional information related to Goodwill impairment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this report and in reports we subsequently file and have previously filed with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1"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which may be revised or supplemented in subsequent reports on SEC Forms 10-K, 10-Q and 8-K, include among others the following:</w:t>
      </w:r>
    </w:p>
    <w:p>
      <w:pPr>
        <w:spacing w:after="0" w:line="225" w:lineRule="exact"/>
        <w:rPr>
          <w:sz w:val="20"/>
          <w:szCs w:val="20"/>
          <w:color w:val="auto"/>
        </w:rPr>
      </w:pPr>
    </w:p>
    <w:p>
      <w:pPr>
        <w:ind w:left="660" w:hanging="490"/>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117" w:lineRule="exact"/>
        <w:rPr>
          <w:rFonts w:ascii="Arial" w:cs="Arial" w:eastAsia="Arial" w:hAnsi="Arial"/>
          <w:sz w:val="18"/>
          <w:szCs w:val="18"/>
          <w:color w:val="auto"/>
        </w:rPr>
      </w:pPr>
    </w:p>
    <w:p>
      <w:pPr>
        <w:ind w:left="660" w:right="20" w:hanging="490"/>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38" w:lineRule="exact"/>
        <w:rPr>
          <w:rFonts w:ascii="Arial" w:cs="Arial" w:eastAsia="Arial" w:hAnsi="Arial"/>
          <w:sz w:val="17"/>
          <w:szCs w:val="17"/>
          <w:color w:val="auto"/>
        </w:rPr>
      </w:pPr>
    </w:p>
    <w:p>
      <w:pPr>
        <w:ind w:left="660" w:hanging="490"/>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take actions we believe are important to our long-term strategy;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 which may be reduced or suspended;</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through GM Financial;</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strength and stability of general economic conditions and of the automotive industry, both in the U.S. and in global markets, particularly Europe;</w:t>
      </w:r>
    </w:p>
    <w:p>
      <w:pPr>
        <w:spacing w:after="0" w:line="62" w:lineRule="exact"/>
        <w:rPr>
          <w:rFonts w:ascii="Arial" w:cs="Arial" w:eastAsia="Arial" w:hAnsi="Arial"/>
          <w:sz w:val="18"/>
          <w:szCs w:val="18"/>
          <w:color w:val="auto"/>
        </w:rPr>
      </w:pPr>
    </w:p>
    <w:p>
      <w:pPr>
        <w:ind w:left="660" w:hanging="490"/>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U.S., Europe and other global markets, including the credit markets, or changes in economic conditions, commodity prices, housing prices, foreign currency exchange rates or political stability in the markets in which we operate;</w:t>
      </w:r>
    </w:p>
    <w:p>
      <w:pPr>
        <w:spacing w:after="0" w:line="15"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changes in economic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ind w:left="660" w:right="20" w:hanging="490"/>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2011. Refer to Item 7A in our 2011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Our management, with the participation of our Chairman and CEO and Senior Vice President and CFO, evaluated the effectiveness of our disclosure controls and procedures (as defined in Rules 13a-15(e) or 15d-15(e) promulgated under the Exchange Act) at June 30, 2012. Based on this evaluation required by paragraph (b) of Rules 13a-15 or 15d-15, our CEO and CFO concluded that our disclosure controls and procedures were effective as of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June 30, 2012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discussion in the following paragraphs describes material legal proceedings that arose in the three months ended June 30, 2012 or provides an update of developments that have occurred in various material pending legal proceedings to which we are a party, other than ordinary routine litigation incidental to our business. The proceedings that are being updated are fully described in our 2011 Form 10-K as updated in our Form 10-Q for the period ended March 31, 2012. We and the other defendants affiliated with us intend to defend all of the following actions vigorously.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Export Antitrust Class Actions</w:t>
      </w:r>
    </w:p>
    <w:p>
      <w:pPr>
        <w:spacing w:after="0" w:line="22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 xml:space="preserve">As previously reported since January 1, 2001 approximately 80 class action cases have been filed on behalf of all purchasers of new motor vehicles in various U.S. state and federal courts against General Motors Corporation, General Motors of Canada Limited (GMCL), Ford Motor Company, Chrysler, LLC, Toyota Motor Corporation, Honda Motor Co., Ltd., Nissan Motor Company, Limited, and Bavarian Motor Works and their Canadian affiliates, the National Automobile Dealers Association and the Canadian Automobile Dealers Association. The nearly identical complaints alleged that the defendant manufacturers, aided by the association defendants, conspired among themselves and with their dealers to prevent the sale to U.S. citizens of vehicles produced for the Canadian market and sold by dealers in Canada. The complaints alleged that new vehicle prices in Canada are 10% to 30% lower than those in the U.S., and that preventing the sale of these vehicles to U.S. citizens resulted in the payment of higher than competitive prices by U.S. consumers. The complaints, as amended, sought injunctive relief under U.S. antitrust law and treble damages under U.S. and state antitrust laws, but did not specify damages. The complaints further alleged unjust enrichment and violations of state unfair trade practices act. The federal court actions were consolidated for coordinated pretrial proceedings under the caption </w:t>
      </w:r>
      <w:r>
        <w:rPr>
          <w:rFonts w:ascii="Arial" w:cs="Arial" w:eastAsia="Arial" w:hAnsi="Arial"/>
          <w:sz w:val="16"/>
          <w:szCs w:val="16"/>
          <w:i w:val="1"/>
          <w:iCs w:val="1"/>
          <w:color w:val="auto"/>
        </w:rPr>
        <w:t>In re New Market Vehicle Canadian Export Antitrust Litigation Cases</w:t>
      </w:r>
      <w:r>
        <w:rPr>
          <w:rFonts w:ascii="Arial" w:cs="Arial" w:eastAsia="Arial" w:hAnsi="Arial"/>
          <w:sz w:val="16"/>
          <w:szCs w:val="16"/>
          <w:color w:val="auto"/>
        </w:rPr>
        <w:t xml:space="preserve"> in the U.S. District Court for the District of Maine, but on July 2, 2009 the federal court granted summary judgment in favor of the defendants which concluded the federal actions.</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And as previously reported certain related class action cases were pending against the defendants in various U.S. state courts. GMCL without conceding liability agreed with plaintiffs to settle all remaining state court cases in the amount of $21 million with the settlement to be apportioned among the claimants, their lawyers and administrative costs. Lawyers representing the plaintiffs sought approval of the settlement by the state courts in late 2011. All courts have now approved the settlement and the funds will be disbursed as the claims, fees and administrative costs are confirmed.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 Management Securities Class Action</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On June 29, 2012 a putative securities class action was filed against us and a number of our past and current officers and directors in the United States District Court for the Southern District of New York (</w:t>
      </w:r>
      <w:r>
        <w:rPr>
          <w:rFonts w:ascii="Arial" w:cs="Arial" w:eastAsia="Arial" w:hAnsi="Arial"/>
          <w:sz w:val="17"/>
          <w:szCs w:val="17"/>
          <w:i w:val="1"/>
          <w:iCs w:val="1"/>
          <w:color w:val="auto"/>
        </w:rPr>
        <w:t>George G. Scott v. General Motors Company et al).</w:t>
      </w:r>
      <w:r>
        <w:rPr>
          <w:rFonts w:ascii="Arial" w:cs="Arial" w:eastAsia="Arial" w:hAnsi="Arial"/>
          <w:sz w:val="17"/>
          <w:szCs w:val="17"/>
          <w:color w:val="auto"/>
        </w:rPr>
        <w:t xml:space="preserve"> Purporting to sue on behalf of owners of common stock deriving from our 2010 initial public offering, plaintiff asserts non-fraud prospectus based liability claims under various Federal securities statutes alleging that the Company has made false statements about its vehicle inventory controls and production decisions, particularly with respect to full-size trucks. The plaintiff's complaint requests compensatory damages, rescission and litigations costs, fees and disbursements.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2011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41"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340" w:type="dxa"/>
            <w:vAlign w:val="bottom"/>
            <w:gridSpan w:val="3"/>
            <w:vMerge w:val="restart"/>
          </w:tcPr>
          <w:p>
            <w:pPr>
              <w:ind w:left="3940"/>
              <w:spacing w:after="0"/>
              <w:rPr>
                <w:sz w:val="20"/>
                <w:szCs w:val="20"/>
                <w:color w:val="auto"/>
              </w:rPr>
            </w:pPr>
            <w:r>
              <w:rPr>
                <w:rFonts w:ascii="Arial" w:cs="Arial" w:eastAsia="Arial" w:hAnsi="Arial"/>
                <w:sz w:val="14"/>
                <w:szCs w:val="14"/>
                <w:b w:val="1"/>
                <w:bCs w:val="1"/>
                <w:color w:val="auto"/>
              </w:rPr>
              <w:t>Exhibit Name</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8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10.1</w:t>
            </w:r>
          </w:p>
        </w:tc>
        <w:tc>
          <w:tcPr>
            <w:tcW w:w="680" w:type="dxa"/>
            <w:vAlign w:val="bottom"/>
          </w:tcPr>
          <w:p>
            <w:pPr>
              <w:spacing w:after="0"/>
              <w:rPr>
                <w:sz w:val="20"/>
                <w:szCs w:val="20"/>
                <w:color w:val="auto"/>
              </w:rPr>
            </w:pP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w w:val="94"/>
              </w:rPr>
              <w:t>Definitive Transaction Framework Agreement, dated as of May 30, 2012, by and among General Motors LLC, Prudential</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w w:val="96"/>
              </w:rPr>
              <w:t>Insurance Company of America, Prudential Financial, Inc. and State Street Bank and Trust Company, as Independent</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Fiduciary of the GM Retirement Program for Salaried Employees**</w:t>
            </w:r>
          </w:p>
        </w:tc>
        <w:tc>
          <w:tcPr>
            <w:tcW w:w="0" w:type="dxa"/>
            <w:vAlign w:val="bottom"/>
          </w:tcPr>
          <w:p>
            <w:pPr>
              <w:spacing w:after="0"/>
              <w:rPr>
                <w:sz w:val="1"/>
                <w:szCs w:val="1"/>
                <w:color w:val="auto"/>
              </w:rPr>
            </w:pPr>
          </w:p>
        </w:tc>
      </w:tr>
      <w:tr>
        <w:trPr>
          <w:trHeight w:val="257"/>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31.1</w:t>
            </w:r>
          </w:p>
        </w:tc>
        <w:tc>
          <w:tcPr>
            <w:tcW w:w="68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Section 302 Certification of the Chief Executive Officer</w:t>
            </w:r>
          </w:p>
        </w:tc>
        <w:tc>
          <w:tcPr>
            <w:tcW w:w="0" w:type="dxa"/>
            <w:vAlign w:val="bottom"/>
          </w:tcPr>
          <w:p>
            <w:pPr>
              <w:spacing w:after="0"/>
              <w:rPr>
                <w:sz w:val="1"/>
                <w:szCs w:val="1"/>
                <w:color w:val="auto"/>
              </w:rPr>
            </w:pPr>
          </w:p>
        </w:tc>
      </w:tr>
      <w:tr>
        <w:trPr>
          <w:trHeight w:val="459"/>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680" w:type="dxa"/>
            <w:vAlign w:val="bottom"/>
          </w:tcPr>
          <w:p>
            <w:pPr>
              <w:spacing w:after="0"/>
              <w:rPr>
                <w:sz w:val="24"/>
                <w:szCs w:val="24"/>
                <w:color w:val="auto"/>
              </w:rPr>
            </w:pP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Section 302 Certification of the Chief Financial Officer</w:t>
            </w:r>
          </w:p>
        </w:tc>
        <w:tc>
          <w:tcPr>
            <w:tcW w:w="0" w:type="dxa"/>
            <w:vAlign w:val="bottom"/>
          </w:tcPr>
          <w:p>
            <w:pPr>
              <w:spacing w:after="0"/>
              <w:rPr>
                <w:sz w:val="1"/>
                <w:szCs w:val="1"/>
                <w:color w:val="auto"/>
              </w:rPr>
            </w:pPr>
          </w:p>
        </w:tc>
      </w:tr>
      <w:tr>
        <w:trPr>
          <w:trHeight w:val="455"/>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32.1</w:t>
            </w:r>
          </w:p>
        </w:tc>
        <w:tc>
          <w:tcPr>
            <w:tcW w:w="680" w:type="dxa"/>
            <w:vAlign w:val="bottom"/>
          </w:tcPr>
          <w:p>
            <w:pPr>
              <w:spacing w:after="0"/>
              <w:rPr>
                <w:sz w:val="24"/>
                <w:szCs w:val="24"/>
                <w:color w:val="auto"/>
              </w:rPr>
            </w:pP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w w:val="92"/>
              </w:rPr>
              <w:t>Certification of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455"/>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680" w:type="dxa"/>
            <w:vAlign w:val="bottom"/>
          </w:tcPr>
          <w:p>
            <w:pPr>
              <w:spacing w:after="0"/>
              <w:rPr>
                <w:sz w:val="24"/>
                <w:szCs w:val="24"/>
                <w:color w:val="auto"/>
              </w:rPr>
            </w:pP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w w:val="93"/>
              </w:rPr>
              <w:t>Certification of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340" w:type="dxa"/>
            <w:vAlign w:val="bottom"/>
            <w:gridSpan w:val="3"/>
          </w:tcPr>
          <w:p>
            <w:pPr>
              <w:ind w:left="30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452"/>
        </w:trPr>
        <w:tc>
          <w:tcPr>
            <w:tcW w:w="1220" w:type="dxa"/>
            <w:vAlign w:val="bottom"/>
            <w:gridSpan w:val="3"/>
          </w:tcPr>
          <w:p>
            <w:pPr>
              <w:spacing w:after="0"/>
              <w:rPr>
                <w:sz w:val="20"/>
                <w:szCs w:val="20"/>
                <w:color w:val="auto"/>
              </w:rPr>
            </w:pPr>
            <w:r>
              <w:rPr>
                <w:rFonts w:ascii="Arial" w:cs="Arial" w:eastAsia="Arial" w:hAnsi="Arial"/>
                <w:sz w:val="18"/>
                <w:szCs w:val="18"/>
                <w:color w:val="auto"/>
              </w:rPr>
              <w:t>__________</w:t>
            </w:r>
          </w:p>
        </w:tc>
        <w:tc>
          <w:tcPr>
            <w:tcW w:w="3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tab/>
        <w:t>Confidential treatment has been requested for portions of this agreement.</w:t>
      </w:r>
    </w:p>
    <w:p>
      <w:pPr>
        <w:spacing w:after="0" w:line="17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Filed Herewith</w:t>
      </w:r>
    </w:p>
    <w:p>
      <w:pPr>
        <w:spacing w:after="0" w:line="200" w:lineRule="exact"/>
        <w:rPr>
          <w:sz w:val="20"/>
          <w:szCs w:val="20"/>
          <w:color w:val="auto"/>
        </w:rPr>
      </w:pPr>
    </w:p>
    <w:p>
      <w:pPr>
        <w:spacing w:after="0" w:line="289"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Filed Herewith</w:t>
      </w:r>
    </w:p>
    <w:p>
      <w:pPr>
        <w:spacing w:after="0" w:line="287"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Filed Herewith</w:t>
      </w:r>
    </w:p>
    <w:p>
      <w:pPr>
        <w:spacing w:after="0" w:line="287"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Filed Herewith</w:t>
      </w:r>
    </w:p>
    <w:p>
      <w:pPr>
        <w:spacing w:after="0" w:line="200" w:lineRule="exact"/>
        <w:rPr>
          <w:sz w:val="20"/>
          <w:szCs w:val="20"/>
          <w:color w:val="auto"/>
        </w:rPr>
      </w:pPr>
    </w:p>
    <w:p>
      <w:pPr>
        <w:spacing w:after="0" w:line="289"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Filed Herewith</w:t>
      </w:r>
    </w:p>
    <w:p>
      <w:pPr>
        <w:spacing w:after="0" w:line="200" w:lineRule="exact"/>
        <w:rPr>
          <w:sz w:val="20"/>
          <w:szCs w:val="20"/>
          <w:color w:val="auto"/>
        </w:rPr>
      </w:pPr>
    </w:p>
    <w:p>
      <w:pPr>
        <w:spacing w:after="0" w:line="2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Furnished with this Report</w:t>
      </w:r>
    </w:p>
    <w:p>
      <w:pPr>
        <w:spacing w:after="0" w:line="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Furnished with this Report</w:t>
      </w:r>
    </w:p>
    <w:p>
      <w:pPr>
        <w:spacing w:after="0" w:line="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Furnished with this Report</w:t>
      </w:r>
    </w:p>
    <w:p>
      <w:pPr>
        <w:spacing w:after="0" w:line="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Furnished with this Report</w:t>
      </w:r>
    </w:p>
    <w:p>
      <w:pPr>
        <w:spacing w:after="0" w:line="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Furnished with this Report</w:t>
      </w:r>
    </w:p>
    <w:p>
      <w:pPr>
        <w:spacing w:after="0" w:line="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Furnished with this Report</w:t>
      </w:r>
    </w:p>
    <w:p>
      <w:pPr>
        <w:spacing w:after="0" w:line="1168" w:lineRule="exact"/>
        <w:rPr>
          <w:sz w:val="20"/>
          <w:szCs w:val="20"/>
          <w:color w:val="auto"/>
        </w:rPr>
      </w:pPr>
    </w:p>
    <w:p>
      <w:pPr>
        <w:sectPr>
          <w:pgSz w:w="11900" w:h="16838" w:orient="portrait"/>
          <w:cols w:equalWidth="0" w:num="2">
            <w:col w:w="9560" w:space="300"/>
            <w:col w:w="1240"/>
          </w:cols>
          <w:pgMar w:left="240" w:top="341" w:right="5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00"/>
          </w:cols>
          <w:pgMar w:left="240" w:top="341" w:right="55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5760"/>
        <w:spacing w:after="0"/>
        <w:tabs>
          <w:tab w:leader="none" w:pos="6200" w:val="left"/>
        </w:tabs>
        <w:rPr>
          <w:sz w:val="20"/>
          <w:szCs w:val="20"/>
          <w:color w:val="auto"/>
        </w:rPr>
      </w:pPr>
      <w:r>
        <w:rPr>
          <w:rFonts w:ascii="Arial" w:cs="Arial" w:eastAsia="Arial" w:hAnsi="Arial"/>
          <w:sz w:val="18"/>
          <w:szCs w:val="18"/>
          <w:color w:val="auto"/>
        </w:rPr>
        <w:t>By:</w:t>
        <w:tab/>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31750</wp:posOffset>
            </wp:positionV>
            <wp:extent cx="23837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Nick S. Cyprus, Vice President, Controller and</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3, 2012</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341" w:right="29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DEFINITIVE TRANSACTION FRAMEWORK AGREEMENT</w:t>
      </w:r>
    </w:p>
    <w:p>
      <w:pPr>
        <w:spacing w:after="0" w:line="200" w:lineRule="exact"/>
        <w:rPr>
          <w:sz w:val="20"/>
          <w:szCs w:val="20"/>
          <w:color w:val="auto"/>
        </w:rPr>
      </w:pPr>
    </w:p>
    <w:p>
      <w:pPr>
        <w:spacing w:after="0" w:line="236"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BY AND AMONG</w:t>
      </w:r>
    </w:p>
    <w:p>
      <w:pPr>
        <w:spacing w:after="0" w:line="200" w:lineRule="exact"/>
        <w:rPr>
          <w:sz w:val="20"/>
          <w:szCs w:val="20"/>
          <w:color w:val="auto"/>
        </w:rPr>
      </w:pPr>
    </w:p>
    <w:p>
      <w:pPr>
        <w:spacing w:after="0" w:line="236"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GENERAL MOTORS LLC,</w:t>
      </w:r>
    </w:p>
    <w:p>
      <w:pPr>
        <w:spacing w:after="0" w:line="200" w:lineRule="exact"/>
        <w:rPr>
          <w:sz w:val="20"/>
          <w:szCs w:val="20"/>
          <w:color w:val="auto"/>
        </w:rPr>
      </w:pPr>
    </w:p>
    <w:p>
      <w:pPr>
        <w:spacing w:after="0" w:line="236"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STATE STREET BANK AND TRUST COMPANY,</w:t>
      </w:r>
    </w:p>
    <w:p>
      <w:pPr>
        <w:spacing w:after="0" w:line="200" w:lineRule="exact"/>
        <w:rPr>
          <w:sz w:val="20"/>
          <w:szCs w:val="20"/>
          <w:color w:val="auto"/>
        </w:rPr>
      </w:pPr>
    </w:p>
    <w:p>
      <w:pPr>
        <w:spacing w:after="0" w:line="236" w:lineRule="exact"/>
        <w:rPr>
          <w:sz w:val="20"/>
          <w:szCs w:val="20"/>
          <w:color w:val="auto"/>
        </w:rPr>
      </w:pPr>
    </w:p>
    <w:p>
      <w:pPr>
        <w:ind w:left="1560"/>
        <w:spacing w:after="0"/>
        <w:rPr>
          <w:sz w:val="20"/>
          <w:szCs w:val="20"/>
          <w:color w:val="auto"/>
        </w:rPr>
      </w:pPr>
      <w:r>
        <w:rPr>
          <w:rFonts w:ascii="Arial" w:cs="Arial" w:eastAsia="Arial" w:hAnsi="Arial"/>
          <w:sz w:val="22"/>
          <w:szCs w:val="22"/>
          <w:b w:val="1"/>
          <w:bCs w:val="1"/>
          <w:color w:val="auto"/>
        </w:rPr>
        <w:t>THE PRUDENTIAL INSURANCE COMPANY OF AMERICA</w:t>
      </w:r>
    </w:p>
    <w:p>
      <w:pPr>
        <w:spacing w:after="0" w:line="200" w:lineRule="exact"/>
        <w:rPr>
          <w:sz w:val="20"/>
          <w:szCs w:val="20"/>
          <w:color w:val="auto"/>
        </w:rPr>
      </w:pPr>
    </w:p>
    <w:p>
      <w:pPr>
        <w:spacing w:after="0" w:line="236"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PRUDENTIAL FINANCIAL,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May 30,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440"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340"/>
          </w:cols>
          <w:pgMar w:left="28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color w:val="auto"/>
        </w:rPr>
        <w:t>Section 1.1</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Section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Section 2.1</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Section 2.2</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Section 2.3</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Section 2.4</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Section 2.5</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Section 2.6</w:t>
      </w:r>
    </w:p>
    <w:p>
      <w:pPr>
        <w:spacing w:after="0" w:line="164" w:lineRule="exact"/>
        <w:rPr>
          <w:sz w:val="20"/>
          <w:szCs w:val="20"/>
          <w:color w:val="auto"/>
        </w:rPr>
      </w:pPr>
    </w:p>
    <w:p>
      <w:pPr>
        <w:ind w:right="100"/>
        <w:spacing w:after="0" w:line="387" w:lineRule="auto"/>
        <w:rPr>
          <w:sz w:val="20"/>
          <w:szCs w:val="20"/>
          <w:color w:val="auto"/>
        </w:rPr>
      </w:pPr>
      <w:r>
        <w:rPr>
          <w:rFonts w:ascii="Arial" w:cs="Arial" w:eastAsia="Arial" w:hAnsi="Arial"/>
          <w:sz w:val="19"/>
          <w:szCs w:val="19"/>
          <w:color w:val="auto"/>
        </w:rPr>
        <w:t>Section 2.7 Section 2.8</w:t>
      </w:r>
    </w:p>
    <w:p>
      <w:pPr>
        <w:spacing w:after="0" w:line="106" w:lineRule="exact"/>
        <w:rPr>
          <w:sz w:val="20"/>
          <w:szCs w:val="20"/>
          <w:color w:val="auto"/>
        </w:rPr>
      </w:pPr>
    </w:p>
    <w:p>
      <w:pPr>
        <w:spacing w:after="0" w:line="357" w:lineRule="auto"/>
        <w:rPr>
          <w:sz w:val="20"/>
          <w:szCs w:val="20"/>
          <w:color w:val="auto"/>
        </w:rPr>
      </w:pPr>
      <w:r>
        <w:rPr>
          <w:rFonts w:ascii="Arial" w:cs="Arial" w:eastAsia="Arial" w:hAnsi="Arial"/>
          <w:sz w:val="19"/>
          <w:szCs w:val="19"/>
          <w:color w:val="auto"/>
        </w:rPr>
        <w:t>Section 2.9 Section 2.10 Section 2.11</w:t>
      </w:r>
    </w:p>
    <w:p>
      <w:pPr>
        <w:spacing w:after="0" w:line="24" w:lineRule="exact"/>
        <w:rPr>
          <w:sz w:val="20"/>
          <w:szCs w:val="20"/>
          <w:color w:val="auto"/>
        </w:rPr>
      </w:pPr>
    </w:p>
    <w:p>
      <w:pPr>
        <w:spacing w:after="0" w:line="387" w:lineRule="auto"/>
        <w:rPr>
          <w:sz w:val="20"/>
          <w:szCs w:val="20"/>
          <w:color w:val="auto"/>
        </w:rPr>
      </w:pPr>
      <w:r>
        <w:rPr>
          <w:rFonts w:ascii="Arial" w:cs="Arial" w:eastAsia="Arial" w:hAnsi="Arial"/>
          <w:sz w:val="19"/>
          <w:szCs w:val="19"/>
          <w:color w:val="auto"/>
        </w:rPr>
        <w:t>Section 2.12 Section 2.13</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Section 2.14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Section 2.15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Section 2.16</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Section 2.17</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Section 2.18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Section 2.19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Section 2.20</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Section 2.21</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Section 2.22</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Section 2.23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Section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159"/>
        <w:spacing w:after="0"/>
        <w:rPr>
          <w:sz w:val="20"/>
          <w:szCs w:val="20"/>
          <w:color w:val="auto"/>
        </w:rPr>
      </w:pPr>
      <w:r>
        <w:rPr>
          <w:rFonts w:ascii="Arial" w:cs="Arial" w:eastAsia="Arial" w:hAnsi="Arial"/>
          <w:sz w:val="22"/>
          <w:szCs w:val="22"/>
          <w:color w:val="auto"/>
        </w:rPr>
        <w:t>ARTICLE I</w:t>
      </w:r>
    </w:p>
    <w:p>
      <w:pPr>
        <w:spacing w:after="0" w:line="44" w:lineRule="exact"/>
        <w:rPr>
          <w:sz w:val="20"/>
          <w:szCs w:val="20"/>
          <w:color w:val="auto"/>
        </w:rPr>
      </w:pPr>
    </w:p>
    <w:p>
      <w:pPr>
        <w:jc w:val="center"/>
        <w:ind w:left="-159"/>
        <w:spacing w:after="0"/>
        <w:rPr>
          <w:sz w:val="20"/>
          <w:szCs w:val="20"/>
          <w:color w:val="auto"/>
        </w:rPr>
      </w:pPr>
      <w:r>
        <w:rPr>
          <w:rFonts w:ascii="Arial" w:cs="Arial" w:eastAsia="Arial" w:hAnsi="Arial"/>
          <w:sz w:val="22"/>
          <w:szCs w:val="22"/>
          <w:color w:val="auto"/>
        </w:rPr>
        <w:t>DEFINITIONS AND INTERPRETATION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Definitions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Interpretation</w:t>
      </w:r>
    </w:p>
    <w:p>
      <w:pPr>
        <w:spacing w:after="0" w:line="200" w:lineRule="exact"/>
        <w:rPr>
          <w:sz w:val="20"/>
          <w:szCs w:val="20"/>
          <w:color w:val="auto"/>
        </w:rPr>
      </w:pPr>
    </w:p>
    <w:p>
      <w:pPr>
        <w:spacing w:after="0" w:line="344" w:lineRule="exact"/>
        <w:rPr>
          <w:sz w:val="20"/>
          <w:szCs w:val="20"/>
          <w:color w:val="auto"/>
        </w:rPr>
      </w:pPr>
    </w:p>
    <w:p>
      <w:pPr>
        <w:jc w:val="center"/>
        <w:ind w:left="-159"/>
        <w:spacing w:after="0"/>
        <w:rPr>
          <w:sz w:val="20"/>
          <w:szCs w:val="20"/>
          <w:color w:val="auto"/>
        </w:rPr>
      </w:pPr>
      <w:r>
        <w:rPr>
          <w:rFonts w:ascii="Arial" w:cs="Arial" w:eastAsia="Arial" w:hAnsi="Arial"/>
          <w:sz w:val="22"/>
          <w:szCs w:val="22"/>
          <w:color w:val="auto"/>
        </w:rPr>
        <w:t>ARTICLE II</w:t>
      </w:r>
    </w:p>
    <w:p>
      <w:pPr>
        <w:spacing w:after="0" w:line="44" w:lineRule="exact"/>
        <w:rPr>
          <w:sz w:val="20"/>
          <w:szCs w:val="20"/>
          <w:color w:val="auto"/>
        </w:rPr>
      </w:pPr>
    </w:p>
    <w:p>
      <w:pPr>
        <w:jc w:val="center"/>
        <w:ind w:left="-159"/>
        <w:spacing w:after="0"/>
        <w:rPr>
          <w:sz w:val="20"/>
          <w:szCs w:val="20"/>
          <w:color w:val="auto"/>
        </w:rPr>
      </w:pPr>
      <w:r>
        <w:rPr>
          <w:rFonts w:ascii="Arial" w:cs="Arial" w:eastAsia="Arial" w:hAnsi="Arial"/>
          <w:sz w:val="22"/>
          <w:szCs w:val="22"/>
          <w:color w:val="auto"/>
        </w:rPr>
        <w:t>PURCHASE OF SINGLE PREMIUM GROUP ANNUITY CONTRACT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Closing</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Deliveries at Closing</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Final Plan Portfolio and Contract 300 Portfolio 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Calculation of Base Annuity Premium and Solicited Adjusted Annuity Premium</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Calculation of Revised Base Annuity Premium</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Determination and Valuation of Final Plan Portfolio</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Calculation of Dry-Run Closing Premiums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Calculation of the Preliminary Closing Premium and Revised Preliminary Closing Premium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Calculation of the Closing Final Premium</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Interim Post-Closing Final Premium</w:t>
      </w:r>
    </w:p>
    <w:p>
      <w:pPr>
        <w:spacing w:after="0" w:line="44" w:lineRule="exact"/>
        <w:rPr>
          <w:sz w:val="20"/>
          <w:szCs w:val="20"/>
          <w:color w:val="auto"/>
        </w:rPr>
      </w:pPr>
    </w:p>
    <w:p>
      <w:pPr>
        <w:ind w:right="2140"/>
        <w:spacing w:after="0" w:line="385" w:lineRule="auto"/>
        <w:rPr>
          <w:sz w:val="20"/>
          <w:szCs w:val="20"/>
          <w:color w:val="auto"/>
        </w:rPr>
      </w:pPr>
      <w:r>
        <w:rPr>
          <w:rFonts w:ascii="Arial" w:cs="Arial" w:eastAsia="Arial" w:hAnsi="Arial"/>
          <w:sz w:val="19"/>
          <w:szCs w:val="19"/>
          <w:color w:val="auto"/>
        </w:rPr>
        <w:t>Final Valuation of Final Plan Portfolio and Post-Closing Final Premium Post-Closing Final Premium and Closing Asset Valuation Disputes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True-Up Payment Upon Resolution of Post-Closing Final Premium and Closing Asset Valuation Disputes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TCF</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Access and Cooperation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Data Updates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Business Day Adjustments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Adjustment to the Target Closing Date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Amendments to the Group Annuity Contract</w:t>
      </w:r>
    </w:p>
    <w:p>
      <w:pPr>
        <w:spacing w:after="0" w:line="44" w:lineRule="exact"/>
        <w:rPr>
          <w:sz w:val="20"/>
          <w:szCs w:val="20"/>
          <w:color w:val="auto"/>
        </w:rPr>
      </w:pPr>
    </w:p>
    <w:p>
      <w:pPr>
        <w:ind w:left="60" w:right="2740" w:hanging="53"/>
        <w:spacing w:after="0" w:line="302" w:lineRule="auto"/>
        <w:rPr>
          <w:sz w:val="20"/>
          <w:szCs w:val="20"/>
          <w:color w:val="auto"/>
        </w:rPr>
      </w:pPr>
      <w:r>
        <w:rPr>
          <w:rFonts w:ascii="Arial" w:cs="Arial" w:eastAsia="Arial" w:hAnsi="Arial"/>
          <w:sz w:val="22"/>
          <w:szCs w:val="22"/>
          <w:color w:val="auto"/>
        </w:rPr>
        <w:t>Amendments to the Procedures Manual and Identified CD-ROM [ *** ]</w:t>
      </w:r>
    </w:p>
    <w:p>
      <w:pPr>
        <w:spacing w:after="0" w:line="66" w:lineRule="exact"/>
        <w:rPr>
          <w:sz w:val="20"/>
          <w:szCs w:val="20"/>
          <w:color w:val="auto"/>
        </w:rPr>
      </w:pPr>
    </w:p>
    <w:p>
      <w:pPr>
        <w:ind w:right="2520"/>
        <w:spacing w:after="0" w:line="302" w:lineRule="auto"/>
        <w:rPr>
          <w:sz w:val="20"/>
          <w:szCs w:val="20"/>
          <w:color w:val="auto"/>
        </w:rPr>
      </w:pPr>
      <w:r>
        <w:rPr>
          <w:rFonts w:ascii="Arial" w:cs="Arial" w:eastAsia="Arial" w:hAnsi="Arial"/>
          <w:sz w:val="22"/>
          <w:szCs w:val="22"/>
          <w:color w:val="auto"/>
        </w:rPr>
        <w:t>Return of Additional Premium Due To Late Discovery of Mortality Reimbursement of [ *** ]</w:t>
      </w:r>
    </w:p>
    <w:p>
      <w:pPr>
        <w:spacing w:after="0" w:line="349" w:lineRule="exact"/>
        <w:rPr>
          <w:sz w:val="20"/>
          <w:szCs w:val="20"/>
          <w:color w:val="auto"/>
        </w:rPr>
      </w:pPr>
    </w:p>
    <w:p>
      <w:pPr>
        <w:jc w:val="center"/>
        <w:ind w:left="-159"/>
        <w:spacing w:after="0"/>
        <w:rPr>
          <w:sz w:val="20"/>
          <w:szCs w:val="20"/>
          <w:color w:val="auto"/>
        </w:rPr>
      </w:pPr>
      <w:r>
        <w:rPr>
          <w:rFonts w:ascii="Arial" w:cs="Arial" w:eastAsia="Arial" w:hAnsi="Arial"/>
          <w:sz w:val="22"/>
          <w:szCs w:val="22"/>
          <w:color w:val="auto"/>
        </w:rPr>
        <w:t>ARTICLE III</w:t>
      </w:r>
    </w:p>
    <w:p>
      <w:pPr>
        <w:spacing w:after="0" w:line="44" w:lineRule="exact"/>
        <w:rPr>
          <w:sz w:val="20"/>
          <w:szCs w:val="20"/>
          <w:color w:val="auto"/>
        </w:rPr>
      </w:pPr>
    </w:p>
    <w:p>
      <w:pPr>
        <w:ind w:right="1500" w:firstLine="1637"/>
        <w:spacing w:after="0" w:line="328" w:lineRule="auto"/>
        <w:rPr>
          <w:sz w:val="20"/>
          <w:szCs w:val="20"/>
          <w:color w:val="auto"/>
        </w:rPr>
      </w:pPr>
      <w:r>
        <w:rPr>
          <w:rFonts w:ascii="Arial" w:cs="Arial" w:eastAsia="Arial" w:hAnsi="Arial"/>
          <w:sz w:val="21"/>
          <w:szCs w:val="21"/>
          <w:color w:val="auto"/>
        </w:rPr>
        <w:t>COMPANY'S REPRESENTATIONS AND WARRANTIES Due Organization, Good Standing and Corporate Power</w:t>
      </w:r>
    </w:p>
    <w:p>
      <w:pPr>
        <w:spacing w:after="0" w:line="2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192" w:lineRule="exact"/>
        <w:rPr>
          <w:sz w:val="20"/>
          <w:szCs w:val="20"/>
          <w:color w:val="auto"/>
        </w:rPr>
      </w:pPr>
    </w:p>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2</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21</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22</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23</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23</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26</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27</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29</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30</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31</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33</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34</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35</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36</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36</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37</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37</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37</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37</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37</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38</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38</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39</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39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40</w:t>
        </w:r>
      </w:hyperlink>
    </w:p>
    <w:p>
      <w:pPr>
        <w:sectPr>
          <w:pgSz w:w="11900" w:h="16838" w:orient="portrait"/>
          <w:cols w:equalWidth="0" w:num="3">
            <w:col w:w="1080" w:space="640"/>
            <w:col w:w="8340" w:space="200"/>
            <w:col w:w="1080"/>
          </w:cols>
          <w:pgMar w:left="280" w:top="121" w:right="27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860" w:type="dxa"/>
            <w:vAlign w:val="bottom"/>
          </w:tcPr>
          <w:p>
            <w:pPr>
              <w:jc w:val="center"/>
              <w:ind w:right="192"/>
              <w:spacing w:after="0"/>
              <w:rPr>
                <w:sz w:val="20"/>
                <w:szCs w:val="20"/>
                <w:color w:val="auto"/>
              </w:rPr>
            </w:pPr>
            <w:r>
              <w:rPr>
                <w:rFonts w:ascii="Arial" w:cs="Arial" w:eastAsia="Arial" w:hAnsi="Arial"/>
                <w:sz w:val="18"/>
                <w:szCs w:val="18"/>
                <w:b w:val="1"/>
                <w:bCs w:val="1"/>
                <w:color w:val="auto"/>
                <w:w w:val="98"/>
              </w:rPr>
              <w:t>TABLE OF CONTENTS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400" w:type="dxa"/>
            <w:vAlign w:val="bottom"/>
          </w:tcPr>
          <w:p>
            <w:pPr>
              <w:spacing w:after="0"/>
              <w:rPr>
                <w:sz w:val="20"/>
                <w:szCs w:val="20"/>
                <w:color w:val="auto"/>
              </w:rPr>
            </w:pPr>
            <w:r>
              <w:rPr>
                <w:rFonts w:ascii="Arial" w:cs="Arial" w:eastAsia="Arial" w:hAnsi="Arial"/>
                <w:sz w:val="22"/>
                <w:szCs w:val="22"/>
                <w:color w:val="auto"/>
              </w:rPr>
              <w:t>Section 3.2</w:t>
            </w:r>
          </w:p>
        </w:tc>
        <w:tc>
          <w:tcPr>
            <w:tcW w:w="8860" w:type="dxa"/>
            <w:vAlign w:val="bottom"/>
          </w:tcPr>
          <w:p>
            <w:pPr>
              <w:ind w:left="320"/>
              <w:spacing w:after="0"/>
              <w:rPr>
                <w:sz w:val="20"/>
                <w:szCs w:val="20"/>
                <w:color w:val="auto"/>
              </w:rPr>
            </w:pPr>
            <w:r>
              <w:rPr>
                <w:rFonts w:ascii="Arial" w:cs="Arial" w:eastAsia="Arial" w:hAnsi="Arial"/>
                <w:sz w:val="22"/>
                <w:szCs w:val="22"/>
                <w:color w:val="auto"/>
              </w:rPr>
              <w:t>Authorization of Agreement; Enforceability</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5">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3.3</w:t>
            </w:r>
          </w:p>
        </w:tc>
        <w:tc>
          <w:tcPr>
            <w:tcW w:w="8860" w:type="dxa"/>
            <w:vAlign w:val="bottom"/>
          </w:tcPr>
          <w:p>
            <w:pPr>
              <w:ind w:left="320"/>
              <w:spacing w:after="0"/>
              <w:rPr>
                <w:sz w:val="20"/>
                <w:szCs w:val="20"/>
                <w:color w:val="auto"/>
              </w:rPr>
            </w:pPr>
            <w:r>
              <w:rPr>
                <w:rFonts w:ascii="Arial" w:cs="Arial" w:eastAsia="Arial" w:hAnsi="Arial"/>
                <w:sz w:val="22"/>
                <w:szCs w:val="22"/>
                <w:color w:val="auto"/>
              </w:rPr>
              <w:t>Consents And Approvals; No Violations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5">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3.4</w:t>
            </w:r>
          </w:p>
        </w:tc>
        <w:tc>
          <w:tcPr>
            <w:tcW w:w="8860" w:type="dxa"/>
            <w:vAlign w:val="bottom"/>
          </w:tcPr>
          <w:p>
            <w:pPr>
              <w:ind w:left="320"/>
              <w:spacing w:after="0"/>
              <w:rPr>
                <w:sz w:val="20"/>
                <w:szCs w:val="20"/>
                <w:color w:val="auto"/>
              </w:rPr>
            </w:pPr>
            <w:r>
              <w:rPr>
                <w:rFonts w:ascii="Arial" w:cs="Arial" w:eastAsia="Arial" w:hAnsi="Arial"/>
                <w:sz w:val="22"/>
                <w:szCs w:val="22"/>
                <w:color w:val="auto"/>
              </w:rPr>
              <w:t>Compliance with ERISA and Code</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6">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328"/>
        </w:trPr>
        <w:tc>
          <w:tcPr>
            <w:tcW w:w="1400" w:type="dxa"/>
            <w:vAlign w:val="bottom"/>
            <w:vMerge w:val="restart"/>
          </w:tcPr>
          <w:p>
            <w:pPr>
              <w:spacing w:after="0"/>
              <w:rPr>
                <w:sz w:val="20"/>
                <w:szCs w:val="20"/>
                <w:color w:val="auto"/>
              </w:rPr>
            </w:pPr>
            <w:r>
              <w:rPr>
                <w:rFonts w:ascii="Arial" w:cs="Arial" w:eastAsia="Arial" w:hAnsi="Arial"/>
                <w:sz w:val="22"/>
                <w:szCs w:val="22"/>
                <w:color w:val="auto"/>
              </w:rPr>
              <w:t>Section 3.5</w:t>
            </w:r>
          </w:p>
        </w:tc>
        <w:tc>
          <w:tcPr>
            <w:tcW w:w="8860" w:type="dxa"/>
            <w:vAlign w:val="bottom"/>
          </w:tcPr>
          <w:p>
            <w:pPr>
              <w:ind w:left="320"/>
              <w:spacing w:after="0"/>
              <w:rPr>
                <w:sz w:val="20"/>
                <w:szCs w:val="20"/>
                <w:color w:val="auto"/>
              </w:rPr>
            </w:pPr>
            <w:r>
              <w:rPr>
                <w:rFonts w:ascii="Arial" w:cs="Arial" w:eastAsia="Arial" w:hAnsi="Arial"/>
                <w:sz w:val="22"/>
                <w:szCs w:val="22"/>
                <w:color w:val="auto"/>
              </w:rPr>
              <w:t>No Brokers' Fee</w:t>
            </w:r>
          </w:p>
        </w:tc>
        <w:tc>
          <w:tcPr>
            <w:tcW w:w="180" w:type="dxa"/>
            <w:vAlign w:val="bottom"/>
            <w:vMerge w:val="restart"/>
          </w:tcPr>
          <w:p>
            <w:pPr>
              <w:jc w:val="right"/>
              <w:spacing w:after="0"/>
              <w:rPr>
                <w:rFonts w:ascii="Arial" w:cs="Arial" w:eastAsia="Arial" w:hAnsi="Arial"/>
                <w:sz w:val="18"/>
                <w:szCs w:val="18"/>
                <w:color w:val="0000FF"/>
                <w:w w:val="79"/>
              </w:rPr>
            </w:pPr>
            <w:hyperlink w:anchor="page136">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63"/>
        </w:trPr>
        <w:tc>
          <w:tcPr>
            <w:tcW w:w="1400" w:type="dxa"/>
            <w:vAlign w:val="bottom"/>
            <w:vMerge w:val="continue"/>
          </w:tcPr>
          <w:p>
            <w:pPr>
              <w:spacing w:after="0"/>
              <w:rPr>
                <w:sz w:val="5"/>
                <w:szCs w:val="5"/>
                <w:color w:val="auto"/>
              </w:rPr>
            </w:pPr>
          </w:p>
        </w:tc>
        <w:tc>
          <w:tcPr>
            <w:tcW w:w="8860" w:type="dxa"/>
            <w:vAlign w:val="bottom"/>
          </w:tcPr>
          <w:p>
            <w:pPr>
              <w:spacing w:after="0"/>
              <w:rPr>
                <w:sz w:val="5"/>
                <w:szCs w:val="5"/>
                <w:color w:val="auto"/>
              </w:rPr>
            </w:pPr>
          </w:p>
        </w:tc>
        <w:tc>
          <w:tcPr>
            <w:tcW w:w="180" w:type="dxa"/>
            <w:vAlign w:val="bottom"/>
            <w:tcBorders>
              <w:bottom w:val="single" w:sz="8" w:color="0000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3.6</w:t>
            </w:r>
          </w:p>
        </w:tc>
        <w:tc>
          <w:tcPr>
            <w:tcW w:w="8860" w:type="dxa"/>
            <w:vAlign w:val="bottom"/>
          </w:tcPr>
          <w:p>
            <w:pPr>
              <w:ind w:left="320"/>
              <w:spacing w:after="0"/>
              <w:rPr>
                <w:sz w:val="20"/>
                <w:szCs w:val="20"/>
                <w:color w:val="auto"/>
              </w:rPr>
            </w:pPr>
            <w:r>
              <w:rPr>
                <w:rFonts w:ascii="Arial" w:cs="Arial" w:eastAsia="Arial" w:hAnsi="Arial"/>
                <w:sz w:val="22"/>
                <w:szCs w:val="22"/>
                <w:color w:val="auto"/>
              </w:rPr>
              <w:t>No Discretionary Authority</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6">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3.7</w:t>
            </w:r>
          </w:p>
        </w:tc>
        <w:tc>
          <w:tcPr>
            <w:tcW w:w="8860" w:type="dxa"/>
            <w:vAlign w:val="bottom"/>
          </w:tcPr>
          <w:p>
            <w:pPr>
              <w:ind w:left="320"/>
              <w:spacing w:after="0"/>
              <w:rPr>
                <w:sz w:val="20"/>
                <w:szCs w:val="20"/>
                <w:color w:val="auto"/>
              </w:rPr>
            </w:pPr>
            <w:r>
              <w:rPr>
                <w:rFonts w:ascii="Arial" w:cs="Arial" w:eastAsia="Arial" w:hAnsi="Arial"/>
                <w:sz w:val="22"/>
                <w:szCs w:val="22"/>
                <w:color w:val="auto"/>
              </w:rPr>
              <w:t>Accuracy of Information</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6">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3.8</w:t>
            </w:r>
          </w:p>
        </w:tc>
        <w:tc>
          <w:tcPr>
            <w:tcW w:w="8860" w:type="dxa"/>
            <w:vAlign w:val="bottom"/>
          </w:tcPr>
          <w:p>
            <w:pPr>
              <w:ind w:left="320"/>
              <w:spacing w:after="0"/>
              <w:rPr>
                <w:sz w:val="20"/>
                <w:szCs w:val="20"/>
                <w:color w:val="auto"/>
              </w:rPr>
            </w:pPr>
            <w:r>
              <w:rPr>
                <w:rFonts w:ascii="Arial" w:cs="Arial" w:eastAsia="Arial" w:hAnsi="Arial"/>
                <w:sz w:val="22"/>
                <w:szCs w:val="22"/>
                <w:color w:val="auto"/>
              </w:rPr>
              <w:t>Parent Liquidity Position</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6">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3.9</w:t>
            </w:r>
          </w:p>
        </w:tc>
        <w:tc>
          <w:tcPr>
            <w:tcW w:w="8860" w:type="dxa"/>
            <w:vAlign w:val="bottom"/>
          </w:tcPr>
          <w:p>
            <w:pPr>
              <w:ind w:left="320"/>
              <w:spacing w:after="0"/>
              <w:rPr>
                <w:sz w:val="20"/>
                <w:szCs w:val="20"/>
                <w:color w:val="auto"/>
              </w:rPr>
            </w:pPr>
            <w:r>
              <w:rPr>
                <w:rFonts w:ascii="Arial" w:cs="Arial" w:eastAsia="Arial" w:hAnsi="Arial"/>
                <w:sz w:val="22"/>
                <w:szCs w:val="22"/>
                <w:color w:val="auto"/>
              </w:rPr>
              <w:t>Delivery of Plan</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6">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3.10</w:t>
            </w:r>
          </w:p>
        </w:tc>
        <w:tc>
          <w:tcPr>
            <w:tcW w:w="8860" w:type="dxa"/>
            <w:vAlign w:val="bottom"/>
          </w:tcPr>
          <w:p>
            <w:pPr>
              <w:ind w:left="320"/>
              <w:spacing w:after="0"/>
              <w:rPr>
                <w:sz w:val="20"/>
                <w:szCs w:val="20"/>
                <w:color w:val="auto"/>
              </w:rPr>
            </w:pPr>
            <w:r>
              <w:rPr>
                <w:rFonts w:ascii="Arial" w:cs="Arial" w:eastAsia="Arial" w:hAnsi="Arial"/>
                <w:sz w:val="22"/>
                <w:szCs w:val="22"/>
                <w:color w:val="auto"/>
              </w:rPr>
              <w:t>Settlement Accounting</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6">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328"/>
        </w:trPr>
        <w:tc>
          <w:tcPr>
            <w:tcW w:w="1400" w:type="dxa"/>
            <w:vAlign w:val="bottom"/>
            <w:vMerge w:val="restart"/>
          </w:tcPr>
          <w:p>
            <w:pPr>
              <w:spacing w:after="0"/>
              <w:rPr>
                <w:sz w:val="20"/>
                <w:szCs w:val="20"/>
                <w:color w:val="auto"/>
              </w:rPr>
            </w:pPr>
            <w:r>
              <w:rPr>
                <w:rFonts w:ascii="Arial" w:cs="Arial" w:eastAsia="Arial" w:hAnsi="Arial"/>
                <w:sz w:val="22"/>
                <w:szCs w:val="22"/>
                <w:color w:val="auto"/>
              </w:rPr>
              <w:t>Section 3.11</w:t>
            </w:r>
          </w:p>
        </w:tc>
        <w:tc>
          <w:tcPr>
            <w:tcW w:w="8860" w:type="dxa"/>
            <w:vAlign w:val="bottom"/>
          </w:tcPr>
          <w:p>
            <w:pPr>
              <w:ind w:left="320"/>
              <w:spacing w:after="0"/>
              <w:rPr>
                <w:sz w:val="20"/>
                <w:szCs w:val="20"/>
                <w:color w:val="auto"/>
              </w:rPr>
            </w:pPr>
            <w:r>
              <w:rPr>
                <w:rFonts w:ascii="Arial" w:cs="Arial" w:eastAsia="Arial" w:hAnsi="Arial"/>
                <w:sz w:val="22"/>
                <w:szCs w:val="22"/>
                <w:color w:val="auto"/>
              </w:rPr>
              <w:t>No Other Representations or Warranties; Reliance</w:t>
            </w:r>
          </w:p>
        </w:tc>
        <w:tc>
          <w:tcPr>
            <w:tcW w:w="180" w:type="dxa"/>
            <w:vAlign w:val="bottom"/>
            <w:vMerge w:val="restart"/>
          </w:tcPr>
          <w:p>
            <w:pPr>
              <w:jc w:val="right"/>
              <w:spacing w:after="0"/>
              <w:rPr>
                <w:rFonts w:ascii="Arial" w:cs="Arial" w:eastAsia="Arial" w:hAnsi="Arial"/>
                <w:sz w:val="18"/>
                <w:szCs w:val="18"/>
                <w:color w:val="0000FF"/>
                <w:w w:val="79"/>
              </w:rPr>
            </w:pPr>
            <w:hyperlink w:anchor="page137">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63"/>
        </w:trPr>
        <w:tc>
          <w:tcPr>
            <w:tcW w:w="1400" w:type="dxa"/>
            <w:vAlign w:val="bottom"/>
            <w:vMerge w:val="continue"/>
          </w:tcPr>
          <w:p>
            <w:pPr>
              <w:spacing w:after="0"/>
              <w:rPr>
                <w:sz w:val="5"/>
                <w:szCs w:val="5"/>
                <w:color w:val="auto"/>
              </w:rPr>
            </w:pPr>
          </w:p>
        </w:tc>
        <w:tc>
          <w:tcPr>
            <w:tcW w:w="8860" w:type="dxa"/>
            <w:vAlign w:val="bottom"/>
          </w:tcPr>
          <w:p>
            <w:pPr>
              <w:spacing w:after="0"/>
              <w:rPr>
                <w:sz w:val="5"/>
                <w:szCs w:val="5"/>
                <w:color w:val="auto"/>
              </w:rPr>
            </w:pPr>
          </w:p>
        </w:tc>
        <w:tc>
          <w:tcPr>
            <w:tcW w:w="180" w:type="dxa"/>
            <w:vAlign w:val="bottom"/>
            <w:tcBorders>
              <w:bottom w:val="single" w:sz="8" w:color="0000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9"/>
        </w:trPr>
        <w:tc>
          <w:tcPr>
            <w:tcW w:w="1400" w:type="dxa"/>
            <w:vAlign w:val="bottom"/>
          </w:tcPr>
          <w:p>
            <w:pPr>
              <w:spacing w:after="0"/>
              <w:rPr>
                <w:sz w:val="24"/>
                <w:szCs w:val="24"/>
                <w:color w:val="auto"/>
              </w:rPr>
            </w:pPr>
          </w:p>
        </w:tc>
        <w:tc>
          <w:tcPr>
            <w:tcW w:w="8860" w:type="dxa"/>
            <w:vAlign w:val="bottom"/>
          </w:tcPr>
          <w:p>
            <w:pPr>
              <w:jc w:val="center"/>
              <w:ind w:left="172"/>
              <w:spacing w:after="0"/>
              <w:rPr>
                <w:sz w:val="20"/>
                <w:szCs w:val="20"/>
                <w:color w:val="auto"/>
              </w:rPr>
            </w:pPr>
            <w:r>
              <w:rPr>
                <w:rFonts w:ascii="Arial" w:cs="Arial" w:eastAsia="Arial" w:hAnsi="Arial"/>
                <w:sz w:val="22"/>
                <w:szCs w:val="22"/>
                <w:color w:val="auto"/>
                <w:w w:val="98"/>
              </w:rPr>
              <w:t>ARTICLE IV</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8860" w:type="dxa"/>
            <w:vAlign w:val="bottom"/>
          </w:tcPr>
          <w:p>
            <w:pPr>
              <w:jc w:val="center"/>
              <w:ind w:right="212"/>
              <w:spacing w:after="0"/>
              <w:rPr>
                <w:sz w:val="20"/>
                <w:szCs w:val="20"/>
                <w:color w:val="auto"/>
              </w:rPr>
            </w:pPr>
            <w:r>
              <w:rPr>
                <w:rFonts w:ascii="Arial" w:cs="Arial" w:eastAsia="Arial" w:hAnsi="Arial"/>
                <w:sz w:val="22"/>
                <w:szCs w:val="22"/>
                <w:color w:val="auto"/>
                <w:w w:val="94"/>
              </w:rPr>
              <w:t>INDEPENDENT FIDUCIARY'S REPRESENTATIONS AND WARRANTIES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line="246" w:lineRule="exact"/>
              <w:rPr>
                <w:sz w:val="20"/>
                <w:szCs w:val="20"/>
                <w:color w:val="auto"/>
              </w:rPr>
            </w:pPr>
            <w:r>
              <w:rPr>
                <w:rFonts w:ascii="Arial" w:cs="Arial" w:eastAsia="Arial" w:hAnsi="Arial"/>
                <w:sz w:val="22"/>
                <w:szCs w:val="22"/>
                <w:color w:val="auto"/>
              </w:rPr>
              <w:t>Section 4.1</w:t>
            </w:r>
          </w:p>
        </w:tc>
        <w:tc>
          <w:tcPr>
            <w:tcW w:w="8860" w:type="dxa"/>
            <w:vAlign w:val="bottom"/>
          </w:tcPr>
          <w:p>
            <w:pPr>
              <w:ind w:left="320"/>
              <w:spacing w:after="0" w:line="246" w:lineRule="exact"/>
              <w:rPr>
                <w:sz w:val="20"/>
                <w:szCs w:val="20"/>
                <w:color w:val="auto"/>
              </w:rPr>
            </w:pPr>
            <w:r>
              <w:rPr>
                <w:rFonts w:ascii="Arial" w:cs="Arial" w:eastAsia="Arial" w:hAnsi="Arial"/>
                <w:sz w:val="22"/>
                <w:szCs w:val="22"/>
                <w:color w:val="auto"/>
              </w:rPr>
              <w:t>Due Organization, Good Standing and Corporate Power</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7">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4.2</w:t>
            </w:r>
          </w:p>
        </w:tc>
        <w:tc>
          <w:tcPr>
            <w:tcW w:w="8860" w:type="dxa"/>
            <w:vAlign w:val="bottom"/>
          </w:tcPr>
          <w:p>
            <w:pPr>
              <w:ind w:left="320"/>
              <w:spacing w:after="0"/>
              <w:rPr>
                <w:sz w:val="20"/>
                <w:szCs w:val="20"/>
                <w:color w:val="auto"/>
              </w:rPr>
            </w:pPr>
            <w:r>
              <w:rPr>
                <w:rFonts w:ascii="Arial" w:cs="Arial" w:eastAsia="Arial" w:hAnsi="Arial"/>
                <w:sz w:val="22"/>
                <w:szCs w:val="22"/>
                <w:color w:val="auto"/>
              </w:rPr>
              <w:t>Authorization of Agreement; Enforceability</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7">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4.3</w:t>
            </w:r>
          </w:p>
        </w:tc>
        <w:tc>
          <w:tcPr>
            <w:tcW w:w="8860" w:type="dxa"/>
            <w:vAlign w:val="bottom"/>
          </w:tcPr>
          <w:p>
            <w:pPr>
              <w:ind w:left="320"/>
              <w:spacing w:after="0"/>
              <w:rPr>
                <w:sz w:val="20"/>
                <w:szCs w:val="20"/>
                <w:color w:val="auto"/>
              </w:rPr>
            </w:pPr>
            <w:r>
              <w:rPr>
                <w:rFonts w:ascii="Arial" w:cs="Arial" w:eastAsia="Arial" w:hAnsi="Arial"/>
                <w:sz w:val="22"/>
                <w:szCs w:val="22"/>
                <w:color w:val="auto"/>
              </w:rPr>
              <w:t>Consents And Approvals; No Violations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8">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4.4</w:t>
            </w:r>
          </w:p>
        </w:tc>
        <w:tc>
          <w:tcPr>
            <w:tcW w:w="8860" w:type="dxa"/>
            <w:vAlign w:val="bottom"/>
          </w:tcPr>
          <w:p>
            <w:pPr>
              <w:ind w:left="320"/>
              <w:spacing w:after="0"/>
              <w:rPr>
                <w:sz w:val="20"/>
                <w:szCs w:val="20"/>
                <w:color w:val="auto"/>
              </w:rPr>
            </w:pPr>
            <w:r>
              <w:rPr>
                <w:rFonts w:ascii="Arial" w:cs="Arial" w:eastAsia="Arial" w:hAnsi="Arial"/>
                <w:sz w:val="22"/>
                <w:szCs w:val="22"/>
                <w:color w:val="auto"/>
              </w:rPr>
              <w:t>ERISA Related Determinations.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8">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4.5</w:t>
            </w:r>
          </w:p>
        </w:tc>
        <w:tc>
          <w:tcPr>
            <w:tcW w:w="8860" w:type="dxa"/>
            <w:vAlign w:val="bottom"/>
          </w:tcPr>
          <w:p>
            <w:pPr>
              <w:ind w:left="320"/>
              <w:spacing w:after="0"/>
              <w:rPr>
                <w:sz w:val="20"/>
                <w:szCs w:val="20"/>
                <w:color w:val="auto"/>
              </w:rPr>
            </w:pPr>
            <w:r>
              <w:rPr>
                <w:rFonts w:ascii="Arial" w:cs="Arial" w:eastAsia="Arial" w:hAnsi="Arial"/>
                <w:sz w:val="22"/>
                <w:szCs w:val="22"/>
                <w:color w:val="auto"/>
              </w:rPr>
              <w:t>No Brokers' Fee</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8">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4.6</w:t>
            </w:r>
          </w:p>
        </w:tc>
        <w:tc>
          <w:tcPr>
            <w:tcW w:w="8860" w:type="dxa"/>
            <w:vAlign w:val="bottom"/>
          </w:tcPr>
          <w:p>
            <w:pPr>
              <w:ind w:left="320"/>
              <w:spacing w:after="0"/>
              <w:rPr>
                <w:sz w:val="20"/>
                <w:szCs w:val="20"/>
                <w:color w:val="auto"/>
              </w:rPr>
            </w:pPr>
            <w:r>
              <w:rPr>
                <w:rFonts w:ascii="Arial" w:cs="Arial" w:eastAsia="Arial" w:hAnsi="Arial"/>
                <w:sz w:val="22"/>
                <w:szCs w:val="22"/>
                <w:color w:val="auto"/>
              </w:rPr>
              <w:t>No Other Representations or Warranties; Reliance</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9">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719"/>
        </w:trPr>
        <w:tc>
          <w:tcPr>
            <w:tcW w:w="1400" w:type="dxa"/>
            <w:vAlign w:val="bottom"/>
          </w:tcPr>
          <w:p>
            <w:pPr>
              <w:spacing w:after="0"/>
              <w:rPr>
                <w:sz w:val="24"/>
                <w:szCs w:val="24"/>
                <w:color w:val="auto"/>
              </w:rPr>
            </w:pPr>
          </w:p>
        </w:tc>
        <w:tc>
          <w:tcPr>
            <w:tcW w:w="8860" w:type="dxa"/>
            <w:vAlign w:val="bottom"/>
          </w:tcPr>
          <w:p>
            <w:pPr>
              <w:jc w:val="center"/>
              <w:ind w:left="152"/>
              <w:spacing w:after="0"/>
              <w:rPr>
                <w:sz w:val="20"/>
                <w:szCs w:val="20"/>
                <w:color w:val="auto"/>
              </w:rPr>
            </w:pPr>
            <w:r>
              <w:rPr>
                <w:rFonts w:ascii="Arial" w:cs="Arial" w:eastAsia="Arial" w:hAnsi="Arial"/>
                <w:sz w:val="22"/>
                <w:szCs w:val="22"/>
                <w:color w:val="auto"/>
                <w:w w:val="98"/>
              </w:rPr>
              <w:t>ARTICLE V</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8860" w:type="dxa"/>
            <w:vAlign w:val="bottom"/>
          </w:tcPr>
          <w:p>
            <w:pPr>
              <w:jc w:val="center"/>
              <w:ind w:right="192"/>
              <w:spacing w:after="0"/>
              <w:rPr>
                <w:sz w:val="20"/>
                <w:szCs w:val="20"/>
                <w:color w:val="auto"/>
              </w:rPr>
            </w:pPr>
            <w:r>
              <w:rPr>
                <w:rFonts w:ascii="Arial" w:cs="Arial" w:eastAsia="Arial" w:hAnsi="Arial"/>
                <w:sz w:val="22"/>
                <w:szCs w:val="22"/>
                <w:color w:val="auto"/>
                <w:w w:val="93"/>
              </w:rPr>
              <w:t>INSURER AND INSURER PARENT REPRESENTATIONS AND WARRANTIES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line="246" w:lineRule="exact"/>
              <w:rPr>
                <w:sz w:val="20"/>
                <w:szCs w:val="20"/>
                <w:color w:val="auto"/>
              </w:rPr>
            </w:pPr>
            <w:r>
              <w:rPr>
                <w:rFonts w:ascii="Arial" w:cs="Arial" w:eastAsia="Arial" w:hAnsi="Arial"/>
                <w:sz w:val="22"/>
                <w:szCs w:val="22"/>
                <w:color w:val="auto"/>
              </w:rPr>
              <w:t>Section 5.1</w:t>
            </w:r>
          </w:p>
        </w:tc>
        <w:tc>
          <w:tcPr>
            <w:tcW w:w="8860" w:type="dxa"/>
            <w:vAlign w:val="bottom"/>
          </w:tcPr>
          <w:p>
            <w:pPr>
              <w:ind w:left="320"/>
              <w:spacing w:after="0" w:line="246" w:lineRule="exact"/>
              <w:rPr>
                <w:sz w:val="20"/>
                <w:szCs w:val="20"/>
                <w:color w:val="auto"/>
              </w:rPr>
            </w:pPr>
            <w:r>
              <w:rPr>
                <w:rFonts w:ascii="Arial" w:cs="Arial" w:eastAsia="Arial" w:hAnsi="Arial"/>
                <w:sz w:val="22"/>
                <w:szCs w:val="22"/>
                <w:color w:val="auto"/>
              </w:rPr>
              <w:t>Due Organization, Good Standing and Corporate Power</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9">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5.2</w:t>
            </w:r>
          </w:p>
        </w:tc>
        <w:tc>
          <w:tcPr>
            <w:tcW w:w="8860" w:type="dxa"/>
            <w:vAlign w:val="bottom"/>
          </w:tcPr>
          <w:p>
            <w:pPr>
              <w:ind w:left="320"/>
              <w:spacing w:after="0"/>
              <w:rPr>
                <w:sz w:val="20"/>
                <w:szCs w:val="20"/>
                <w:color w:val="auto"/>
              </w:rPr>
            </w:pPr>
            <w:r>
              <w:rPr>
                <w:rFonts w:ascii="Arial" w:cs="Arial" w:eastAsia="Arial" w:hAnsi="Arial"/>
                <w:sz w:val="22"/>
                <w:szCs w:val="22"/>
                <w:color w:val="auto"/>
              </w:rPr>
              <w:t>Authorization of Agreement; Enforceability</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9">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5.3</w:t>
            </w:r>
          </w:p>
        </w:tc>
        <w:tc>
          <w:tcPr>
            <w:tcW w:w="8860" w:type="dxa"/>
            <w:vAlign w:val="bottom"/>
          </w:tcPr>
          <w:p>
            <w:pPr>
              <w:ind w:left="320"/>
              <w:spacing w:after="0"/>
              <w:rPr>
                <w:sz w:val="20"/>
                <w:szCs w:val="20"/>
                <w:color w:val="auto"/>
              </w:rPr>
            </w:pPr>
            <w:r>
              <w:rPr>
                <w:rFonts w:ascii="Arial" w:cs="Arial" w:eastAsia="Arial" w:hAnsi="Arial"/>
                <w:sz w:val="22"/>
                <w:szCs w:val="22"/>
                <w:color w:val="auto"/>
              </w:rPr>
              <w:t>Consents And Approvals; No Violations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9">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328"/>
        </w:trPr>
        <w:tc>
          <w:tcPr>
            <w:tcW w:w="1400" w:type="dxa"/>
            <w:vAlign w:val="bottom"/>
            <w:vMerge w:val="restart"/>
          </w:tcPr>
          <w:p>
            <w:pPr>
              <w:spacing w:after="0"/>
              <w:rPr>
                <w:sz w:val="20"/>
                <w:szCs w:val="20"/>
                <w:color w:val="auto"/>
              </w:rPr>
            </w:pPr>
            <w:r>
              <w:rPr>
                <w:rFonts w:ascii="Arial" w:cs="Arial" w:eastAsia="Arial" w:hAnsi="Arial"/>
                <w:sz w:val="22"/>
                <w:szCs w:val="22"/>
                <w:color w:val="auto"/>
              </w:rPr>
              <w:t>Section 5.4</w:t>
            </w:r>
          </w:p>
        </w:tc>
        <w:tc>
          <w:tcPr>
            <w:tcW w:w="8860" w:type="dxa"/>
            <w:vAlign w:val="bottom"/>
          </w:tcPr>
          <w:p>
            <w:pPr>
              <w:ind w:left="320"/>
              <w:spacing w:after="0"/>
              <w:rPr>
                <w:sz w:val="20"/>
                <w:szCs w:val="20"/>
                <w:color w:val="auto"/>
              </w:rPr>
            </w:pPr>
            <w:r>
              <w:rPr>
                <w:rFonts w:ascii="Arial" w:cs="Arial" w:eastAsia="Arial" w:hAnsi="Arial"/>
                <w:sz w:val="22"/>
                <w:szCs w:val="22"/>
                <w:color w:val="auto"/>
              </w:rPr>
              <w:t>Enforceability of Group Annuity Contract</w:t>
            </w:r>
          </w:p>
        </w:tc>
        <w:tc>
          <w:tcPr>
            <w:tcW w:w="180" w:type="dxa"/>
            <w:vAlign w:val="bottom"/>
            <w:vMerge w:val="restart"/>
          </w:tcPr>
          <w:p>
            <w:pPr>
              <w:jc w:val="right"/>
              <w:spacing w:after="0"/>
              <w:rPr>
                <w:rFonts w:ascii="Arial" w:cs="Arial" w:eastAsia="Arial" w:hAnsi="Arial"/>
                <w:sz w:val="18"/>
                <w:szCs w:val="18"/>
                <w:color w:val="0000FF"/>
                <w:w w:val="79"/>
              </w:rPr>
            </w:pPr>
            <w:hyperlink w:anchor="page140">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63"/>
        </w:trPr>
        <w:tc>
          <w:tcPr>
            <w:tcW w:w="1400" w:type="dxa"/>
            <w:vAlign w:val="bottom"/>
            <w:vMerge w:val="continue"/>
          </w:tcPr>
          <w:p>
            <w:pPr>
              <w:spacing w:after="0"/>
              <w:rPr>
                <w:sz w:val="5"/>
                <w:szCs w:val="5"/>
                <w:color w:val="auto"/>
              </w:rPr>
            </w:pPr>
          </w:p>
        </w:tc>
        <w:tc>
          <w:tcPr>
            <w:tcW w:w="8860" w:type="dxa"/>
            <w:vAlign w:val="bottom"/>
          </w:tcPr>
          <w:p>
            <w:pPr>
              <w:spacing w:after="0"/>
              <w:rPr>
                <w:sz w:val="5"/>
                <w:szCs w:val="5"/>
                <w:color w:val="auto"/>
              </w:rPr>
            </w:pPr>
          </w:p>
        </w:tc>
        <w:tc>
          <w:tcPr>
            <w:tcW w:w="180" w:type="dxa"/>
            <w:vAlign w:val="bottom"/>
            <w:tcBorders>
              <w:bottom w:val="single" w:sz="8" w:color="0000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5.5</w:t>
            </w:r>
          </w:p>
        </w:tc>
        <w:tc>
          <w:tcPr>
            <w:tcW w:w="8860" w:type="dxa"/>
            <w:vAlign w:val="bottom"/>
          </w:tcPr>
          <w:p>
            <w:pPr>
              <w:ind w:left="320"/>
              <w:spacing w:after="0"/>
              <w:rPr>
                <w:sz w:val="20"/>
                <w:szCs w:val="20"/>
                <w:color w:val="auto"/>
              </w:rPr>
            </w:pPr>
            <w:r>
              <w:rPr>
                <w:rFonts w:ascii="Arial" w:cs="Arial" w:eastAsia="Arial" w:hAnsi="Arial"/>
                <w:sz w:val="22"/>
                <w:szCs w:val="22"/>
                <w:color w:val="auto"/>
              </w:rPr>
              <w:t>RBC Ratio</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0">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5.6</w:t>
            </w:r>
          </w:p>
        </w:tc>
        <w:tc>
          <w:tcPr>
            <w:tcW w:w="8860" w:type="dxa"/>
            <w:vAlign w:val="bottom"/>
          </w:tcPr>
          <w:p>
            <w:pPr>
              <w:ind w:left="320"/>
              <w:spacing w:after="0"/>
              <w:rPr>
                <w:sz w:val="20"/>
                <w:szCs w:val="20"/>
                <w:color w:val="auto"/>
              </w:rPr>
            </w:pPr>
            <w:r>
              <w:rPr>
                <w:rFonts w:ascii="Arial" w:cs="Arial" w:eastAsia="Arial" w:hAnsi="Arial"/>
                <w:sz w:val="22"/>
                <w:szCs w:val="22"/>
                <w:color w:val="auto"/>
              </w:rPr>
              <w:t>Compliance with Laws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0">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5.7</w:t>
            </w:r>
          </w:p>
        </w:tc>
        <w:tc>
          <w:tcPr>
            <w:tcW w:w="8860" w:type="dxa"/>
            <w:vAlign w:val="bottom"/>
          </w:tcPr>
          <w:p>
            <w:pPr>
              <w:ind w:left="320"/>
              <w:spacing w:after="0"/>
              <w:rPr>
                <w:sz w:val="20"/>
                <w:szCs w:val="20"/>
                <w:color w:val="auto"/>
              </w:rPr>
            </w:pPr>
            <w:r>
              <w:rPr>
                <w:rFonts w:ascii="Arial" w:cs="Arial" w:eastAsia="Arial" w:hAnsi="Arial"/>
                <w:sz w:val="22"/>
                <w:szCs w:val="22"/>
                <w:color w:val="auto"/>
              </w:rPr>
              <w:t>No Brokers' Fee</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0">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5.8</w:t>
            </w:r>
          </w:p>
        </w:tc>
        <w:tc>
          <w:tcPr>
            <w:tcW w:w="8860" w:type="dxa"/>
            <w:vAlign w:val="bottom"/>
          </w:tcPr>
          <w:p>
            <w:pPr>
              <w:ind w:left="320"/>
              <w:spacing w:after="0"/>
              <w:rPr>
                <w:sz w:val="20"/>
                <w:szCs w:val="20"/>
                <w:color w:val="auto"/>
              </w:rPr>
            </w:pPr>
            <w:r>
              <w:rPr>
                <w:rFonts w:ascii="Arial" w:cs="Arial" w:eastAsia="Arial" w:hAnsi="Arial"/>
                <w:sz w:val="22"/>
                <w:szCs w:val="22"/>
                <w:color w:val="auto"/>
              </w:rPr>
              <w:t>Disclosed Information</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0">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5.9</w:t>
            </w:r>
          </w:p>
        </w:tc>
        <w:tc>
          <w:tcPr>
            <w:tcW w:w="8860" w:type="dxa"/>
            <w:vAlign w:val="bottom"/>
          </w:tcPr>
          <w:p>
            <w:pPr>
              <w:ind w:left="320"/>
              <w:spacing w:after="0"/>
              <w:rPr>
                <w:sz w:val="20"/>
                <w:szCs w:val="20"/>
                <w:color w:val="auto"/>
              </w:rPr>
            </w:pPr>
            <w:r>
              <w:rPr>
                <w:rFonts w:ascii="Arial" w:cs="Arial" w:eastAsia="Arial" w:hAnsi="Arial"/>
                <w:sz w:val="22"/>
                <w:szCs w:val="22"/>
                <w:color w:val="auto"/>
              </w:rPr>
              <w:t>No Other Representations or Warranties; Reliance</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1">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719"/>
        </w:trPr>
        <w:tc>
          <w:tcPr>
            <w:tcW w:w="1400" w:type="dxa"/>
            <w:vAlign w:val="bottom"/>
          </w:tcPr>
          <w:p>
            <w:pPr>
              <w:spacing w:after="0"/>
              <w:rPr>
                <w:sz w:val="24"/>
                <w:szCs w:val="24"/>
                <w:color w:val="auto"/>
              </w:rPr>
            </w:pPr>
          </w:p>
        </w:tc>
        <w:tc>
          <w:tcPr>
            <w:tcW w:w="8860" w:type="dxa"/>
            <w:vAlign w:val="bottom"/>
          </w:tcPr>
          <w:p>
            <w:pPr>
              <w:jc w:val="center"/>
              <w:ind w:left="172"/>
              <w:spacing w:after="0"/>
              <w:rPr>
                <w:sz w:val="20"/>
                <w:szCs w:val="20"/>
                <w:color w:val="auto"/>
              </w:rPr>
            </w:pPr>
            <w:r>
              <w:rPr>
                <w:rFonts w:ascii="Arial" w:cs="Arial" w:eastAsia="Arial" w:hAnsi="Arial"/>
                <w:sz w:val="22"/>
                <w:szCs w:val="22"/>
                <w:color w:val="auto"/>
                <w:w w:val="98"/>
              </w:rPr>
              <w:t>ARTICLE VI</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8860" w:type="dxa"/>
            <w:vAlign w:val="bottom"/>
          </w:tcPr>
          <w:p>
            <w:pPr>
              <w:jc w:val="center"/>
              <w:ind w:left="152"/>
              <w:spacing w:after="0"/>
              <w:rPr>
                <w:sz w:val="20"/>
                <w:szCs w:val="20"/>
                <w:color w:val="auto"/>
              </w:rPr>
            </w:pPr>
            <w:r>
              <w:rPr>
                <w:rFonts w:ascii="Arial" w:cs="Arial" w:eastAsia="Arial" w:hAnsi="Arial"/>
                <w:sz w:val="22"/>
                <w:szCs w:val="22"/>
                <w:color w:val="auto"/>
                <w:w w:val="94"/>
              </w:rPr>
              <w:t>PRE CLOSING COVENANTS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line="246" w:lineRule="exact"/>
              <w:rPr>
                <w:sz w:val="20"/>
                <w:szCs w:val="20"/>
                <w:color w:val="auto"/>
              </w:rPr>
            </w:pPr>
            <w:r>
              <w:rPr>
                <w:rFonts w:ascii="Arial" w:cs="Arial" w:eastAsia="Arial" w:hAnsi="Arial"/>
                <w:sz w:val="22"/>
                <w:szCs w:val="22"/>
                <w:color w:val="auto"/>
              </w:rPr>
              <w:t>Section 6.1</w:t>
            </w:r>
          </w:p>
        </w:tc>
        <w:tc>
          <w:tcPr>
            <w:tcW w:w="8860" w:type="dxa"/>
            <w:vAlign w:val="bottom"/>
          </w:tcPr>
          <w:p>
            <w:pPr>
              <w:ind w:left="320"/>
              <w:spacing w:after="0" w:line="246" w:lineRule="exact"/>
              <w:rPr>
                <w:sz w:val="20"/>
                <w:szCs w:val="20"/>
                <w:color w:val="auto"/>
              </w:rPr>
            </w:pPr>
            <w:r>
              <w:rPr>
                <w:rFonts w:ascii="Arial" w:cs="Arial" w:eastAsia="Arial" w:hAnsi="Arial"/>
                <w:sz w:val="22"/>
                <w:szCs w:val="22"/>
                <w:color w:val="auto"/>
              </w:rPr>
              <w:t>Plan Amendments; Company Certification</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1">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6.2</w:t>
            </w:r>
          </w:p>
        </w:tc>
        <w:tc>
          <w:tcPr>
            <w:tcW w:w="8860" w:type="dxa"/>
            <w:vAlign w:val="bottom"/>
          </w:tcPr>
          <w:p>
            <w:pPr>
              <w:ind w:left="320"/>
              <w:spacing w:after="0"/>
              <w:rPr>
                <w:sz w:val="20"/>
                <w:szCs w:val="20"/>
                <w:color w:val="auto"/>
              </w:rPr>
            </w:pPr>
            <w:r>
              <w:rPr>
                <w:rFonts w:ascii="Arial" w:cs="Arial" w:eastAsia="Arial" w:hAnsi="Arial"/>
                <w:sz w:val="22"/>
                <w:szCs w:val="22"/>
                <w:color w:val="auto"/>
              </w:rPr>
              <w:t>Notice of Material Litigation</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1">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440"/>
          </w:cols>
          <w:pgMar w:left="280" w:top="121" w:right="11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80" w:type="dxa"/>
            <w:vAlign w:val="bottom"/>
          </w:tcPr>
          <w:p>
            <w:pPr>
              <w:ind w:left="214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400" w:type="dxa"/>
            <w:vAlign w:val="bottom"/>
          </w:tcPr>
          <w:p>
            <w:pPr>
              <w:spacing w:after="0"/>
              <w:rPr>
                <w:sz w:val="20"/>
                <w:szCs w:val="20"/>
                <w:color w:val="auto"/>
              </w:rPr>
            </w:pPr>
            <w:r>
              <w:rPr>
                <w:rFonts w:ascii="Arial" w:cs="Arial" w:eastAsia="Arial" w:hAnsi="Arial"/>
                <w:sz w:val="22"/>
                <w:szCs w:val="22"/>
                <w:color w:val="auto"/>
              </w:rPr>
              <w:t>Section 6.3</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Efforts to Close; Regulatory Clearances; Third-Party Consents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2">
              <w:r>
                <w:rPr>
                  <w:rFonts w:ascii="Arial" w:cs="Arial" w:eastAsia="Arial" w:hAnsi="Arial"/>
                  <w:sz w:val="18"/>
                  <w:szCs w:val="18"/>
                  <w:color w:val="0000FF"/>
                  <w:w w:val="79"/>
                </w:rPr>
                <w:t>47</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6.4</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Public Announcements; SEC Filings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2">
              <w:r>
                <w:rPr>
                  <w:rFonts w:ascii="Arial" w:cs="Arial" w:eastAsia="Arial" w:hAnsi="Arial"/>
                  <w:sz w:val="18"/>
                  <w:szCs w:val="18"/>
                  <w:color w:val="0000FF"/>
                  <w:w w:val="79"/>
                </w:rPr>
                <w:t>47</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6.5</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Notification of Certain Matters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4">
              <w:r>
                <w:rPr>
                  <w:rFonts w:ascii="Arial" w:cs="Arial" w:eastAsia="Arial" w:hAnsi="Arial"/>
                  <w:sz w:val="18"/>
                  <w:szCs w:val="18"/>
                  <w:color w:val="0000FF"/>
                  <w:w w:val="79"/>
                </w:rPr>
                <w:t>49</w:t>
              </w:r>
            </w:hyperlink>
          </w:p>
        </w:tc>
        <w:tc>
          <w:tcPr>
            <w:tcW w:w="0" w:type="dxa"/>
            <w:vAlign w:val="bottom"/>
          </w:tcPr>
          <w:p>
            <w:pPr>
              <w:spacing w:after="0"/>
              <w:rPr>
                <w:sz w:val="1"/>
                <w:szCs w:val="1"/>
                <w:color w:val="auto"/>
              </w:rPr>
            </w:pPr>
          </w:p>
        </w:tc>
      </w:tr>
      <w:tr>
        <w:trPr>
          <w:trHeight w:val="296"/>
        </w:trPr>
        <w:tc>
          <w:tcPr>
            <w:tcW w:w="1400" w:type="dxa"/>
            <w:vAlign w:val="bottom"/>
          </w:tcPr>
          <w:p>
            <w:pPr>
              <w:spacing w:after="0"/>
              <w:rPr>
                <w:sz w:val="20"/>
                <w:szCs w:val="20"/>
                <w:color w:val="auto"/>
              </w:rPr>
            </w:pPr>
            <w:r>
              <w:rPr>
                <w:rFonts w:ascii="Arial" w:cs="Arial" w:eastAsia="Arial" w:hAnsi="Arial"/>
                <w:sz w:val="22"/>
                <w:szCs w:val="22"/>
                <w:color w:val="auto"/>
              </w:rPr>
              <w:t>Section 6.6</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w w:val="92"/>
              </w:rPr>
              <w:t>Calculation and Adjustment of Insurer RBC Ratio; Projected Parent Liquidity Position; Liquidity</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80" w:type="dxa"/>
            <w:vAlign w:val="bottom"/>
          </w:tcPr>
          <w:p>
            <w:pPr>
              <w:ind w:left="440"/>
              <w:spacing w:after="0"/>
              <w:rPr>
                <w:sz w:val="20"/>
                <w:szCs w:val="20"/>
                <w:color w:val="auto"/>
              </w:rPr>
            </w:pPr>
            <w:r>
              <w:rPr>
                <w:rFonts w:ascii="Arial" w:cs="Arial" w:eastAsia="Arial" w:hAnsi="Arial"/>
                <w:sz w:val="22"/>
                <w:szCs w:val="22"/>
                <w:color w:val="auto"/>
              </w:rPr>
              <w:t>Requirement; Liquidity Cap</w:t>
            </w:r>
          </w:p>
        </w:tc>
        <w:tc>
          <w:tcPr>
            <w:tcW w:w="180" w:type="dxa"/>
            <w:vAlign w:val="bottom"/>
            <w:vMerge w:val="restart"/>
          </w:tcPr>
          <w:p>
            <w:pPr>
              <w:jc w:val="right"/>
              <w:spacing w:after="0"/>
              <w:rPr>
                <w:rFonts w:ascii="Arial" w:cs="Arial" w:eastAsia="Arial" w:hAnsi="Arial"/>
                <w:sz w:val="18"/>
                <w:szCs w:val="18"/>
                <w:color w:val="0000FF"/>
                <w:w w:val="79"/>
              </w:rPr>
            </w:pPr>
            <w:hyperlink w:anchor="page144">
              <w:r>
                <w:rPr>
                  <w:rFonts w:ascii="Arial" w:cs="Arial" w:eastAsia="Arial" w:hAnsi="Arial"/>
                  <w:sz w:val="18"/>
                  <w:szCs w:val="18"/>
                  <w:color w:val="0000FF"/>
                  <w:w w:val="79"/>
                </w:rPr>
                <w:t>49</w:t>
              </w:r>
            </w:hyperlink>
          </w:p>
        </w:tc>
        <w:tc>
          <w:tcPr>
            <w:tcW w:w="0" w:type="dxa"/>
            <w:vAlign w:val="bottom"/>
          </w:tcPr>
          <w:p>
            <w:pPr>
              <w:spacing w:after="0"/>
              <w:rPr>
                <w:sz w:val="1"/>
                <w:szCs w:val="1"/>
                <w:color w:val="auto"/>
              </w:rPr>
            </w:pPr>
          </w:p>
        </w:tc>
      </w:tr>
      <w:tr>
        <w:trPr>
          <w:trHeight w:val="63"/>
        </w:trPr>
        <w:tc>
          <w:tcPr>
            <w:tcW w:w="14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80" w:type="dxa"/>
            <w:vAlign w:val="bottom"/>
          </w:tcPr>
          <w:p>
            <w:pPr>
              <w:spacing w:after="0"/>
              <w:rPr>
                <w:sz w:val="5"/>
                <w:szCs w:val="5"/>
                <w:color w:val="auto"/>
              </w:rPr>
            </w:pPr>
          </w:p>
        </w:tc>
        <w:tc>
          <w:tcPr>
            <w:tcW w:w="180" w:type="dxa"/>
            <w:vAlign w:val="bottom"/>
            <w:tcBorders>
              <w:bottom w:val="single" w:sz="8" w:color="0000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6.7</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Administrative Transition Process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5">
              <w:r>
                <w:rPr>
                  <w:rFonts w:ascii="Arial" w:cs="Arial" w:eastAsia="Arial" w:hAnsi="Arial"/>
                  <w:sz w:val="18"/>
                  <w:szCs w:val="18"/>
                  <w:color w:val="0000FF"/>
                  <w:w w:val="79"/>
                </w:rPr>
                <w:t>50</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6.8</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Compliance with Prohibited Transaction Class Exemption 84-24</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6">
              <w:r>
                <w:rPr>
                  <w:rFonts w:ascii="Arial" w:cs="Arial" w:eastAsia="Arial" w:hAnsi="Arial"/>
                  <w:sz w:val="18"/>
                  <w:szCs w:val="18"/>
                  <w:color w:val="0000FF"/>
                  <w:w w:val="79"/>
                </w:rPr>
                <w:t>51</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6.9</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Pre-Closing Meeting</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6">
              <w:r>
                <w:rPr>
                  <w:rFonts w:ascii="Arial" w:cs="Arial" w:eastAsia="Arial" w:hAnsi="Arial"/>
                  <w:sz w:val="18"/>
                  <w:szCs w:val="18"/>
                  <w:color w:val="0000FF"/>
                  <w:w w:val="79"/>
                </w:rPr>
                <w:t>51</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6.10</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Non-Solicitation</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6">
              <w:r>
                <w:rPr>
                  <w:rFonts w:ascii="Arial" w:cs="Arial" w:eastAsia="Arial" w:hAnsi="Arial"/>
                  <w:sz w:val="18"/>
                  <w:szCs w:val="18"/>
                  <w:color w:val="0000FF"/>
                  <w:w w:val="79"/>
                </w:rPr>
                <w:t>51</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6.11</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Information Provided To The Independent Fiduciary</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7">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6.12</w:t>
            </w:r>
          </w:p>
        </w:tc>
        <w:tc>
          <w:tcPr>
            <w:tcW w:w="1180" w:type="dxa"/>
            <w:vAlign w:val="bottom"/>
          </w:tcPr>
          <w:p>
            <w:pPr>
              <w:ind w:left="320"/>
              <w:spacing w:after="0"/>
              <w:rPr>
                <w:sz w:val="20"/>
                <w:szCs w:val="20"/>
                <w:color w:val="auto"/>
              </w:rPr>
            </w:pPr>
            <w:r>
              <w:rPr>
                <w:rFonts w:ascii="Arial" w:cs="Arial" w:eastAsia="Arial" w:hAnsi="Arial"/>
                <w:sz w:val="22"/>
                <w:szCs w:val="22"/>
                <w:color w:val="auto"/>
              </w:rPr>
              <w:t>[   ***</w:t>
            </w:r>
          </w:p>
        </w:tc>
        <w:tc>
          <w:tcPr>
            <w:tcW w:w="7680" w:type="dxa"/>
            <w:vAlign w:val="bottom"/>
          </w:tcPr>
          <w:p>
            <w:pPr>
              <w:ind w:left="180"/>
              <w:spacing w:after="0"/>
              <w:rPr>
                <w:sz w:val="20"/>
                <w:szCs w:val="20"/>
                <w:color w:val="auto"/>
              </w:rPr>
            </w:pPr>
            <w:r>
              <w:rPr>
                <w:rFonts w:ascii="Arial" w:cs="Arial" w:eastAsia="Arial" w:hAnsi="Arial"/>
                <w:sz w:val="22"/>
                <w:szCs w:val="22"/>
                <w:color w:val="auto"/>
              </w:rPr>
              <w:t>] Diligence</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7">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6.13</w:t>
            </w:r>
          </w:p>
        </w:tc>
        <w:tc>
          <w:tcPr>
            <w:tcW w:w="1180" w:type="dxa"/>
            <w:vAlign w:val="bottom"/>
          </w:tcPr>
          <w:p>
            <w:pPr>
              <w:ind w:left="320"/>
              <w:spacing w:after="0"/>
              <w:rPr>
                <w:sz w:val="20"/>
                <w:szCs w:val="20"/>
                <w:color w:val="auto"/>
              </w:rPr>
            </w:pPr>
            <w:r>
              <w:rPr>
                <w:rFonts w:ascii="Arial" w:cs="Arial" w:eastAsia="Arial" w:hAnsi="Arial"/>
                <w:sz w:val="22"/>
                <w:szCs w:val="22"/>
                <w:color w:val="auto"/>
              </w:rPr>
              <w:t>Newco</w:t>
            </w:r>
          </w:p>
        </w:tc>
        <w:tc>
          <w:tcPr>
            <w:tcW w:w="76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7">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6.14</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Recoupment</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7">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719"/>
        </w:trPr>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80" w:type="dxa"/>
            <w:vAlign w:val="bottom"/>
          </w:tcPr>
          <w:p>
            <w:pPr>
              <w:jc w:val="center"/>
              <w:ind w:right="794"/>
              <w:spacing w:after="0"/>
              <w:rPr>
                <w:sz w:val="20"/>
                <w:szCs w:val="20"/>
                <w:color w:val="auto"/>
              </w:rPr>
            </w:pPr>
            <w:r>
              <w:rPr>
                <w:rFonts w:ascii="Arial" w:cs="Arial" w:eastAsia="Arial" w:hAnsi="Arial"/>
                <w:sz w:val="22"/>
                <w:szCs w:val="22"/>
                <w:color w:val="auto"/>
              </w:rPr>
              <w:t>ARTICLE VII</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80" w:type="dxa"/>
            <w:vAlign w:val="bottom"/>
          </w:tcPr>
          <w:p>
            <w:pPr>
              <w:jc w:val="center"/>
              <w:ind w:right="814"/>
              <w:spacing w:after="0"/>
              <w:rPr>
                <w:sz w:val="20"/>
                <w:szCs w:val="20"/>
                <w:color w:val="auto"/>
              </w:rPr>
            </w:pPr>
            <w:r>
              <w:rPr>
                <w:rFonts w:ascii="Arial" w:cs="Arial" w:eastAsia="Arial" w:hAnsi="Arial"/>
                <w:sz w:val="22"/>
                <w:szCs w:val="22"/>
                <w:color w:val="auto"/>
                <w:w w:val="94"/>
              </w:rPr>
              <w:t>OTHER COVENANTS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line="246" w:lineRule="exact"/>
              <w:rPr>
                <w:sz w:val="20"/>
                <w:szCs w:val="20"/>
                <w:color w:val="auto"/>
              </w:rPr>
            </w:pPr>
            <w:r>
              <w:rPr>
                <w:rFonts w:ascii="Arial" w:cs="Arial" w:eastAsia="Arial" w:hAnsi="Arial"/>
                <w:sz w:val="22"/>
                <w:szCs w:val="22"/>
                <w:color w:val="auto"/>
              </w:rPr>
              <w:t>Section 7.1</w:t>
            </w:r>
          </w:p>
        </w:tc>
        <w:tc>
          <w:tcPr>
            <w:tcW w:w="8860" w:type="dxa"/>
            <w:vAlign w:val="bottom"/>
            <w:gridSpan w:val="2"/>
          </w:tcPr>
          <w:p>
            <w:pPr>
              <w:ind w:left="320"/>
              <w:spacing w:after="0" w:line="246" w:lineRule="exact"/>
              <w:rPr>
                <w:sz w:val="20"/>
                <w:szCs w:val="20"/>
                <w:color w:val="auto"/>
              </w:rPr>
            </w:pPr>
            <w:r>
              <w:rPr>
                <w:rFonts w:ascii="Arial" w:cs="Arial" w:eastAsia="Arial" w:hAnsi="Arial"/>
                <w:sz w:val="22"/>
                <w:szCs w:val="22"/>
                <w:color w:val="auto"/>
              </w:rPr>
              <w:t>Company Actions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8">
              <w:r>
                <w:rPr>
                  <w:rFonts w:ascii="Arial" w:cs="Arial" w:eastAsia="Arial" w:hAnsi="Arial"/>
                  <w:sz w:val="18"/>
                  <w:szCs w:val="18"/>
                  <w:color w:val="0000FF"/>
                  <w:w w:val="79"/>
                </w:rPr>
                <w:t>53</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7.2</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Insurer Actions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8">
              <w:r>
                <w:rPr>
                  <w:rFonts w:ascii="Arial" w:cs="Arial" w:eastAsia="Arial" w:hAnsi="Arial"/>
                  <w:sz w:val="18"/>
                  <w:szCs w:val="18"/>
                  <w:color w:val="0000FF"/>
                  <w:w w:val="79"/>
                </w:rPr>
                <w:t>53</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7.3</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Cooperation with Independent Third Party</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8">
              <w:r>
                <w:rPr>
                  <w:rFonts w:ascii="Arial" w:cs="Arial" w:eastAsia="Arial" w:hAnsi="Arial"/>
                  <w:sz w:val="18"/>
                  <w:szCs w:val="18"/>
                  <w:color w:val="0000FF"/>
                  <w:w w:val="79"/>
                </w:rPr>
                <w:t>53</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7.4</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Administrative Services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9">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7.5</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Transferred Asset True-Ups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9">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7.6</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Correspondence Center</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9">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719"/>
        </w:trPr>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80" w:type="dxa"/>
            <w:vAlign w:val="bottom"/>
          </w:tcPr>
          <w:p>
            <w:pPr>
              <w:jc w:val="center"/>
              <w:ind w:right="814"/>
              <w:spacing w:after="0"/>
              <w:rPr>
                <w:sz w:val="20"/>
                <w:szCs w:val="20"/>
                <w:color w:val="auto"/>
              </w:rPr>
            </w:pPr>
            <w:r>
              <w:rPr>
                <w:rFonts w:ascii="Arial" w:cs="Arial" w:eastAsia="Arial" w:hAnsi="Arial"/>
                <w:sz w:val="22"/>
                <w:szCs w:val="22"/>
                <w:color w:val="auto"/>
                <w:w w:val="99"/>
              </w:rPr>
              <w:t>ARTICLE VIII</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80" w:type="dxa"/>
            <w:vAlign w:val="bottom"/>
          </w:tcPr>
          <w:p>
            <w:pPr>
              <w:jc w:val="center"/>
              <w:ind w:right="794"/>
              <w:spacing w:after="0"/>
              <w:rPr>
                <w:sz w:val="20"/>
                <w:szCs w:val="20"/>
                <w:color w:val="auto"/>
              </w:rPr>
            </w:pPr>
            <w:r>
              <w:rPr>
                <w:rFonts w:ascii="Arial" w:cs="Arial" w:eastAsia="Arial" w:hAnsi="Arial"/>
                <w:sz w:val="22"/>
                <w:szCs w:val="22"/>
                <w:color w:val="auto"/>
                <w:w w:val="94"/>
              </w:rPr>
              <w:t>CONDITIONS TO OBLIGATION TO CLOSE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line="246" w:lineRule="exact"/>
              <w:rPr>
                <w:sz w:val="20"/>
                <w:szCs w:val="20"/>
                <w:color w:val="auto"/>
              </w:rPr>
            </w:pPr>
            <w:r>
              <w:rPr>
                <w:rFonts w:ascii="Arial" w:cs="Arial" w:eastAsia="Arial" w:hAnsi="Arial"/>
                <w:sz w:val="22"/>
                <w:szCs w:val="22"/>
                <w:color w:val="auto"/>
              </w:rPr>
              <w:t>Section 8.1</w:t>
            </w:r>
          </w:p>
        </w:tc>
        <w:tc>
          <w:tcPr>
            <w:tcW w:w="8860" w:type="dxa"/>
            <w:vAlign w:val="bottom"/>
            <w:gridSpan w:val="2"/>
          </w:tcPr>
          <w:p>
            <w:pPr>
              <w:ind w:left="320"/>
              <w:spacing w:after="0" w:line="246" w:lineRule="exact"/>
              <w:rPr>
                <w:sz w:val="20"/>
                <w:szCs w:val="20"/>
                <w:color w:val="auto"/>
              </w:rPr>
            </w:pPr>
            <w:r>
              <w:rPr>
                <w:rFonts w:ascii="Arial" w:cs="Arial" w:eastAsia="Arial" w:hAnsi="Arial"/>
                <w:sz w:val="22"/>
                <w:szCs w:val="22"/>
                <w:color w:val="auto"/>
              </w:rPr>
              <w:t>Conditions to the Independent Fiduciary's Obligations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49">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8.2</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Conditions to the Company's Obligations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50">
              <w:r>
                <w:rPr>
                  <w:rFonts w:ascii="Arial" w:cs="Arial" w:eastAsia="Arial" w:hAnsi="Arial"/>
                  <w:sz w:val="18"/>
                  <w:szCs w:val="18"/>
                  <w:color w:val="0000FF"/>
                  <w:w w:val="79"/>
                </w:rPr>
                <w:t>55</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8.3</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Conditions to the Insurer's Obligations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50">
              <w:r>
                <w:rPr>
                  <w:rFonts w:ascii="Arial" w:cs="Arial" w:eastAsia="Arial" w:hAnsi="Arial"/>
                  <w:sz w:val="18"/>
                  <w:szCs w:val="18"/>
                  <w:color w:val="0000FF"/>
                  <w:w w:val="79"/>
                </w:rPr>
                <w:t>55</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8.4</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No Frustration of Closing Conditions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51">
              <w:r>
                <w:rPr>
                  <w:rFonts w:ascii="Arial" w:cs="Arial" w:eastAsia="Arial" w:hAnsi="Arial"/>
                  <w:sz w:val="18"/>
                  <w:szCs w:val="18"/>
                  <w:color w:val="0000FF"/>
                  <w:w w:val="79"/>
                </w:rPr>
                <w:t>56</w:t>
              </w:r>
            </w:hyperlink>
          </w:p>
        </w:tc>
        <w:tc>
          <w:tcPr>
            <w:tcW w:w="0" w:type="dxa"/>
            <w:vAlign w:val="bottom"/>
          </w:tcPr>
          <w:p>
            <w:pPr>
              <w:spacing w:after="0"/>
              <w:rPr>
                <w:sz w:val="1"/>
                <w:szCs w:val="1"/>
                <w:color w:val="auto"/>
              </w:rPr>
            </w:pPr>
          </w:p>
        </w:tc>
      </w:tr>
      <w:tr>
        <w:trPr>
          <w:trHeight w:val="719"/>
        </w:trPr>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80" w:type="dxa"/>
            <w:vAlign w:val="bottom"/>
          </w:tcPr>
          <w:p>
            <w:pPr>
              <w:jc w:val="center"/>
              <w:ind w:right="794"/>
              <w:spacing w:after="0"/>
              <w:rPr>
                <w:sz w:val="20"/>
                <w:szCs w:val="20"/>
                <w:color w:val="auto"/>
              </w:rPr>
            </w:pPr>
            <w:r>
              <w:rPr>
                <w:rFonts w:ascii="Arial" w:cs="Arial" w:eastAsia="Arial" w:hAnsi="Arial"/>
                <w:sz w:val="22"/>
                <w:szCs w:val="22"/>
                <w:color w:val="auto"/>
                <w:w w:val="98"/>
              </w:rPr>
              <w:t>ARTICLE IX</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80" w:type="dxa"/>
            <w:vAlign w:val="bottom"/>
          </w:tcPr>
          <w:p>
            <w:pPr>
              <w:jc w:val="center"/>
              <w:ind w:right="814"/>
              <w:spacing w:after="0"/>
              <w:rPr>
                <w:sz w:val="20"/>
                <w:szCs w:val="20"/>
                <w:color w:val="auto"/>
              </w:rPr>
            </w:pPr>
            <w:r>
              <w:rPr>
                <w:rFonts w:ascii="Arial" w:cs="Arial" w:eastAsia="Arial" w:hAnsi="Arial"/>
                <w:sz w:val="22"/>
                <w:szCs w:val="22"/>
                <w:color w:val="auto"/>
                <w:w w:val="96"/>
              </w:rPr>
              <w:t>INDEMNIFICATION FOR THIRD PARTY CLAIMS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line="246" w:lineRule="exact"/>
              <w:rPr>
                <w:sz w:val="20"/>
                <w:szCs w:val="20"/>
                <w:color w:val="auto"/>
              </w:rPr>
            </w:pPr>
            <w:r>
              <w:rPr>
                <w:rFonts w:ascii="Arial" w:cs="Arial" w:eastAsia="Arial" w:hAnsi="Arial"/>
                <w:sz w:val="22"/>
                <w:szCs w:val="22"/>
                <w:color w:val="auto"/>
              </w:rPr>
              <w:t>Section 9.1</w:t>
            </w:r>
          </w:p>
        </w:tc>
        <w:tc>
          <w:tcPr>
            <w:tcW w:w="8860" w:type="dxa"/>
            <w:vAlign w:val="bottom"/>
            <w:gridSpan w:val="2"/>
          </w:tcPr>
          <w:p>
            <w:pPr>
              <w:ind w:left="320"/>
              <w:spacing w:after="0" w:line="246" w:lineRule="exact"/>
              <w:rPr>
                <w:sz w:val="20"/>
                <w:szCs w:val="20"/>
                <w:color w:val="auto"/>
              </w:rPr>
            </w:pPr>
            <w:r>
              <w:rPr>
                <w:rFonts w:ascii="Arial" w:cs="Arial" w:eastAsia="Arial" w:hAnsi="Arial"/>
                <w:sz w:val="22"/>
                <w:szCs w:val="22"/>
                <w:color w:val="auto"/>
              </w:rPr>
              <w:t>Indemnification by the Insurer</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51">
              <w:r>
                <w:rPr>
                  <w:rFonts w:ascii="Arial" w:cs="Arial" w:eastAsia="Arial" w:hAnsi="Arial"/>
                  <w:sz w:val="18"/>
                  <w:szCs w:val="18"/>
                  <w:color w:val="0000FF"/>
                  <w:w w:val="79"/>
                </w:rPr>
                <w:t>56</w:t>
              </w:r>
            </w:hyperlink>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22"/>
                <w:szCs w:val="22"/>
                <w:color w:val="auto"/>
              </w:rPr>
              <w:t>Section 9.2</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Procedures For Indemnification Claims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51">
              <w:r>
                <w:rPr>
                  <w:rFonts w:ascii="Arial" w:cs="Arial" w:eastAsia="Arial" w:hAnsi="Arial"/>
                  <w:sz w:val="18"/>
                  <w:szCs w:val="18"/>
                  <w:color w:val="0000FF"/>
                  <w:w w:val="79"/>
                </w:rPr>
                <w:t>56</w:t>
              </w:r>
            </w:hyperlink>
          </w:p>
        </w:tc>
        <w:tc>
          <w:tcPr>
            <w:tcW w:w="0" w:type="dxa"/>
            <w:vAlign w:val="bottom"/>
          </w:tcPr>
          <w:p>
            <w:pPr>
              <w:spacing w:after="0"/>
              <w:rPr>
                <w:sz w:val="1"/>
                <w:szCs w:val="1"/>
                <w:color w:val="auto"/>
              </w:rPr>
            </w:pPr>
          </w:p>
        </w:tc>
      </w:tr>
      <w:tr>
        <w:trPr>
          <w:trHeight w:val="328"/>
        </w:trPr>
        <w:tc>
          <w:tcPr>
            <w:tcW w:w="1400" w:type="dxa"/>
            <w:vAlign w:val="bottom"/>
            <w:vMerge w:val="restart"/>
          </w:tcPr>
          <w:p>
            <w:pPr>
              <w:spacing w:after="0"/>
              <w:rPr>
                <w:sz w:val="20"/>
                <w:szCs w:val="20"/>
                <w:color w:val="auto"/>
              </w:rPr>
            </w:pPr>
            <w:r>
              <w:rPr>
                <w:rFonts w:ascii="Arial" w:cs="Arial" w:eastAsia="Arial" w:hAnsi="Arial"/>
                <w:sz w:val="22"/>
                <w:szCs w:val="22"/>
                <w:color w:val="auto"/>
              </w:rPr>
              <w:t>Section 9.3</w:t>
            </w:r>
          </w:p>
        </w:tc>
        <w:tc>
          <w:tcPr>
            <w:tcW w:w="8860" w:type="dxa"/>
            <w:vAlign w:val="bottom"/>
            <w:gridSpan w:val="2"/>
          </w:tcPr>
          <w:p>
            <w:pPr>
              <w:ind w:left="320"/>
              <w:spacing w:after="0"/>
              <w:rPr>
                <w:sz w:val="20"/>
                <w:szCs w:val="20"/>
                <w:color w:val="auto"/>
              </w:rPr>
            </w:pPr>
            <w:r>
              <w:rPr>
                <w:rFonts w:ascii="Arial" w:cs="Arial" w:eastAsia="Arial" w:hAnsi="Arial"/>
                <w:sz w:val="22"/>
                <w:szCs w:val="22"/>
                <w:color w:val="auto"/>
              </w:rPr>
              <w:t>Claims and Payment; Treatment of Payments</w:t>
            </w:r>
          </w:p>
        </w:tc>
        <w:tc>
          <w:tcPr>
            <w:tcW w:w="180" w:type="dxa"/>
            <w:vAlign w:val="bottom"/>
            <w:vMerge w:val="restart"/>
          </w:tcPr>
          <w:p>
            <w:pPr>
              <w:jc w:val="right"/>
              <w:spacing w:after="0"/>
              <w:rPr>
                <w:rFonts w:ascii="Arial" w:cs="Arial" w:eastAsia="Arial" w:hAnsi="Arial"/>
                <w:sz w:val="18"/>
                <w:szCs w:val="18"/>
                <w:color w:val="0000FF"/>
                <w:w w:val="79"/>
              </w:rPr>
            </w:pPr>
            <w:hyperlink w:anchor="page152">
              <w:r>
                <w:rPr>
                  <w:rFonts w:ascii="Arial" w:cs="Arial" w:eastAsia="Arial" w:hAnsi="Arial"/>
                  <w:sz w:val="18"/>
                  <w:szCs w:val="18"/>
                  <w:color w:val="0000FF"/>
                  <w:w w:val="79"/>
                </w:rPr>
                <w:t>57</w:t>
              </w:r>
            </w:hyperlink>
          </w:p>
        </w:tc>
        <w:tc>
          <w:tcPr>
            <w:tcW w:w="0" w:type="dxa"/>
            <w:vAlign w:val="bottom"/>
          </w:tcPr>
          <w:p>
            <w:pPr>
              <w:spacing w:after="0"/>
              <w:rPr>
                <w:sz w:val="1"/>
                <w:szCs w:val="1"/>
                <w:color w:val="auto"/>
              </w:rPr>
            </w:pPr>
          </w:p>
        </w:tc>
      </w:tr>
      <w:tr>
        <w:trPr>
          <w:trHeight w:val="63"/>
        </w:trPr>
        <w:tc>
          <w:tcPr>
            <w:tcW w:w="14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7680" w:type="dxa"/>
            <w:vAlign w:val="bottom"/>
          </w:tcPr>
          <w:p>
            <w:pPr>
              <w:spacing w:after="0"/>
              <w:rPr>
                <w:sz w:val="5"/>
                <w:szCs w:val="5"/>
                <w:color w:val="auto"/>
              </w:rPr>
            </w:pPr>
          </w:p>
        </w:tc>
        <w:tc>
          <w:tcPr>
            <w:tcW w:w="180" w:type="dxa"/>
            <w:vAlign w:val="bottom"/>
            <w:tcBorders>
              <w:bottom w:val="single" w:sz="8" w:color="0000FF"/>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440"/>
          </w:cols>
          <w:pgMar w:left="280" w:top="121" w:right="11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80" w:type="dxa"/>
            <w:vAlign w:val="bottom"/>
            <w:gridSpan w:val="2"/>
          </w:tcPr>
          <w:p>
            <w:pPr>
              <w:ind w:left="3000"/>
              <w:spacing w:after="0"/>
              <w:rPr>
                <w:sz w:val="20"/>
                <w:szCs w:val="20"/>
                <w:color w:val="auto"/>
              </w:rPr>
            </w:pPr>
            <w:r>
              <w:rPr>
                <w:rFonts w:ascii="Arial" w:cs="Arial" w:eastAsia="Arial" w:hAnsi="Arial"/>
                <w:sz w:val="18"/>
                <w:szCs w:val="18"/>
                <w:b w:val="1"/>
                <w:bCs w:val="1"/>
                <w:color w:val="auto"/>
              </w:rPr>
              <w:t>TABLE OF CONTENTS</w:t>
            </w: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8"/>
        </w:trPr>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gridSpan w:val="2"/>
          </w:tcPr>
          <w:p>
            <w:pPr>
              <w:jc w:val="center"/>
              <w:ind w:left="2892"/>
              <w:spacing w:after="0"/>
              <w:rPr>
                <w:sz w:val="20"/>
                <w:szCs w:val="20"/>
                <w:color w:val="auto"/>
              </w:rPr>
            </w:pPr>
            <w:r>
              <w:rPr>
                <w:rFonts w:ascii="Arial" w:cs="Arial" w:eastAsia="Arial" w:hAnsi="Arial"/>
                <w:sz w:val="22"/>
                <w:szCs w:val="22"/>
                <w:color w:val="auto"/>
                <w:w w:val="98"/>
              </w:rPr>
              <w:t>ARTICLE X</w:t>
            </w: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gridSpan w:val="2"/>
          </w:tcPr>
          <w:p>
            <w:pPr>
              <w:jc w:val="center"/>
              <w:ind w:left="2892"/>
              <w:spacing w:after="0"/>
              <w:rPr>
                <w:sz w:val="20"/>
                <w:szCs w:val="20"/>
                <w:color w:val="auto"/>
              </w:rPr>
            </w:pPr>
            <w:r>
              <w:rPr>
                <w:rFonts w:ascii="Arial" w:cs="Arial" w:eastAsia="Arial" w:hAnsi="Arial"/>
                <w:sz w:val="22"/>
                <w:szCs w:val="22"/>
                <w:color w:val="auto"/>
                <w:w w:val="97"/>
              </w:rPr>
              <w:t>TERMINATION</w:t>
            </w: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720" w:type="dxa"/>
            <w:vAlign w:val="bottom"/>
            <w:gridSpan w:val="2"/>
          </w:tcPr>
          <w:p>
            <w:pPr>
              <w:spacing w:after="0" w:line="246" w:lineRule="exact"/>
              <w:rPr>
                <w:sz w:val="20"/>
                <w:szCs w:val="20"/>
                <w:color w:val="auto"/>
              </w:rPr>
            </w:pPr>
            <w:r>
              <w:rPr>
                <w:rFonts w:ascii="Arial" w:cs="Arial" w:eastAsia="Arial" w:hAnsi="Arial"/>
                <w:sz w:val="22"/>
                <w:szCs w:val="22"/>
                <w:color w:val="auto"/>
              </w:rPr>
              <w:t>Section 10.1</w:t>
            </w:r>
          </w:p>
        </w:tc>
        <w:tc>
          <w:tcPr>
            <w:tcW w:w="4520" w:type="dxa"/>
            <w:vAlign w:val="bottom"/>
          </w:tcPr>
          <w:p>
            <w:pPr>
              <w:spacing w:after="0" w:line="246" w:lineRule="exact"/>
              <w:rPr>
                <w:sz w:val="20"/>
                <w:szCs w:val="20"/>
                <w:color w:val="auto"/>
              </w:rPr>
            </w:pPr>
            <w:r>
              <w:rPr>
                <w:rFonts w:ascii="Arial" w:cs="Arial" w:eastAsia="Arial" w:hAnsi="Arial"/>
                <w:sz w:val="22"/>
                <w:szCs w:val="22"/>
                <w:color w:val="auto"/>
              </w:rPr>
              <w:t>Termination of Agreement</w:t>
            </w:r>
          </w:p>
        </w:tc>
        <w:tc>
          <w:tcPr>
            <w:tcW w:w="960" w:type="dxa"/>
            <w:vAlign w:val="bottom"/>
          </w:tcPr>
          <w:p>
            <w:pPr>
              <w:spacing w:after="0"/>
              <w:rPr>
                <w:sz w:val="21"/>
                <w:szCs w:val="21"/>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2">
              <w:r>
                <w:rPr>
                  <w:rFonts w:ascii="Arial" w:cs="Arial" w:eastAsia="Arial" w:hAnsi="Arial"/>
                  <w:sz w:val="18"/>
                  <w:szCs w:val="18"/>
                  <w:color w:val="0000FF"/>
                </w:rPr>
                <w:t>58</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10.2</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Effect of Termination</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4">
              <w:r>
                <w:rPr>
                  <w:rFonts w:ascii="Arial" w:cs="Arial" w:eastAsia="Arial" w:hAnsi="Arial"/>
                  <w:sz w:val="18"/>
                  <w:szCs w:val="18"/>
                  <w:color w:val="0000FF"/>
                </w:rPr>
                <w:t>59</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9"/>
        </w:trPr>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gridSpan w:val="2"/>
          </w:tcPr>
          <w:p>
            <w:pPr>
              <w:jc w:val="center"/>
              <w:ind w:left="2912"/>
              <w:spacing w:after="0"/>
              <w:rPr>
                <w:sz w:val="20"/>
                <w:szCs w:val="20"/>
                <w:color w:val="auto"/>
              </w:rPr>
            </w:pPr>
            <w:r>
              <w:rPr>
                <w:rFonts w:ascii="Arial" w:cs="Arial" w:eastAsia="Arial" w:hAnsi="Arial"/>
                <w:sz w:val="22"/>
                <w:szCs w:val="22"/>
                <w:color w:val="auto"/>
                <w:w w:val="98"/>
              </w:rPr>
              <w:t>ARTICLE XI</w:t>
            </w:r>
          </w:p>
        </w:tc>
        <w:tc>
          <w:tcPr>
            <w:tcW w:w="30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gridSpan w:val="2"/>
          </w:tcPr>
          <w:p>
            <w:pPr>
              <w:jc w:val="center"/>
              <w:ind w:left="2892"/>
              <w:spacing w:after="0"/>
              <w:rPr>
                <w:sz w:val="20"/>
                <w:szCs w:val="20"/>
                <w:color w:val="auto"/>
              </w:rPr>
            </w:pPr>
            <w:r>
              <w:rPr>
                <w:rFonts w:ascii="Arial" w:cs="Arial" w:eastAsia="Arial" w:hAnsi="Arial"/>
                <w:sz w:val="22"/>
                <w:szCs w:val="22"/>
                <w:color w:val="auto"/>
                <w:w w:val="96"/>
              </w:rPr>
              <w:t>MISCELLANEOUS</w:t>
            </w: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720" w:type="dxa"/>
            <w:vAlign w:val="bottom"/>
            <w:gridSpan w:val="2"/>
          </w:tcPr>
          <w:p>
            <w:pPr>
              <w:spacing w:after="0" w:line="246" w:lineRule="exact"/>
              <w:rPr>
                <w:sz w:val="20"/>
                <w:szCs w:val="20"/>
                <w:color w:val="auto"/>
              </w:rPr>
            </w:pPr>
            <w:r>
              <w:rPr>
                <w:rFonts w:ascii="Arial" w:cs="Arial" w:eastAsia="Arial" w:hAnsi="Arial"/>
                <w:sz w:val="22"/>
                <w:szCs w:val="22"/>
                <w:color w:val="auto"/>
              </w:rPr>
              <w:t>Section 11.1</w:t>
            </w:r>
          </w:p>
        </w:tc>
        <w:tc>
          <w:tcPr>
            <w:tcW w:w="4520" w:type="dxa"/>
            <w:vAlign w:val="bottom"/>
          </w:tcPr>
          <w:p>
            <w:pPr>
              <w:spacing w:after="0" w:line="246" w:lineRule="exact"/>
              <w:rPr>
                <w:sz w:val="20"/>
                <w:szCs w:val="20"/>
                <w:color w:val="auto"/>
              </w:rPr>
            </w:pPr>
            <w:r>
              <w:rPr>
                <w:rFonts w:ascii="Arial" w:cs="Arial" w:eastAsia="Arial" w:hAnsi="Arial"/>
                <w:sz w:val="22"/>
                <w:szCs w:val="22"/>
                <w:color w:val="auto"/>
              </w:rPr>
              <w:t>Expenses</w:t>
            </w:r>
          </w:p>
        </w:tc>
        <w:tc>
          <w:tcPr>
            <w:tcW w:w="960" w:type="dxa"/>
            <w:vAlign w:val="bottom"/>
          </w:tcPr>
          <w:p>
            <w:pPr>
              <w:spacing w:after="0"/>
              <w:rPr>
                <w:sz w:val="21"/>
                <w:szCs w:val="21"/>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6">
              <w:r>
                <w:rPr>
                  <w:rFonts w:ascii="Arial" w:cs="Arial" w:eastAsia="Arial" w:hAnsi="Arial"/>
                  <w:sz w:val="18"/>
                  <w:szCs w:val="18"/>
                  <w:color w:val="0000FF"/>
                </w:rPr>
                <w:t>61</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11.2</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Entire Agreement</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6">
              <w:r>
                <w:rPr>
                  <w:rFonts w:ascii="Arial" w:cs="Arial" w:eastAsia="Arial" w:hAnsi="Arial"/>
                  <w:sz w:val="18"/>
                  <w:szCs w:val="18"/>
                  <w:color w:val="0000FF"/>
                </w:rPr>
                <w:t>61</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11.3</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Amendments and Waivers</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6">
              <w:r>
                <w:rPr>
                  <w:rFonts w:ascii="Arial" w:cs="Arial" w:eastAsia="Arial" w:hAnsi="Arial"/>
                  <w:sz w:val="18"/>
                  <w:szCs w:val="18"/>
                  <w:color w:val="0000FF"/>
                </w:rPr>
                <w:t>61</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11.4</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Succession and Assignment</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6">
              <w:r>
                <w:rPr>
                  <w:rFonts w:ascii="Arial" w:cs="Arial" w:eastAsia="Arial" w:hAnsi="Arial"/>
                  <w:sz w:val="18"/>
                  <w:szCs w:val="18"/>
                  <w:color w:val="0000FF"/>
                </w:rPr>
                <w:t>62</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11.5</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Notices</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7">
              <w:r>
                <w:rPr>
                  <w:rFonts w:ascii="Arial" w:cs="Arial" w:eastAsia="Arial" w:hAnsi="Arial"/>
                  <w:sz w:val="18"/>
                  <w:szCs w:val="18"/>
                  <w:color w:val="0000FF"/>
                </w:rPr>
                <w:t>62</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11.6</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Governing Law</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8">
              <w:r>
                <w:rPr>
                  <w:rFonts w:ascii="Arial" w:cs="Arial" w:eastAsia="Arial" w:hAnsi="Arial"/>
                  <w:sz w:val="18"/>
                  <w:szCs w:val="18"/>
                  <w:color w:val="0000FF"/>
                </w:rPr>
                <w:t>63</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11.7</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Submission to Jurisdiction; Service of Process</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8">
              <w:r>
                <w:rPr>
                  <w:rFonts w:ascii="Arial" w:cs="Arial" w:eastAsia="Arial" w:hAnsi="Arial"/>
                  <w:sz w:val="18"/>
                  <w:szCs w:val="18"/>
                  <w:color w:val="0000FF"/>
                </w:rPr>
                <w:t>63</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11.8</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Waivers of Jury Trial</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9">
              <w:r>
                <w:rPr>
                  <w:rFonts w:ascii="Arial" w:cs="Arial" w:eastAsia="Arial" w:hAnsi="Arial"/>
                  <w:sz w:val="18"/>
                  <w:szCs w:val="18"/>
                  <w:color w:val="0000FF"/>
                </w:rPr>
                <w:t>64</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11.9</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Specific Performance</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59">
              <w:r>
                <w:rPr>
                  <w:rFonts w:ascii="Arial" w:cs="Arial" w:eastAsia="Arial" w:hAnsi="Arial"/>
                  <w:sz w:val="18"/>
                  <w:szCs w:val="18"/>
                  <w:color w:val="0000FF"/>
                </w:rPr>
                <w:t>64</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11.10</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Severability</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60">
              <w:r>
                <w:rPr>
                  <w:rFonts w:ascii="Arial" w:cs="Arial" w:eastAsia="Arial" w:hAnsi="Arial"/>
                  <w:sz w:val="18"/>
                  <w:szCs w:val="18"/>
                  <w:color w:val="0000FF"/>
                </w:rPr>
                <w:t>65</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11.11</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No Third Party Beneficiaries</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60">
              <w:r>
                <w:rPr>
                  <w:rFonts w:ascii="Arial" w:cs="Arial" w:eastAsia="Arial" w:hAnsi="Arial"/>
                  <w:sz w:val="18"/>
                  <w:szCs w:val="18"/>
                  <w:color w:val="0000FF"/>
                </w:rPr>
                <w:t>65</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11.12</w:t>
            </w:r>
          </w:p>
        </w:tc>
        <w:tc>
          <w:tcPr>
            <w:tcW w:w="4520" w:type="dxa"/>
            <w:vAlign w:val="bottom"/>
            <w:vMerge w:val="restart"/>
          </w:tcPr>
          <w:p>
            <w:pPr>
              <w:spacing w:after="0"/>
              <w:rPr>
                <w:sz w:val="20"/>
                <w:szCs w:val="20"/>
                <w:color w:val="auto"/>
              </w:rPr>
            </w:pPr>
            <w:r>
              <w:rPr>
                <w:rFonts w:ascii="Arial" w:cs="Arial" w:eastAsia="Arial" w:hAnsi="Arial"/>
                <w:sz w:val="22"/>
                <w:szCs w:val="22"/>
                <w:color w:val="auto"/>
                <w:w w:val="92"/>
              </w:rPr>
              <w:t>Counterparts; Facsimile and Electronic Signatures</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60">
              <w:r>
                <w:rPr>
                  <w:rFonts w:ascii="Arial" w:cs="Arial" w:eastAsia="Arial" w:hAnsi="Arial"/>
                  <w:sz w:val="18"/>
                  <w:szCs w:val="18"/>
                  <w:color w:val="0000FF"/>
                </w:rPr>
                <w:t>65</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11.13</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Survival of Representations and Warranties</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vMerge w:val="restart"/>
          </w:tcPr>
          <w:p>
            <w:pPr>
              <w:jc w:val="right"/>
              <w:spacing w:after="0"/>
              <w:rPr>
                <w:rFonts w:ascii="Arial" w:cs="Arial" w:eastAsia="Arial" w:hAnsi="Arial"/>
                <w:sz w:val="18"/>
                <w:szCs w:val="18"/>
                <w:color w:val="0000FF"/>
              </w:rPr>
            </w:pPr>
            <w:hyperlink w:anchor="page160">
              <w:r>
                <w:rPr>
                  <w:rFonts w:ascii="Arial" w:cs="Arial" w:eastAsia="Arial" w:hAnsi="Arial"/>
                  <w:sz w:val="18"/>
                  <w:szCs w:val="18"/>
                  <w:color w:val="0000FF"/>
                </w:rPr>
                <w:t>65</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720" w:type="dxa"/>
            <w:vAlign w:val="bottom"/>
            <w:gridSpan w:val="2"/>
            <w:vMerge w:val="continue"/>
          </w:tcPr>
          <w:p>
            <w:pPr>
              <w:spacing w:after="0"/>
              <w:rPr>
                <w:sz w:val="5"/>
                <w:szCs w:val="5"/>
                <w:color w:val="auto"/>
              </w:rPr>
            </w:pPr>
          </w:p>
        </w:tc>
        <w:tc>
          <w:tcPr>
            <w:tcW w:w="4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11.14</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Confidentiality; Intellectual Property</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60">
              <w:r>
                <w:rPr>
                  <w:rFonts w:ascii="Arial" w:cs="Arial" w:eastAsia="Arial" w:hAnsi="Arial"/>
                  <w:sz w:val="18"/>
                  <w:szCs w:val="18"/>
                  <w:color w:val="0000FF"/>
                </w:rPr>
                <w:t>65</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22"/>
                <w:szCs w:val="22"/>
                <w:color w:val="auto"/>
              </w:rPr>
              <w:t>Section 11.15</w:t>
            </w:r>
          </w:p>
        </w:tc>
        <w:tc>
          <w:tcPr>
            <w:tcW w:w="4520" w:type="dxa"/>
            <w:vAlign w:val="bottom"/>
            <w:vMerge w:val="restart"/>
          </w:tcPr>
          <w:p>
            <w:pPr>
              <w:spacing w:after="0"/>
              <w:rPr>
                <w:sz w:val="20"/>
                <w:szCs w:val="20"/>
                <w:color w:val="auto"/>
              </w:rPr>
            </w:pPr>
            <w:r>
              <w:rPr>
                <w:rFonts w:ascii="Arial" w:cs="Arial" w:eastAsia="Arial" w:hAnsi="Arial"/>
                <w:sz w:val="22"/>
                <w:szCs w:val="22"/>
                <w:color w:val="auto"/>
              </w:rPr>
              <w:t>Waiver of Punitive Damages</w:t>
            </w: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2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2"/>
          </w:tcPr>
          <w:p>
            <w:pPr>
              <w:jc w:val="right"/>
              <w:spacing w:after="0"/>
              <w:rPr>
                <w:rFonts w:ascii="Arial" w:cs="Arial" w:eastAsia="Arial" w:hAnsi="Arial"/>
                <w:sz w:val="18"/>
                <w:szCs w:val="18"/>
                <w:color w:val="0000FF"/>
              </w:rPr>
            </w:pPr>
            <w:hyperlink w:anchor="page162">
              <w:r>
                <w:rPr>
                  <w:rFonts w:ascii="Arial" w:cs="Arial" w:eastAsia="Arial" w:hAnsi="Arial"/>
                  <w:sz w:val="18"/>
                  <w:szCs w:val="18"/>
                  <w:color w:val="0000FF"/>
                </w:rPr>
                <w:t>67</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1720" w:type="dxa"/>
            <w:vAlign w:val="bottom"/>
            <w:gridSpan w:val="2"/>
          </w:tcPr>
          <w:p>
            <w:pPr>
              <w:spacing w:after="0"/>
              <w:rPr>
                <w:sz w:val="20"/>
                <w:szCs w:val="20"/>
                <w:color w:val="auto"/>
              </w:rPr>
            </w:pPr>
            <w:r>
              <w:rPr>
                <w:rFonts w:ascii="Arial" w:cs="Arial" w:eastAsia="Arial" w:hAnsi="Arial"/>
                <w:sz w:val="22"/>
                <w:szCs w:val="22"/>
                <w:color w:val="auto"/>
              </w:rPr>
              <w:t>APPENDICES</w:t>
            </w:r>
          </w:p>
        </w:tc>
        <w:tc>
          <w:tcPr>
            <w:tcW w:w="4520" w:type="dxa"/>
            <w:vAlign w:val="bottom"/>
            <w:vMerge w:val="restart"/>
          </w:tcPr>
          <w:p>
            <w:pPr>
              <w:ind w:left="2860"/>
              <w:spacing w:after="0"/>
              <w:rPr>
                <w:sz w:val="20"/>
                <w:szCs w:val="20"/>
                <w:color w:val="auto"/>
              </w:rPr>
            </w:pPr>
            <w:r>
              <w:rPr>
                <w:rFonts w:ascii="Arial" w:cs="Arial" w:eastAsia="Arial" w:hAnsi="Arial"/>
                <w:sz w:val="22"/>
                <w:szCs w:val="22"/>
                <w:color w:val="auto"/>
              </w:rPr>
              <w:t>Title</w:t>
            </w:r>
          </w:p>
        </w:tc>
        <w:tc>
          <w:tcPr>
            <w:tcW w:w="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3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52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22"/>
                <w:szCs w:val="22"/>
                <w:color w:val="auto"/>
              </w:rPr>
              <w:t>Appendix 1.1-A</w:t>
            </w:r>
          </w:p>
        </w:tc>
        <w:tc>
          <w:tcPr>
            <w:tcW w:w="9300" w:type="dxa"/>
            <w:vAlign w:val="bottom"/>
            <w:gridSpan w:val="5"/>
          </w:tcPr>
          <w:p>
            <w:pPr>
              <w:ind w:left="2860"/>
              <w:spacing w:after="0"/>
              <w:rPr>
                <w:sz w:val="20"/>
                <w:szCs w:val="20"/>
                <w:color w:val="auto"/>
              </w:rPr>
            </w:pPr>
            <w:r>
              <w:rPr>
                <w:rFonts w:ascii="Arial" w:cs="Arial" w:eastAsia="Arial" w:hAnsi="Arial"/>
                <w:sz w:val="22"/>
                <w:szCs w:val="22"/>
                <w:color w:val="auto"/>
              </w:rPr>
              <w:t>Form of Group Annuity Contract</w:t>
            </w: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22"/>
                <w:szCs w:val="22"/>
                <w:color w:val="auto"/>
              </w:rPr>
              <w:t>Appendix 1.1-B</w:t>
            </w:r>
          </w:p>
        </w:tc>
        <w:tc>
          <w:tcPr>
            <w:tcW w:w="9300" w:type="dxa"/>
            <w:vAlign w:val="bottom"/>
            <w:gridSpan w:val="5"/>
          </w:tcPr>
          <w:p>
            <w:pPr>
              <w:ind w:left="2860"/>
              <w:spacing w:after="0"/>
              <w:rPr>
                <w:sz w:val="20"/>
                <w:szCs w:val="20"/>
                <w:color w:val="auto"/>
              </w:rPr>
            </w:pPr>
            <w:r>
              <w:rPr>
                <w:rFonts w:ascii="Arial" w:cs="Arial" w:eastAsia="Arial" w:hAnsi="Arial"/>
                <w:sz w:val="22"/>
                <w:szCs w:val="22"/>
                <w:color w:val="auto"/>
              </w:rPr>
              <w:t>Form of GA 300 True-Up Amendment</w:t>
            </w: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22"/>
                <w:szCs w:val="22"/>
                <w:color w:val="auto"/>
              </w:rPr>
              <w:t>Appendix 1.2</w:t>
            </w:r>
          </w:p>
        </w:tc>
        <w:tc>
          <w:tcPr>
            <w:tcW w:w="4520" w:type="dxa"/>
            <w:vAlign w:val="bottom"/>
          </w:tcPr>
          <w:p>
            <w:pPr>
              <w:ind w:left="2860"/>
              <w:spacing w:after="0"/>
              <w:rPr>
                <w:sz w:val="20"/>
                <w:szCs w:val="20"/>
                <w:color w:val="auto"/>
              </w:rPr>
            </w:pPr>
            <w:r>
              <w:rPr>
                <w:rFonts w:ascii="Arial" w:cs="Arial" w:eastAsia="Arial" w:hAnsi="Arial"/>
                <w:sz w:val="22"/>
                <w:szCs w:val="22"/>
                <w:color w:val="auto"/>
              </w:rPr>
              <w:t>Priced Lives</w:t>
            </w:r>
          </w:p>
        </w:tc>
        <w:tc>
          <w:tcPr>
            <w:tcW w:w="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22"/>
                <w:szCs w:val="22"/>
                <w:color w:val="auto"/>
              </w:rPr>
              <w:t>Appendix 1.3</w:t>
            </w:r>
          </w:p>
        </w:tc>
        <w:tc>
          <w:tcPr>
            <w:tcW w:w="5480" w:type="dxa"/>
            <w:vAlign w:val="bottom"/>
            <w:gridSpan w:val="2"/>
          </w:tcPr>
          <w:p>
            <w:pPr>
              <w:ind w:left="2860"/>
              <w:spacing w:after="0"/>
              <w:rPr>
                <w:sz w:val="20"/>
                <w:szCs w:val="20"/>
                <w:color w:val="auto"/>
              </w:rPr>
            </w:pPr>
            <w:r>
              <w:rPr>
                <w:rFonts w:ascii="Arial" w:cs="Arial" w:eastAsia="Arial" w:hAnsi="Arial"/>
                <w:sz w:val="22"/>
                <w:szCs w:val="22"/>
                <w:color w:val="auto"/>
                <w:w w:val="92"/>
              </w:rPr>
              <w:t>Forms of Annuity Certificates</w:t>
            </w: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22"/>
                <w:szCs w:val="22"/>
                <w:color w:val="auto"/>
              </w:rPr>
              <w:t>Appendix 2.1-A</w:t>
            </w:r>
          </w:p>
        </w:tc>
        <w:tc>
          <w:tcPr>
            <w:tcW w:w="9300" w:type="dxa"/>
            <w:vAlign w:val="bottom"/>
            <w:gridSpan w:val="5"/>
          </w:tcPr>
          <w:p>
            <w:pPr>
              <w:ind w:left="2860"/>
              <w:spacing w:after="0"/>
              <w:rPr>
                <w:sz w:val="20"/>
                <w:szCs w:val="20"/>
                <w:color w:val="auto"/>
              </w:rPr>
            </w:pPr>
            <w:r>
              <w:rPr>
                <w:rFonts w:ascii="Arial" w:cs="Arial" w:eastAsia="Arial" w:hAnsi="Arial"/>
                <w:sz w:val="22"/>
                <w:szCs w:val="22"/>
                <w:color w:val="auto"/>
              </w:rPr>
              <w:t>Mechanics for Transfer of Final Plan Portfolio</w:t>
            </w: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22"/>
                <w:szCs w:val="22"/>
                <w:color w:val="auto"/>
              </w:rPr>
              <w:t>Appendix 2.1-B</w:t>
            </w:r>
          </w:p>
        </w:tc>
        <w:tc>
          <w:tcPr>
            <w:tcW w:w="9300" w:type="dxa"/>
            <w:vAlign w:val="bottom"/>
            <w:gridSpan w:val="5"/>
          </w:tcPr>
          <w:p>
            <w:pPr>
              <w:ind w:left="2860"/>
              <w:spacing w:after="0"/>
              <w:rPr>
                <w:sz w:val="20"/>
                <w:szCs w:val="20"/>
                <w:color w:val="auto"/>
              </w:rPr>
            </w:pPr>
            <w:r>
              <w:rPr>
                <w:rFonts w:ascii="Arial" w:cs="Arial" w:eastAsia="Arial" w:hAnsi="Arial"/>
                <w:sz w:val="22"/>
                <w:szCs w:val="22"/>
                <w:color w:val="auto"/>
              </w:rPr>
              <w:t>Final Plan Portfolio Transfer Instrument</w:t>
            </w: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22"/>
                <w:szCs w:val="22"/>
                <w:color w:val="auto"/>
              </w:rPr>
              <w:t>Appendix 2.6</w:t>
            </w:r>
          </w:p>
        </w:tc>
        <w:tc>
          <w:tcPr>
            <w:tcW w:w="9300" w:type="dxa"/>
            <w:vAlign w:val="bottom"/>
            <w:gridSpan w:val="5"/>
          </w:tcPr>
          <w:p>
            <w:pPr>
              <w:ind w:left="2860"/>
              <w:spacing w:after="0"/>
              <w:rPr>
                <w:sz w:val="20"/>
                <w:szCs w:val="20"/>
                <w:color w:val="auto"/>
              </w:rPr>
            </w:pPr>
            <w:r>
              <w:rPr>
                <w:rFonts w:ascii="Arial" w:cs="Arial" w:eastAsia="Arial" w:hAnsi="Arial"/>
                <w:sz w:val="22"/>
                <w:szCs w:val="22"/>
                <w:color w:val="auto"/>
              </w:rPr>
              <w:t>Asset Valuation Formulas and Methods</w:t>
            </w: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22"/>
                <w:szCs w:val="22"/>
                <w:color w:val="auto"/>
                <w:w w:val="96"/>
              </w:rPr>
              <w:t>Appendix 2.6(d)(I)</w:t>
            </w:r>
          </w:p>
        </w:tc>
        <w:tc>
          <w:tcPr>
            <w:tcW w:w="4520" w:type="dxa"/>
            <w:vAlign w:val="bottom"/>
          </w:tcPr>
          <w:p>
            <w:pPr>
              <w:ind w:left="2860"/>
              <w:spacing w:after="0"/>
              <w:rPr>
                <w:sz w:val="20"/>
                <w:szCs w:val="20"/>
                <w:color w:val="auto"/>
              </w:rPr>
            </w:pPr>
            <w:r>
              <w:rPr>
                <w:rFonts w:ascii="Arial" w:cs="Arial" w:eastAsia="Arial" w:hAnsi="Arial"/>
                <w:sz w:val="22"/>
                <w:szCs w:val="22"/>
                <w:color w:val="auto"/>
              </w:rPr>
              <w:t>List of [   ***</w:t>
            </w:r>
          </w:p>
        </w:tc>
        <w:tc>
          <w:tcPr>
            <w:tcW w:w="4780" w:type="dxa"/>
            <w:vAlign w:val="bottom"/>
            <w:gridSpan w:val="4"/>
          </w:tcPr>
          <w:p>
            <w:pPr>
              <w:spacing w:after="0"/>
              <w:rPr>
                <w:sz w:val="20"/>
                <w:szCs w:val="20"/>
                <w:color w:val="auto"/>
              </w:rPr>
            </w:pPr>
            <w:r>
              <w:rPr>
                <w:rFonts w:ascii="Arial" w:cs="Arial" w:eastAsia="Arial" w:hAnsi="Arial"/>
                <w:sz w:val="22"/>
                <w:szCs w:val="22"/>
                <w:color w:val="auto"/>
              </w:rPr>
              <w:t>] that Plan Trustee Intends to Transfer at Closing</w:t>
            </w:r>
          </w:p>
        </w:tc>
        <w:tc>
          <w:tcPr>
            <w:tcW w:w="0" w:type="dxa"/>
            <w:vAlign w:val="bottom"/>
          </w:tcPr>
          <w:p>
            <w:pPr>
              <w:spacing w:after="0"/>
              <w:rPr>
                <w:sz w:val="1"/>
                <w:szCs w:val="1"/>
                <w:color w:val="auto"/>
              </w:rPr>
            </w:pPr>
          </w:p>
        </w:tc>
      </w:tr>
      <w:tr>
        <w:trPr>
          <w:trHeight w:val="374"/>
        </w:trPr>
        <w:tc>
          <w:tcPr>
            <w:tcW w:w="1720" w:type="dxa"/>
            <w:vAlign w:val="bottom"/>
            <w:gridSpan w:val="2"/>
          </w:tcPr>
          <w:p>
            <w:pPr>
              <w:spacing w:after="0"/>
              <w:rPr>
                <w:sz w:val="20"/>
                <w:szCs w:val="20"/>
                <w:color w:val="auto"/>
              </w:rPr>
            </w:pPr>
            <w:r>
              <w:rPr>
                <w:rFonts w:ascii="Arial" w:cs="Arial" w:eastAsia="Arial" w:hAnsi="Arial"/>
                <w:sz w:val="22"/>
                <w:szCs w:val="22"/>
                <w:color w:val="auto"/>
                <w:w w:val="93"/>
              </w:rPr>
              <w:t>Appendix 2.6(d)(II)</w:t>
            </w:r>
          </w:p>
        </w:tc>
        <w:tc>
          <w:tcPr>
            <w:tcW w:w="5480" w:type="dxa"/>
            <w:vAlign w:val="bottom"/>
            <w:gridSpan w:val="2"/>
          </w:tcPr>
          <w:p>
            <w:pPr>
              <w:ind w:left="2860"/>
              <w:spacing w:after="0"/>
              <w:rPr>
                <w:sz w:val="20"/>
                <w:szCs w:val="20"/>
                <w:color w:val="auto"/>
              </w:rPr>
            </w:pPr>
            <w:r>
              <w:rPr>
                <w:rFonts w:ascii="Arial" w:cs="Arial" w:eastAsia="Arial" w:hAnsi="Arial"/>
                <w:sz w:val="22"/>
                <w:szCs w:val="22"/>
                <w:color w:val="auto"/>
              </w:rPr>
              <w:t>List of Additional [   ***</w:t>
            </w:r>
          </w:p>
        </w:tc>
        <w:tc>
          <w:tcPr>
            <w:tcW w:w="3820" w:type="dxa"/>
            <w:vAlign w:val="bottom"/>
            <w:gridSpan w:val="3"/>
          </w:tcPr>
          <w:p>
            <w:pPr>
              <w:ind w:left="20"/>
              <w:spacing w:after="0"/>
              <w:rPr>
                <w:sz w:val="20"/>
                <w:szCs w:val="20"/>
                <w:color w:val="auto"/>
              </w:rPr>
            </w:pPr>
            <w:r>
              <w:rPr>
                <w:rFonts w:ascii="Arial" w:cs="Arial" w:eastAsia="Arial" w:hAnsi="Arial"/>
                <w:sz w:val="22"/>
                <w:szCs w:val="22"/>
                <w:color w:val="auto"/>
                <w:w w:val="89"/>
              </w:rPr>
              <w:t>] that Plan Trustee May Include, in Ranking</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300" w:type="dxa"/>
            <w:vAlign w:val="bottom"/>
            <w:gridSpan w:val="5"/>
          </w:tcPr>
          <w:p>
            <w:pPr>
              <w:ind w:left="4140"/>
              <w:spacing w:after="0"/>
              <w:rPr>
                <w:sz w:val="20"/>
                <w:szCs w:val="20"/>
                <w:color w:val="auto"/>
              </w:rPr>
            </w:pPr>
            <w:r>
              <w:rPr>
                <w:rFonts w:ascii="Arial" w:cs="Arial" w:eastAsia="Arial" w:hAnsi="Arial"/>
                <w:sz w:val="22"/>
                <w:szCs w:val="22"/>
                <w:color w:val="auto"/>
              </w:rPr>
              <w:t>Order of Preference</w:t>
            </w:r>
          </w:p>
        </w:tc>
        <w:tc>
          <w:tcPr>
            <w:tcW w:w="0" w:type="dxa"/>
            <w:vAlign w:val="bottom"/>
          </w:tcPr>
          <w:p>
            <w:pPr>
              <w:spacing w:after="0"/>
              <w:rPr>
                <w:sz w:val="1"/>
                <w:szCs w:val="1"/>
                <w:color w:val="auto"/>
              </w:rPr>
            </w:pPr>
          </w:p>
        </w:tc>
      </w:tr>
      <w:tr>
        <w:trPr>
          <w:trHeight w:val="405"/>
        </w:trPr>
        <w:tc>
          <w:tcPr>
            <w:tcW w:w="1720" w:type="dxa"/>
            <w:vAlign w:val="bottom"/>
            <w:gridSpan w:val="2"/>
          </w:tcPr>
          <w:p>
            <w:pPr>
              <w:spacing w:after="0"/>
              <w:rPr>
                <w:sz w:val="20"/>
                <w:szCs w:val="20"/>
                <w:color w:val="auto"/>
              </w:rPr>
            </w:pPr>
            <w:r>
              <w:rPr>
                <w:rFonts w:ascii="Arial" w:cs="Arial" w:eastAsia="Arial" w:hAnsi="Arial"/>
                <w:sz w:val="22"/>
                <w:szCs w:val="22"/>
                <w:color w:val="auto"/>
              </w:rPr>
              <w:t>Appendix 2.7</w:t>
            </w:r>
          </w:p>
        </w:tc>
        <w:tc>
          <w:tcPr>
            <w:tcW w:w="5480" w:type="dxa"/>
            <w:vAlign w:val="bottom"/>
            <w:gridSpan w:val="2"/>
          </w:tcPr>
          <w:p>
            <w:pPr>
              <w:ind w:left="2860"/>
              <w:spacing w:after="0"/>
              <w:rPr>
                <w:sz w:val="20"/>
                <w:szCs w:val="20"/>
                <w:color w:val="auto"/>
              </w:rPr>
            </w:pPr>
            <w:r>
              <w:rPr>
                <w:rFonts w:ascii="Arial" w:cs="Arial" w:eastAsia="Arial" w:hAnsi="Arial"/>
                <w:sz w:val="22"/>
                <w:szCs w:val="22"/>
                <w:color w:val="auto"/>
                <w:w w:val="91"/>
              </w:rPr>
              <w:t>Form of Premium Calculation</w:t>
            </w: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22"/>
                <w:szCs w:val="22"/>
                <w:color w:val="auto"/>
              </w:rPr>
              <w:t>Appendix 2.12</w:t>
            </w:r>
          </w:p>
        </w:tc>
        <w:tc>
          <w:tcPr>
            <w:tcW w:w="4520" w:type="dxa"/>
            <w:vAlign w:val="bottom"/>
          </w:tcPr>
          <w:p>
            <w:pPr>
              <w:ind w:left="2860"/>
              <w:spacing w:after="0"/>
              <w:rPr>
                <w:sz w:val="20"/>
                <w:szCs w:val="20"/>
                <w:color w:val="auto"/>
              </w:rPr>
            </w:pPr>
            <w:r>
              <w:rPr>
                <w:rFonts w:ascii="Arial" w:cs="Arial" w:eastAsia="Arial" w:hAnsi="Arial"/>
                <w:sz w:val="22"/>
                <w:szCs w:val="22"/>
                <w:color w:val="auto"/>
                <w:w w:val="88"/>
              </w:rPr>
              <w:t>Dispute Resolution</w:t>
            </w:r>
          </w:p>
        </w:tc>
        <w:tc>
          <w:tcPr>
            <w:tcW w:w="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280" w:top="121" w:right="5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658"/>
        </w:trPr>
        <w:tc>
          <w:tcPr>
            <w:tcW w:w="1580" w:type="dxa"/>
            <w:vAlign w:val="bottom"/>
            <w:gridSpan w:val="2"/>
          </w:tcPr>
          <w:p>
            <w:pPr>
              <w:spacing w:after="0"/>
              <w:rPr>
                <w:sz w:val="20"/>
                <w:szCs w:val="20"/>
                <w:color w:val="auto"/>
              </w:rPr>
            </w:pPr>
            <w:r>
              <w:rPr>
                <w:rFonts w:ascii="Arial" w:cs="Arial" w:eastAsia="Arial" w:hAnsi="Arial"/>
                <w:sz w:val="22"/>
                <w:szCs w:val="22"/>
                <w:color w:val="auto"/>
              </w:rPr>
              <w:t>Appendix 6.6</w:t>
            </w:r>
          </w:p>
        </w:tc>
        <w:tc>
          <w:tcPr>
            <w:tcW w:w="30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22"/>
                <w:szCs w:val="22"/>
                <w:color w:val="auto"/>
                <w:w w:val="90"/>
              </w:rPr>
              <w:t>Projected RBC Ratio Calculation Method</w:t>
            </w:r>
          </w:p>
        </w:tc>
      </w:tr>
      <w:tr>
        <w:trPr>
          <w:trHeight w:val="297"/>
        </w:trPr>
        <w:tc>
          <w:tcPr>
            <w:tcW w:w="1580" w:type="dxa"/>
            <w:vAlign w:val="bottom"/>
            <w:gridSpan w:val="2"/>
          </w:tcPr>
          <w:p>
            <w:pPr>
              <w:spacing w:after="0"/>
              <w:rPr>
                <w:sz w:val="20"/>
                <w:szCs w:val="20"/>
                <w:color w:val="auto"/>
              </w:rPr>
            </w:pPr>
            <w:r>
              <w:rPr>
                <w:rFonts w:ascii="Arial" w:cs="Arial" w:eastAsia="Arial" w:hAnsi="Arial"/>
                <w:sz w:val="22"/>
                <w:szCs w:val="22"/>
                <w:color w:val="auto"/>
              </w:rPr>
              <w:t>Appendix 6.7</w:t>
            </w:r>
          </w:p>
        </w:tc>
        <w:tc>
          <w:tcPr>
            <w:tcW w:w="30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22"/>
                <w:szCs w:val="22"/>
                <w:color w:val="auto"/>
              </w:rPr>
              <w:t>Administrative Transition Process</w:t>
            </w:r>
          </w:p>
        </w:tc>
      </w:tr>
      <w:tr>
        <w:trPr>
          <w:trHeight w:val="297"/>
        </w:trPr>
        <w:tc>
          <w:tcPr>
            <w:tcW w:w="1580" w:type="dxa"/>
            <w:vAlign w:val="bottom"/>
            <w:gridSpan w:val="2"/>
          </w:tcPr>
          <w:p>
            <w:pPr>
              <w:spacing w:after="0"/>
              <w:rPr>
                <w:sz w:val="20"/>
                <w:szCs w:val="20"/>
                <w:color w:val="auto"/>
              </w:rPr>
            </w:pPr>
            <w:r>
              <w:rPr>
                <w:rFonts w:ascii="Arial" w:cs="Arial" w:eastAsia="Arial" w:hAnsi="Arial"/>
                <w:sz w:val="22"/>
                <w:szCs w:val="22"/>
                <w:color w:val="auto"/>
              </w:rPr>
              <w:t>Appendix 8.2(d)</w:t>
            </w:r>
          </w:p>
        </w:tc>
        <w:tc>
          <w:tcPr>
            <w:tcW w:w="30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22"/>
                <w:szCs w:val="22"/>
                <w:color w:val="auto"/>
              </w:rPr>
              <w:t>Insurer Governmental Approvals</w:t>
            </w:r>
          </w:p>
        </w:tc>
      </w:tr>
      <w:tr>
        <w:trPr>
          <w:trHeight w:val="297"/>
        </w:trPr>
        <w:tc>
          <w:tcPr>
            <w:tcW w:w="1580" w:type="dxa"/>
            <w:vAlign w:val="bottom"/>
            <w:gridSpan w:val="2"/>
          </w:tcPr>
          <w:p>
            <w:pPr>
              <w:spacing w:after="0"/>
              <w:rPr>
                <w:sz w:val="20"/>
                <w:szCs w:val="20"/>
                <w:color w:val="auto"/>
              </w:rPr>
            </w:pPr>
            <w:r>
              <w:rPr>
                <w:rFonts w:ascii="Arial" w:cs="Arial" w:eastAsia="Arial" w:hAnsi="Arial"/>
                <w:sz w:val="22"/>
                <w:szCs w:val="22"/>
                <w:color w:val="auto"/>
              </w:rPr>
              <w:t>Appendix 8.2(e)</w:t>
            </w:r>
          </w:p>
        </w:tc>
        <w:tc>
          <w:tcPr>
            <w:tcW w:w="30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22"/>
                <w:szCs w:val="22"/>
                <w:color w:val="auto"/>
              </w:rPr>
              <w:t>Plan Governmental Approvals</w:t>
            </w:r>
          </w:p>
        </w:tc>
      </w:tr>
      <w:tr>
        <w:trPr>
          <w:trHeight w:val="854"/>
        </w:trPr>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EXHIBITS</w:t>
            </w:r>
          </w:p>
        </w:tc>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44"/>
        </w:trPr>
        <w:tc>
          <w:tcPr>
            <w:tcW w:w="1580" w:type="dxa"/>
            <w:vAlign w:val="bottom"/>
            <w:gridSpan w:val="2"/>
          </w:tcPr>
          <w:p>
            <w:pPr>
              <w:spacing w:after="0"/>
              <w:rPr>
                <w:sz w:val="20"/>
                <w:szCs w:val="20"/>
                <w:color w:val="auto"/>
              </w:rPr>
            </w:pPr>
            <w:r>
              <w:rPr>
                <w:rFonts w:ascii="Arial" w:cs="Arial" w:eastAsia="Arial" w:hAnsi="Arial"/>
                <w:sz w:val="22"/>
                <w:szCs w:val="22"/>
                <w:color w:val="auto"/>
              </w:rPr>
              <w:t>Exhibit A</w:t>
            </w:r>
          </w:p>
        </w:tc>
        <w:tc>
          <w:tcPr>
            <w:tcW w:w="6600" w:type="dxa"/>
            <w:vAlign w:val="bottom"/>
            <w:gridSpan w:val="2"/>
          </w:tcPr>
          <w:p>
            <w:pPr>
              <w:ind w:left="140"/>
              <w:spacing w:after="0"/>
              <w:rPr>
                <w:sz w:val="20"/>
                <w:szCs w:val="20"/>
                <w:color w:val="auto"/>
              </w:rPr>
            </w:pPr>
            <w:r>
              <w:rPr>
                <w:rFonts w:ascii="Arial" w:cs="Arial" w:eastAsia="Arial" w:hAnsi="Arial"/>
                <w:sz w:val="22"/>
                <w:szCs w:val="22"/>
                <w:color w:val="auto"/>
              </w:rPr>
              <w:t>Form of Transferred Assets Schedules</w:t>
            </w:r>
          </w:p>
        </w:tc>
      </w:tr>
      <w:tr>
        <w:trPr>
          <w:trHeight w:val="297"/>
        </w:trPr>
        <w:tc>
          <w:tcPr>
            <w:tcW w:w="1580" w:type="dxa"/>
            <w:vAlign w:val="bottom"/>
            <w:gridSpan w:val="2"/>
          </w:tcPr>
          <w:p>
            <w:pPr>
              <w:spacing w:after="0"/>
              <w:rPr>
                <w:sz w:val="20"/>
                <w:szCs w:val="20"/>
                <w:color w:val="auto"/>
              </w:rPr>
            </w:pPr>
            <w:r>
              <w:rPr>
                <w:rFonts w:ascii="Arial" w:cs="Arial" w:eastAsia="Arial" w:hAnsi="Arial"/>
                <w:sz w:val="22"/>
                <w:szCs w:val="22"/>
                <w:color w:val="auto"/>
              </w:rPr>
              <w:t>Exhibit B</w:t>
            </w:r>
          </w:p>
        </w:tc>
        <w:tc>
          <w:tcPr>
            <w:tcW w:w="3000" w:type="dxa"/>
            <w:vAlign w:val="bottom"/>
          </w:tcPr>
          <w:p>
            <w:pPr>
              <w:ind w:left="140"/>
              <w:spacing w:after="0"/>
              <w:rPr>
                <w:sz w:val="20"/>
                <w:szCs w:val="20"/>
                <w:color w:val="auto"/>
              </w:rPr>
            </w:pPr>
            <w:r>
              <w:rPr>
                <w:rFonts w:ascii="Arial" w:cs="Arial" w:eastAsia="Arial" w:hAnsi="Arial"/>
                <w:sz w:val="22"/>
                <w:szCs w:val="22"/>
                <w:color w:val="auto"/>
                <w:w w:val="88"/>
              </w:rPr>
              <w:t>Form of Plan Trustee Agreement</w:t>
            </w:r>
          </w:p>
        </w:tc>
        <w:tc>
          <w:tcPr>
            <w:tcW w:w="3600" w:type="dxa"/>
            <w:vAlign w:val="bottom"/>
          </w:tcPr>
          <w:p>
            <w:pPr>
              <w:spacing w:after="0"/>
              <w:rPr>
                <w:sz w:val="24"/>
                <w:szCs w:val="24"/>
                <w:color w:val="auto"/>
              </w:rPr>
            </w:pPr>
          </w:p>
        </w:tc>
      </w:tr>
      <w:tr>
        <w:trPr>
          <w:trHeight w:val="297"/>
        </w:trPr>
        <w:tc>
          <w:tcPr>
            <w:tcW w:w="1580" w:type="dxa"/>
            <w:vAlign w:val="bottom"/>
            <w:gridSpan w:val="2"/>
          </w:tcPr>
          <w:p>
            <w:pPr>
              <w:spacing w:after="0"/>
              <w:rPr>
                <w:sz w:val="20"/>
                <w:szCs w:val="20"/>
                <w:color w:val="auto"/>
              </w:rPr>
            </w:pPr>
            <w:r>
              <w:rPr>
                <w:rFonts w:ascii="Arial" w:cs="Arial" w:eastAsia="Arial" w:hAnsi="Arial"/>
                <w:sz w:val="22"/>
                <w:szCs w:val="22"/>
                <w:color w:val="auto"/>
              </w:rPr>
              <w:t>Exhibit C</w:t>
            </w:r>
          </w:p>
        </w:tc>
        <w:tc>
          <w:tcPr>
            <w:tcW w:w="3000" w:type="dxa"/>
            <w:vAlign w:val="bottom"/>
          </w:tcPr>
          <w:p>
            <w:pPr>
              <w:ind w:left="140"/>
              <w:spacing w:after="0"/>
              <w:rPr>
                <w:sz w:val="20"/>
                <w:szCs w:val="20"/>
                <w:color w:val="auto"/>
              </w:rPr>
            </w:pPr>
            <w:r>
              <w:rPr>
                <w:rFonts w:ascii="Arial" w:cs="Arial" w:eastAsia="Arial" w:hAnsi="Arial"/>
                <w:sz w:val="22"/>
                <w:szCs w:val="22"/>
                <w:color w:val="auto"/>
                <w:w w:val="95"/>
              </w:rPr>
              <w:t>Form of Final Asset Statement</w:t>
            </w:r>
          </w:p>
        </w:tc>
        <w:tc>
          <w:tcPr>
            <w:tcW w:w="3600" w:type="dxa"/>
            <w:vAlign w:val="bottom"/>
          </w:tcPr>
          <w:p>
            <w:pPr>
              <w:spacing w:after="0"/>
              <w:rPr>
                <w:sz w:val="24"/>
                <w:szCs w:val="24"/>
                <w:color w:val="auto"/>
              </w:rPr>
            </w:pPr>
          </w:p>
        </w:tc>
      </w:tr>
      <w:tr>
        <w:trPr>
          <w:trHeight w:val="297"/>
        </w:trPr>
        <w:tc>
          <w:tcPr>
            <w:tcW w:w="1580" w:type="dxa"/>
            <w:vAlign w:val="bottom"/>
            <w:gridSpan w:val="2"/>
          </w:tcPr>
          <w:p>
            <w:pPr>
              <w:spacing w:after="0"/>
              <w:rPr>
                <w:sz w:val="20"/>
                <w:szCs w:val="20"/>
                <w:color w:val="auto"/>
              </w:rPr>
            </w:pPr>
            <w:r>
              <w:rPr>
                <w:rFonts w:ascii="Arial" w:cs="Arial" w:eastAsia="Arial" w:hAnsi="Arial"/>
                <w:sz w:val="22"/>
                <w:szCs w:val="22"/>
                <w:color w:val="auto"/>
              </w:rPr>
              <w:t>Exhibit D</w:t>
            </w:r>
          </w:p>
        </w:tc>
        <w:tc>
          <w:tcPr>
            <w:tcW w:w="3000" w:type="dxa"/>
            <w:vAlign w:val="bottom"/>
          </w:tcPr>
          <w:p>
            <w:pPr>
              <w:ind w:left="140"/>
              <w:spacing w:after="0"/>
              <w:rPr>
                <w:sz w:val="20"/>
                <w:szCs w:val="20"/>
                <w:color w:val="auto"/>
              </w:rPr>
            </w:pPr>
            <w:r>
              <w:rPr>
                <w:rFonts w:ascii="Arial" w:cs="Arial" w:eastAsia="Arial" w:hAnsi="Arial"/>
                <w:sz w:val="22"/>
                <w:szCs w:val="22"/>
                <w:color w:val="auto"/>
              </w:rPr>
              <w:t>Form of Instruction to [   ***</w:t>
            </w:r>
          </w:p>
        </w:tc>
        <w:tc>
          <w:tcPr>
            <w:tcW w:w="3600" w:type="dxa"/>
            <w:vAlign w:val="bottom"/>
          </w:tcPr>
          <w:p>
            <w:pPr>
              <w:ind w:left="16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DISCLOSURE LETTERS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Company Disclosure Letter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Prudential Disclosure Letter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79"/>
          </w:cols>
          <w:pgMar w:left="280" w:top="121"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DEFINITIVE TRANSACTION FRAMEWORK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DEFINITIVE TRANSACTION FRAMEWORK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May 30, 2012 (the “</w:t>
      </w:r>
      <w:r>
        <w:rPr>
          <w:rFonts w:ascii="Arial" w:cs="Arial" w:eastAsia="Arial" w:hAnsi="Arial"/>
          <w:sz w:val="22"/>
          <w:szCs w:val="22"/>
          <w:u w:val="single" w:color="auto"/>
          <w:color w:val="auto"/>
        </w:rPr>
        <w:t>DTFA Execution Date</w:t>
      </w:r>
      <w:r>
        <w:rPr>
          <w:rFonts w:ascii="Arial" w:cs="Arial" w:eastAsia="Arial" w:hAnsi="Arial"/>
          <w:sz w:val="22"/>
          <w:szCs w:val="22"/>
          <w:color w:val="auto"/>
        </w:rPr>
        <w:t>”) by and among The Prudential Insurance Company of America, a New Jersey life insurance company (the “</w:t>
      </w:r>
      <w:r>
        <w:rPr>
          <w:rFonts w:ascii="Arial" w:cs="Arial" w:eastAsia="Arial" w:hAnsi="Arial"/>
          <w:sz w:val="22"/>
          <w:szCs w:val="22"/>
          <w:u w:val="single" w:color="auto"/>
          <w:color w:val="auto"/>
        </w:rPr>
        <w:t>Insurer</w:t>
      </w:r>
      <w:r>
        <w:rPr>
          <w:rFonts w:ascii="Arial" w:cs="Arial" w:eastAsia="Arial" w:hAnsi="Arial"/>
          <w:sz w:val="22"/>
          <w:szCs w:val="22"/>
          <w:color w:val="auto"/>
        </w:rPr>
        <w:t>”), Prudential Financial, Inc., a New Jersey corporation (“</w:t>
      </w:r>
      <w:r>
        <w:rPr>
          <w:rFonts w:ascii="Arial" w:cs="Arial" w:eastAsia="Arial" w:hAnsi="Arial"/>
          <w:sz w:val="22"/>
          <w:szCs w:val="22"/>
          <w:u w:val="single" w:color="auto"/>
          <w:color w:val="auto"/>
        </w:rPr>
        <w:t>Insurer Parent</w:t>
      </w:r>
      <w:r>
        <w:rPr>
          <w:rFonts w:ascii="Arial" w:cs="Arial" w:eastAsia="Arial" w:hAnsi="Arial"/>
          <w:sz w:val="22"/>
          <w:szCs w:val="22"/>
          <w:color w:val="auto"/>
        </w:rPr>
        <w:t>”), General Motors LLC, a Delaware limited liability company (acting in a non-fiduciary capacity as the sponsor of the Plan (the “</w:t>
      </w:r>
      <w:r>
        <w:rPr>
          <w:rFonts w:ascii="Arial" w:cs="Arial" w:eastAsia="Arial" w:hAnsi="Arial"/>
          <w:sz w:val="22"/>
          <w:szCs w:val="22"/>
          <w:u w:val="single" w:color="auto"/>
          <w:color w:val="auto"/>
        </w:rPr>
        <w:t>Company</w:t>
      </w:r>
      <w:r>
        <w:rPr>
          <w:rFonts w:ascii="Arial" w:cs="Arial" w:eastAsia="Arial" w:hAnsi="Arial"/>
          <w:sz w:val="22"/>
          <w:szCs w:val="22"/>
          <w:color w:val="auto"/>
        </w:rPr>
        <w:t>”), and State Street Bank and Trust Company, a Massachusetts trust company, solely in its capacity as the independent fiduciary of the General Motors Retirement Program for Salaried Employees (the “</w:t>
      </w:r>
      <w:r>
        <w:rPr>
          <w:rFonts w:ascii="Arial" w:cs="Arial" w:eastAsia="Arial" w:hAnsi="Arial"/>
          <w:sz w:val="22"/>
          <w:szCs w:val="22"/>
          <w:u w:val="single" w:color="auto"/>
          <w:color w:val="auto"/>
        </w:rPr>
        <w:t>Plan</w:t>
      </w:r>
      <w:r>
        <w:rPr>
          <w:rFonts w:ascii="Arial" w:cs="Arial" w:eastAsia="Arial" w:hAnsi="Arial"/>
          <w:sz w:val="22"/>
          <w:szCs w:val="22"/>
          <w:color w:val="auto"/>
        </w:rPr>
        <w:t>”) with authority and responsibility to represent the Plan and its Plan Participants and Plan Beneficiaries in regard to the transactions set forth herein (the “</w:t>
      </w:r>
      <w:r>
        <w:rPr>
          <w:rFonts w:ascii="Arial" w:cs="Arial" w:eastAsia="Arial" w:hAnsi="Arial"/>
          <w:sz w:val="22"/>
          <w:szCs w:val="22"/>
          <w:u w:val="single" w:color="auto"/>
          <w:color w:val="auto"/>
        </w:rPr>
        <w:t>Independent Fiduciary</w:t>
      </w:r>
      <w:r>
        <w:rPr>
          <w:rFonts w:ascii="Arial" w:cs="Arial" w:eastAsia="Arial" w:hAnsi="Arial"/>
          <w:sz w:val="22"/>
          <w:szCs w:val="22"/>
          <w:color w:val="auto"/>
        </w:rPr>
        <w:t>”). The Insurer, Insurer Parent, the Company, and the Independent Fiduciary as the representative of the Plan are referred to collectively herein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wishes to spin off from the Plan various assets and liabilities attributable to active salaried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participants, deferred vested participants and certain other participants and transfer them to a New Plan, such that the remaining Plan Participants and Plan Beneficiaries in the Plan consist of Covered Lives, Contingent Lives and Beneficiaries (the “</w:t>
      </w:r>
      <w:r>
        <w:rPr>
          <w:rFonts w:ascii="Arial" w:cs="Arial" w:eastAsia="Arial" w:hAnsi="Arial"/>
          <w:sz w:val="22"/>
          <w:szCs w:val="22"/>
          <w:u w:val="single" w:color="auto"/>
          <w:color w:val="auto"/>
        </w:rPr>
        <w:t>Plan Spin-Off</w:t>
      </w:r>
      <w:r>
        <w:rPr>
          <w:rFonts w:ascii="Arial" w:cs="Arial" w:eastAsia="Arial" w:hAnsi="Arial"/>
          <w:sz w:val="22"/>
          <w:szCs w:val="22"/>
          <w:color w:val="auto"/>
        </w:rPr>
        <w:t>”);</w:t>
      </w:r>
    </w:p>
    <w:p>
      <w:pPr>
        <w:spacing w:after="0" w:line="3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amended the Plan to provide certain Plan Participants and Plan Beneficiaries in pay status</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right to elect a Lump-Sum Payment;</w:t>
      </w:r>
    </w:p>
    <w:p>
      <w:pPr>
        <w:spacing w:after="0" w:line="3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wishes to amend the Plan to provide for a Standard Termination of the Plan covering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remaining Plan Participants and Plan Beneficiaries (the “</w:t>
      </w:r>
      <w:r>
        <w:rPr>
          <w:rFonts w:ascii="Arial" w:cs="Arial" w:eastAsia="Arial" w:hAnsi="Arial"/>
          <w:sz w:val="22"/>
          <w:szCs w:val="22"/>
          <w:u w:val="single" w:color="auto"/>
          <w:color w:val="auto"/>
        </w:rPr>
        <w:t>Plan Termination</w:t>
      </w:r>
      <w:r>
        <w:rPr>
          <w:rFonts w:ascii="Arial" w:cs="Arial" w:eastAsia="Arial" w:hAnsi="Arial"/>
          <w:sz w:val="22"/>
          <w:szCs w:val="22"/>
          <w:color w:val="auto"/>
        </w:rPr>
        <w:t>”), and intends to transfer to the Plan sufficient funding to meet the requirements for a Standard Termination;</w:t>
      </w:r>
    </w:p>
    <w:p>
      <w:pPr>
        <w:spacing w:after="0" w:line="3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Independent Fiduciary has been appointed to represent the Plan and its Plan Participants and Plan</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Beneficiaries in connection with the purchase of one or more group annuity contracts and has been and will be responsible for the selection of the insurer to provide such annuity contract(s) for all Covered Lives, Contingent Lives and Beneficiaries in accordance with ERISA and applicable guidance, including Interpretive Bulletin 95-1;</w:t>
      </w:r>
    </w:p>
    <w:p>
      <w:pPr>
        <w:spacing w:after="0" w:line="39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Insurer wishes to issue to the Plan the Group Annuity Contract on the terms and subject to the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herein and therein;</w:t>
      </w:r>
    </w:p>
    <w:p>
      <w:pPr>
        <w:spacing w:after="0" w:line="3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Insurer Parent expects to derive substantial benefit from the consummation of the transactions contemplated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this Agreement and the Insurer's issuance of the Group Annuity Contract;</w:t>
      </w:r>
    </w:p>
    <w:p>
      <w:pPr>
        <w:spacing w:after="0" w:line="3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is desirous of proceeding with the Plan's purchase of the Group Annuity Contract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Insurer in connection with the Plan Termination, and is providing the Plan a commitment to contribute the additional funding necessary to enable the Plan to satisfy Plan benefits in accordance with 29 U.S.C. §4041(b), on the terms and subject to the conditions set forth herein;</w:t>
      </w:r>
    </w:p>
    <w:p>
      <w:pPr>
        <w:spacing w:after="0" w:line="3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Independent Fiduciary has determined that the Insurer satisfies the requirements of Interpretive Bulletin</w:t>
      </w:r>
      <w:r>
        <w:rPr>
          <w:rFonts w:ascii="Arial" w:cs="Arial" w:eastAsia="Arial" w:hAnsi="Arial"/>
          <w:sz w:val="22"/>
          <w:szCs w:val="22"/>
          <w:b w:val="1"/>
          <w:bCs w:val="1"/>
          <w:color w:val="auto"/>
        </w:rPr>
        <w:t xml:space="preserve"> </w:t>
      </w:r>
      <w:r>
        <w:rPr>
          <w:rFonts w:ascii="Arial" w:cs="Arial" w:eastAsia="Arial" w:hAnsi="Arial"/>
          <w:sz w:val="22"/>
          <w:szCs w:val="22"/>
          <w:color w:val="auto"/>
        </w:rPr>
        <w:t>95-1 and will direct the Plan to proceed to purchase the Group Annuity Contract from the Insurer in connection with the termination of the Plan on the terms and subject to the conditions set forth herein; and</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prior to the execution of this Agreement, the Insurer has entered into a letter of</w:t>
      </w:r>
    </w:p>
    <w:p>
      <w:pPr>
        <w:sectPr>
          <w:pgSz w:w="11900" w:h="16838" w:orient="portrait"/>
          <w:cols w:equalWidth="0" w:num="1">
            <w:col w:w="11420"/>
          </w:cols>
          <w:pgMar w:left="240" w:top="801" w:right="239" w:bottom="827"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801" w:right="239" w:bottom="827" w:gutter="0" w:footer="0" w:header="0"/>
          <w:type w:val="continuous"/>
        </w:sectPr>
      </w:pPr>
    </w:p>
    <w:bookmarkStart w:id="92" w:name="page93"/>
    <w:bookmarkEnd w:id="92"/>
    <w:p>
      <w:pPr>
        <w:jc w:val="both"/>
        <w:spacing w:after="0" w:line="263" w:lineRule="auto"/>
        <w:rPr>
          <w:sz w:val="20"/>
          <w:szCs w:val="20"/>
          <w:color w:val="auto"/>
        </w:rPr>
      </w:pPr>
      <w:r>
        <w:rPr>
          <w:rFonts w:ascii="Arial" w:cs="Arial" w:eastAsia="Arial" w:hAnsi="Arial"/>
          <w:sz w:val="22"/>
          <w:szCs w:val="22"/>
          <w:color w:val="auto"/>
        </w:rPr>
        <w:t>understanding with Fidelity, which acts as the recordkeeper and third party administrator for the Plan, setting forth the principal terms governing an Administration and Transition Services Agreement (“</w:t>
      </w:r>
      <w:r>
        <w:rPr>
          <w:rFonts w:ascii="Arial" w:cs="Arial" w:eastAsia="Arial" w:hAnsi="Arial"/>
          <w:sz w:val="22"/>
          <w:szCs w:val="22"/>
          <w:u w:val="single" w:color="auto"/>
          <w:color w:val="auto"/>
        </w:rPr>
        <w:t>ATSA</w:t>
      </w:r>
      <w:r>
        <w:rPr>
          <w:rFonts w:ascii="Arial" w:cs="Arial" w:eastAsia="Arial" w:hAnsi="Arial"/>
          <w:sz w:val="22"/>
          <w:szCs w:val="22"/>
          <w:color w:val="auto"/>
        </w:rPr>
        <w:t>”).</w:t>
      </w:r>
    </w:p>
    <w:p>
      <w:pPr>
        <w:spacing w:after="0" w:line="3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mutual promises herein made, and in consideration of the representations,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warranties and covenants herein contained, the Parties agree as follows:</w:t>
      </w:r>
    </w:p>
    <w:p>
      <w:pPr>
        <w:spacing w:after="0" w:line="200" w:lineRule="exact"/>
        <w:rPr>
          <w:sz w:val="20"/>
          <w:szCs w:val="20"/>
          <w:color w:val="auto"/>
        </w:rPr>
      </w:pPr>
    </w:p>
    <w:p>
      <w:pPr>
        <w:spacing w:after="0" w:line="327"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1</w:t>
      </w:r>
    </w:p>
    <w:p>
      <w:pPr>
        <w:spacing w:after="0" w:line="50"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DEFINITIONS AND INTERPRETATION</w:t>
      </w:r>
    </w:p>
    <w:p>
      <w:pPr>
        <w:spacing w:after="0" w:line="31" w:lineRule="exact"/>
        <w:rPr>
          <w:sz w:val="20"/>
          <w:szCs w:val="20"/>
          <w:color w:val="auto"/>
        </w:rPr>
      </w:pPr>
    </w:p>
    <w:p>
      <w:pPr>
        <w:jc w:val="center"/>
        <w:ind w:left="660"/>
        <w:spacing w:after="0"/>
        <w:tabs>
          <w:tab w:leader="none" w:pos="2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 xml:space="preserve">Definitions. </w:t>
      </w:r>
      <w:r>
        <w:rPr>
          <w:rFonts w:ascii="Arial" w:cs="Arial" w:eastAsia="Arial" w:hAnsi="Arial"/>
          <w:sz w:val="19"/>
          <w:szCs w:val="19"/>
          <w:color w:val="auto"/>
        </w:rPr>
        <w:t>For purposes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10-Q</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6.4(f)</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claim, action, suit, arbitration, complaint, charge, investigation, inquiry or proceeding by or before any Governmental Authority.</w:t>
      </w:r>
    </w:p>
    <w:p>
      <w:pPr>
        <w:spacing w:after="0" w:line="3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Classification Error Correction</w:t>
      </w:r>
      <w:r>
        <w:rPr>
          <w:rFonts w:ascii="Arial" w:cs="Arial" w:eastAsia="Arial" w:hAnsi="Arial"/>
          <w:sz w:val="22"/>
          <w:szCs w:val="22"/>
          <w:color w:val="auto"/>
        </w:rPr>
        <w:t>” means the amount of the adjustment to the Dry-Run Post-Solicitation Premiums, the Preliminary Post-Solicitation Premium, the Interim Post-Closing Post-Solicitation Premium or the Post-Closing Post-Solicitation Premium, as applicable, as determined by the Insurer and limited to the Additional Classification Errors in accordance with the methodologies that are applied by the Insurer in calculating the Non-Solicited Annuity Premium, the Solicited Annuity Premium and, if applicable, the Non-Electing Annuity Premium.</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Classification Errors</w:t>
      </w:r>
      <w:r>
        <w:rPr>
          <w:rFonts w:ascii="Arial" w:cs="Arial" w:eastAsia="Arial" w:hAnsi="Arial"/>
          <w:sz w:val="21"/>
          <w:szCs w:val="21"/>
          <w:color w:val="auto"/>
        </w:rPr>
        <w:t xml:space="preserve">” means only those Classification Errors (other than Signing Classification Errors) that the Company or its Affiliates or Fidelity reports to the Insurer in writing; </w:t>
      </w:r>
      <w:r>
        <w:rPr>
          <w:rFonts w:ascii="Arial" w:cs="Arial" w:eastAsia="Arial" w:hAnsi="Arial"/>
          <w:sz w:val="21"/>
          <w:szCs w:val="21"/>
          <w:u w:val="single" w:color="auto"/>
          <w:color w:val="auto"/>
        </w:rPr>
        <w:t>provided</w:t>
      </w:r>
      <w:r>
        <w:rPr>
          <w:rFonts w:ascii="Arial" w:cs="Arial" w:eastAsia="Arial" w:hAnsi="Arial"/>
          <w:sz w:val="21"/>
          <w:szCs w:val="21"/>
          <w:color w:val="auto"/>
        </w:rPr>
        <w:t>, that, in the case of any such report by Fidelity, the Company shall have the right to (a) review such report and (b) promptly correct any errors in such report.</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Basis Amount</w:t>
      </w:r>
      <w:r>
        <w:rPr>
          <w:rFonts w:ascii="Arial" w:cs="Arial" w:eastAsia="Arial" w:hAnsi="Arial"/>
          <w:sz w:val="22"/>
          <w:szCs w:val="22"/>
          <w:color w:val="auto"/>
        </w:rPr>
        <w:t>” is defined in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 provided, however, that none of the United States, the U.S. Department of Treasury nor any Person controlled by the United States or the U.S. Department of Treasury shall be deemed to be an Affiliate of the Company solely because of the ownership, directly or indirectly, by the U.S. Department of Treasury of equity interests in the corporate parent of the Company.</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980" w:val="left"/>
          <w:tab w:leader="none" w:pos="16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Updates</w:t>
      </w:r>
      <w:r>
        <w:rPr>
          <w:rFonts w:ascii="Arial" w:cs="Arial" w:eastAsia="Arial" w:hAnsi="Arial"/>
          <w:sz w:val="22"/>
          <w:szCs w:val="22"/>
          <w:color w:val="auto"/>
        </w:rPr>
        <w:t>” is defined in Section K of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Arrangement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Transaction Proposal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6.10</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means the Group Annuity Contract (after giving effect to the restatement of Contract 300 Article P and all exhibits thereto), the Plan Trustee Agreement, the Escrow Agreement, the</w:t>
      </w:r>
    </w:p>
    <w:p>
      <w:pPr>
        <w:sectPr>
          <w:pgSz w:w="11900" w:h="16838" w:orient="portrait"/>
          <w:cols w:equalWidth="0" w:num="1">
            <w:col w:w="11420"/>
          </w:cols>
          <w:pgMar w:left="240" w:top="807" w:right="239" w:bottom="30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07" w:right="239" w:bottom="300" w:gutter="0" w:footer="0" w:header="0"/>
          <w:type w:val="continuous"/>
        </w:sectPr>
      </w:pPr>
    </w:p>
    <w:bookmarkStart w:id="93" w:name="page94"/>
    <w:bookmarkEnd w:id="93"/>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Independent Third Party Agreement, and all other written agreements, documents or certificates to be delivered by a Party, the Plan, the Plan Trustee or the Plan Investment Fiduciary at the Closing.</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Annuitant</w:t>
      </w:r>
      <w:r>
        <w:rPr>
          <w:rFonts w:ascii="Arial" w:cs="Arial" w:eastAsia="Arial" w:hAnsi="Arial"/>
          <w:sz w:val="22"/>
          <w:szCs w:val="22"/>
          <w:color w:val="auto"/>
        </w:rPr>
        <w:t>” means a person to whom the Insurer is required to issue an Annuity Certificate pursuant to the terms of the Group Annuity Contract and this Agreement.</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Certificate</w:t>
      </w:r>
      <w:r>
        <w:rPr>
          <w:rFonts w:ascii="Arial" w:cs="Arial" w:eastAsia="Arial" w:hAnsi="Arial"/>
          <w:sz w:val="22"/>
          <w:szCs w:val="22"/>
          <w:color w:val="auto"/>
        </w:rPr>
        <w:t xml:space="preserve">” means an annuity certificate substantially in the applicable form set forth in </w:t>
      </w:r>
      <w:r>
        <w:rPr>
          <w:rFonts w:ascii="Arial" w:cs="Arial" w:eastAsia="Arial" w:hAnsi="Arial"/>
          <w:sz w:val="22"/>
          <w:szCs w:val="22"/>
          <w:u w:val="single" w:color="auto"/>
          <w:color w:val="auto"/>
        </w:rPr>
        <w:t>Appendix 1.3</w:t>
      </w:r>
      <w:r>
        <w:rPr>
          <w:rFonts w:ascii="Arial" w:cs="Arial" w:eastAsia="Arial" w:hAnsi="Arial"/>
          <w:sz w:val="22"/>
          <w:szCs w:val="22"/>
          <w:color w:val="auto"/>
        </w:rPr>
        <w:t>, with such modifications as may be made by the Insurer as required by, or permitted under, applicable Law.</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Commencement Date</w:t>
      </w:r>
      <w:r>
        <w:rPr>
          <w:rFonts w:ascii="Arial" w:cs="Arial" w:eastAsia="Arial" w:hAnsi="Arial"/>
          <w:sz w:val="22"/>
          <w:szCs w:val="22"/>
          <w:color w:val="auto"/>
        </w:rPr>
        <w:t>” means (</w:t>
      </w:r>
      <w:r>
        <w:rPr>
          <w:rFonts w:ascii="Arial" w:cs="Arial" w:eastAsia="Arial" w:hAnsi="Arial"/>
          <w:sz w:val="22"/>
          <w:szCs w:val="22"/>
          <w:u w:val="single" w:color="auto"/>
          <w:color w:val="auto"/>
        </w:rPr>
        <w:t>a</w:t>
      </w:r>
      <w:r>
        <w:rPr>
          <w:rFonts w:ascii="Arial" w:cs="Arial" w:eastAsia="Arial" w:hAnsi="Arial"/>
          <w:sz w:val="22"/>
          <w:szCs w:val="22"/>
          <w:color w:val="auto"/>
        </w:rPr>
        <w:t>) January 1, 2013; if the Closing occurs on or prior to the Outside Date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such other date, if applicable, as may be provided pursuant to </w:t>
      </w:r>
      <w:r>
        <w:rPr>
          <w:rFonts w:ascii="Arial" w:cs="Arial" w:eastAsia="Arial" w:hAnsi="Arial"/>
          <w:sz w:val="22"/>
          <w:szCs w:val="22"/>
          <w:u w:val="single" w:color="auto"/>
          <w:color w:val="auto"/>
        </w:rPr>
        <w:t>Section 10.2(d)</w:t>
      </w:r>
      <w:r>
        <w:rPr>
          <w:rFonts w:ascii="Arial" w:cs="Arial" w:eastAsia="Arial" w:hAnsi="Arial"/>
          <w:sz w:val="22"/>
          <w:szCs w:val="22"/>
          <w:color w:val="auto"/>
        </w:rPr>
        <w:t>.</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Committee</w:t>
      </w:r>
      <w:r>
        <w:rPr>
          <w:rFonts w:ascii="Arial" w:cs="Arial" w:eastAsia="Arial" w:hAnsi="Arial"/>
          <w:sz w:val="22"/>
          <w:szCs w:val="22"/>
          <w:color w:val="auto"/>
        </w:rPr>
        <w:t>” means the named fiduciary of the Plan which appointed and designated the Independent Fiduciary in connection with the transactions set forth in this Agreement.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Annuity Exhibit</w:t>
      </w:r>
      <w:r>
        <w:rPr>
          <w:rFonts w:ascii="Arial" w:cs="Arial" w:eastAsia="Arial" w:hAnsi="Arial"/>
          <w:sz w:val="19"/>
          <w:szCs w:val="19"/>
          <w:color w:val="auto"/>
        </w:rPr>
        <w:t xml:space="preserve">” means Schedule 1 to the calculation of the Final Premium in the form of Schedule 1 to </w:t>
      </w:r>
      <w:r>
        <w:rPr>
          <w:rFonts w:ascii="Arial" w:cs="Arial" w:eastAsia="Arial" w:hAnsi="Arial"/>
          <w:sz w:val="19"/>
          <w:szCs w:val="19"/>
          <w:u w:val="single" w:color="auto"/>
          <w:color w:val="auto"/>
        </w:rPr>
        <w:t>Appendix 2.7</w:t>
      </w:r>
      <w:r>
        <w:rPr>
          <w:rFonts w:ascii="Arial" w:cs="Arial" w:eastAsia="Arial" w:hAnsi="Arial"/>
          <w:sz w:val="19"/>
          <w:szCs w:val="19"/>
          <w:color w:val="auto"/>
        </w:rPr>
        <w:t>.</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Annuity Payment</w:t>
      </w:r>
      <w:r>
        <w:rPr>
          <w:rFonts w:ascii="Arial" w:cs="Arial" w:eastAsia="Arial" w:hAnsi="Arial"/>
          <w:sz w:val="21"/>
          <w:szCs w:val="21"/>
          <w:color w:val="auto"/>
        </w:rPr>
        <w:t>” means the monthly payments payable to Annuitants pursuant to the Group Annuity Contract.</w:t>
      </w: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980" w:val="left"/>
          <w:tab w:leader="none" w:pos="16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Firm</w:t>
      </w:r>
      <w:r>
        <w:rPr>
          <w:rFonts w:ascii="Arial" w:cs="Arial" w:eastAsia="Arial" w:hAnsi="Arial"/>
          <w:sz w:val="19"/>
          <w:szCs w:val="19"/>
          <w:color w:val="auto"/>
        </w:rPr>
        <w:t xml:space="preserve">” means any of the firms listed in the letter agreement between the Company and the Insurer dated as of the date hereof, unless such entity, or any of its Affiliates, is subject to an agreement with any Party to this Agreement to provide audit, tax or other similar services to such Party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if (</w:t>
      </w:r>
      <w:r>
        <w:rPr>
          <w:rFonts w:ascii="Arial" w:cs="Arial" w:eastAsia="Arial" w:hAnsi="Arial"/>
          <w:sz w:val="19"/>
          <w:szCs w:val="19"/>
          <w:u w:val="single" w:color="auto"/>
          <w:color w:val="auto"/>
        </w:rPr>
        <w:t>a</w:t>
      </w:r>
      <w:r>
        <w:rPr>
          <w:rFonts w:ascii="Arial" w:cs="Arial" w:eastAsia="Arial" w:hAnsi="Arial"/>
          <w:sz w:val="19"/>
          <w:szCs w:val="19"/>
          <w:color w:val="auto"/>
        </w:rPr>
        <w:t>) all of such entities are ineligible pursuant to the foregoing limitations or (</w:t>
      </w:r>
      <w:r>
        <w:rPr>
          <w:rFonts w:ascii="Arial" w:cs="Arial" w:eastAsia="Arial" w:hAnsi="Arial"/>
          <w:sz w:val="19"/>
          <w:szCs w:val="19"/>
          <w:u w:val="single" w:color="auto"/>
          <w:color w:val="auto"/>
        </w:rPr>
        <w:t>b</w:t>
      </w:r>
      <w:r>
        <w:rPr>
          <w:rFonts w:ascii="Arial" w:cs="Arial" w:eastAsia="Arial" w:hAnsi="Arial"/>
          <w:sz w:val="19"/>
          <w:szCs w:val="19"/>
          <w:color w:val="auto"/>
        </w:rPr>
        <w:t>) all of such entities are otherwise unavailable, such other nationally recognized independent accounting, actuarial or consulting firm as may be reasonably acceptable to the Company and the Insurer.</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Firm-A</w:t>
      </w:r>
      <w:r>
        <w:rPr>
          <w:rFonts w:ascii="Arial" w:cs="Arial" w:eastAsia="Arial" w:hAnsi="Arial"/>
          <w:sz w:val="22"/>
          <w:szCs w:val="22"/>
          <w:color w:val="auto"/>
        </w:rPr>
        <w:t xml:space="preserve">” means any of the Approved Firms applicable to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Firm-B</w:t>
      </w:r>
      <w:r>
        <w:rPr>
          <w:rFonts w:ascii="Arial" w:cs="Arial" w:eastAsia="Arial" w:hAnsi="Arial"/>
          <w:sz w:val="22"/>
          <w:szCs w:val="22"/>
          <w:color w:val="auto"/>
        </w:rPr>
        <w:t xml:space="preserve">” means any of the Approved Firms applicable to </w:t>
      </w:r>
      <w:r>
        <w:rPr>
          <w:rFonts w:ascii="Arial" w:cs="Arial" w:eastAsia="Arial" w:hAnsi="Arial"/>
          <w:sz w:val="22"/>
          <w:szCs w:val="22"/>
          <w:u w:val="single" w:color="auto"/>
          <w:color w:val="auto"/>
        </w:rPr>
        <w:t>Section 6.6(b)</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Firm-C</w:t>
      </w:r>
      <w:r>
        <w:rPr>
          <w:rFonts w:ascii="Arial" w:cs="Arial" w:eastAsia="Arial" w:hAnsi="Arial"/>
          <w:sz w:val="22"/>
          <w:szCs w:val="22"/>
          <w:color w:val="auto"/>
        </w:rPr>
        <w:t xml:space="preserve">” means any of the Approved Firms applicable to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Arbitration Disputes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ASC 715</w:t>
      </w:r>
      <w:r>
        <w:rPr>
          <w:rFonts w:ascii="Arial" w:cs="Arial" w:eastAsia="Arial" w:hAnsi="Arial"/>
          <w:sz w:val="22"/>
          <w:szCs w:val="22"/>
          <w:color w:val="auto"/>
        </w:rPr>
        <w:t>” means Accounting Standards Codification Section 715: Compensation-Retirement Benefits.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Class</w:t>
      </w:r>
      <w:r>
        <w:rPr>
          <w:rFonts w:ascii="Arial" w:cs="Arial" w:eastAsia="Arial" w:hAnsi="Arial"/>
          <w:sz w:val="22"/>
          <w:szCs w:val="22"/>
          <w:color w:val="auto"/>
        </w:rPr>
        <w:t>” means each asset class identified in Section I of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ATSA</w:t>
      </w:r>
      <w:r>
        <w:rPr>
          <w:rFonts w:ascii="Arial" w:cs="Arial" w:eastAsia="Arial" w:hAnsi="Arial"/>
          <w:sz w:val="22"/>
          <w:szCs w:val="22"/>
          <w:color w:val="auto"/>
        </w:rPr>
        <w:t>” is defined in the recitals.</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Control Level RBC</w:t>
      </w:r>
      <w:r>
        <w:rPr>
          <w:rFonts w:ascii="Arial" w:cs="Arial" w:eastAsia="Arial" w:hAnsi="Arial"/>
          <w:sz w:val="22"/>
          <w:szCs w:val="22"/>
          <w:color w:val="auto"/>
        </w:rPr>
        <w:t>” means the denominator determined under the risk-based capital formula in accordance with the RBC instructions.</w:t>
      </w:r>
    </w:p>
    <w:p>
      <w:pPr>
        <w:spacing w:after="0" w:line="391" w:lineRule="exact"/>
        <w:rPr>
          <w:sz w:val="20"/>
          <w:szCs w:val="20"/>
          <w:color w:val="auto"/>
        </w:rPr>
      </w:pPr>
    </w:p>
    <w:p>
      <w:pPr>
        <w:ind w:left="660"/>
        <w:spacing w:after="0"/>
        <w:tabs>
          <w:tab w:leader="none" w:pos="980" w:val="left"/>
          <w:tab w:leader="none" w:pos="16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80" w:val="left"/>
          <w:tab w:leader="none" w:pos="17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 Documentation</w:t>
      </w:r>
      <w:r>
        <w:rPr>
          <w:rFonts w:ascii="Arial" w:cs="Arial" w:eastAsia="Arial" w:hAnsi="Arial"/>
          <w:sz w:val="19"/>
          <w:szCs w:val="19"/>
          <w:color w:val="auto"/>
        </w:rPr>
        <w:t>” means the assignment and assumption agreement(s) or similar</w:t>
      </w:r>
    </w:p>
    <w:p>
      <w:pPr>
        <w:sectPr>
          <w:pgSz w:w="11900" w:h="16876" w:orient="portrait"/>
          <w:cols w:equalWidth="0" w:num="1">
            <w:col w:w="11420"/>
          </w:cols>
          <w:pgMar w:left="240" w:top="807" w:right="239"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76" w:orient="portrait"/>
          <w:cols w:equalWidth="0" w:num="1">
            <w:col w:w="11420"/>
          </w:cols>
          <w:pgMar w:left="240" w:top="807" w:right="239" w:bottom="0" w:gutter="0" w:footer="0" w:header="0"/>
          <w:type w:val="continuous"/>
        </w:sectPr>
      </w:pPr>
    </w:p>
    <w:bookmarkStart w:id="94" w:name="page95"/>
    <w:bookmarkEnd w:id="94"/>
    <w:p>
      <w:pPr>
        <w:spacing w:after="0"/>
        <w:tabs>
          <w:tab w:leader="none" w:pos="5180" w:val="left"/>
          <w:tab w:leader="none" w:pos="5880" w:val="left"/>
        </w:tabs>
        <w:rPr>
          <w:sz w:val="20"/>
          <w:szCs w:val="20"/>
          <w:color w:val="auto"/>
        </w:rPr>
      </w:pPr>
      <w:r>
        <w:rPr>
          <w:rFonts w:ascii="Arial" w:cs="Arial" w:eastAsia="Arial" w:hAnsi="Arial"/>
          <w:sz w:val="21"/>
          <w:szCs w:val="21"/>
          <w:color w:val="auto"/>
        </w:rPr>
        <w:t>transfer documents necessary to permit the transfer of a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to the Insurer.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Annuity Premium</w:t>
      </w:r>
      <w:r>
        <w:rPr>
          <w:rFonts w:ascii="Arial" w:cs="Arial" w:eastAsia="Arial" w:hAnsi="Arial"/>
          <w:sz w:val="22"/>
          <w:szCs w:val="22"/>
          <w:color w:val="auto"/>
        </w:rPr>
        <w:t>” means the sum of the Non-Solicited Annuity Premium and the Solicited Annuity Premium.</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has the meaning ascribed to such term in the Group Annuity Contract.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Amount Correction</w:t>
      </w:r>
      <w:r>
        <w:rPr>
          <w:rFonts w:ascii="Arial" w:cs="Arial" w:eastAsia="Arial" w:hAnsi="Arial"/>
          <w:sz w:val="22"/>
          <w:szCs w:val="22"/>
          <w:color w:val="auto"/>
        </w:rPr>
        <w:t>” means the adjustment to the Dry-Run Post-Solicitation Premiums, the Preliminary Post-Solicitation Premium, the Interim Post-Closing Post-Solicitation Premium or the Post-Closing Post-Solicitation Premium, as applicable, as calculated in accordance with the methodology and procedures set forth in Section B of the Procedures Manual, as a result of a Benefit Amount Increase.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Amount Increase</w:t>
      </w:r>
      <w:r>
        <w:rPr>
          <w:rFonts w:ascii="Arial" w:cs="Arial" w:eastAsia="Arial" w:hAnsi="Arial"/>
          <w:sz w:val="22"/>
          <w:szCs w:val="22"/>
          <w:color w:val="auto"/>
        </w:rPr>
        <w:t>” means a data error that reflects an increase in the total monthly benefit under the Plan for any Priced Life, and only with respect to such Priced Life.</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Appendix 2.1-B</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Broker-Quote</w:t>
      </w:r>
      <w:r>
        <w:rPr>
          <w:rFonts w:ascii="Arial" w:cs="Arial" w:eastAsia="Arial" w:hAnsi="Arial"/>
          <w:sz w:val="22"/>
          <w:szCs w:val="22"/>
          <w:color w:val="auto"/>
        </w:rPr>
        <w:t xml:space="preserve"> [ *** ]” means each [ *** ] which, as of the close of business on the second Business Day preceding the Target Closing Date, neither Reuters/LPC nor Markit Group is available as of such date or no fair market value is indicated by any such source as of such date.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Broker-Quote Public Bond</w:t>
      </w:r>
      <w:r>
        <w:rPr>
          <w:rFonts w:ascii="Arial" w:cs="Arial" w:eastAsia="Arial" w:hAnsi="Arial"/>
          <w:sz w:val="22"/>
          <w:szCs w:val="22"/>
          <w:color w:val="auto"/>
        </w:rPr>
        <w:t xml:space="preserve">” means each Public Bond for which, as of the close of business on the second Business Day preceding the Target Closing Date, none of the primary pricing source, secondary pricing source or tertiary pricing source (if any) set forth in Table 1 on </w:t>
      </w:r>
      <w:r>
        <w:rPr>
          <w:rFonts w:ascii="Arial" w:cs="Arial" w:eastAsia="Arial" w:hAnsi="Arial"/>
          <w:sz w:val="22"/>
          <w:szCs w:val="22"/>
          <w:u w:val="single" w:color="auto"/>
          <w:color w:val="auto"/>
        </w:rPr>
        <w:t>Appendix 2.6</w:t>
      </w:r>
      <w:r>
        <w:rPr>
          <w:rFonts w:ascii="Arial" w:cs="Arial" w:eastAsia="Arial" w:hAnsi="Arial"/>
          <w:sz w:val="22"/>
          <w:szCs w:val="22"/>
          <w:color w:val="auto"/>
        </w:rPr>
        <w:t xml:space="preserve"> is available as of such date or no fair market value is indicated by any such source as of such date.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a Sunday or a day on which banks located in New York, New York are authorized or required by Law to close.</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6.6(c)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w:t>
      </w:r>
      <w:r>
        <w:rPr>
          <w:rFonts w:ascii="Arial" w:cs="Arial" w:eastAsia="Arial" w:hAnsi="Arial"/>
          <w:sz w:val="21"/>
          <w:szCs w:val="21"/>
          <w:color w:val="auto"/>
        </w:rPr>
        <w:t>” means (</w:t>
      </w:r>
      <w:r>
        <w:rPr>
          <w:rFonts w:ascii="Arial" w:cs="Arial" w:eastAsia="Arial" w:hAnsi="Arial"/>
          <w:sz w:val="21"/>
          <w:szCs w:val="21"/>
          <w:u w:val="single" w:color="auto"/>
          <w:color w:val="auto"/>
        </w:rPr>
        <w:t>a</w:t>
      </w:r>
      <w:r>
        <w:rPr>
          <w:rFonts w:ascii="Arial" w:cs="Arial" w:eastAsia="Arial" w:hAnsi="Arial"/>
          <w:sz w:val="21"/>
          <w:szCs w:val="21"/>
          <w:color w:val="auto"/>
        </w:rPr>
        <w:t>) currency of the United States of America or wire transfers thereof that is legal tender for payment of all public and private debts and (</w:t>
      </w:r>
      <w:r>
        <w:rPr>
          <w:rFonts w:ascii="Arial" w:cs="Arial" w:eastAsia="Arial" w:hAnsi="Arial"/>
          <w:sz w:val="21"/>
          <w:szCs w:val="21"/>
          <w:u w:val="single" w:color="auto"/>
          <w:color w:val="auto"/>
        </w:rPr>
        <w:t>b</w:t>
      </w:r>
      <w:r>
        <w:rPr>
          <w:rFonts w:ascii="Arial" w:cs="Arial" w:eastAsia="Arial" w:hAnsi="Arial"/>
          <w:sz w:val="21"/>
          <w:szCs w:val="21"/>
          <w:color w:val="auto"/>
        </w:rPr>
        <w:t>) marketable direct obligations issued or unconditionally guaranteed by the United States of America, or issued by any agency thereof, maturing within one year from the date of acquisition thereof.</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Closing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Classification Error</w:t>
      </w:r>
      <w:r>
        <w:rPr>
          <w:rFonts w:ascii="Arial" w:cs="Arial" w:eastAsia="Arial" w:hAnsi="Arial"/>
          <w:sz w:val="19"/>
          <w:szCs w:val="19"/>
          <w:color w:val="auto"/>
        </w:rPr>
        <w:t xml:space="preserve">” means as to Signing Classification Errors, an incorrect classification of a Priced Life or a Priced Life's benefits as to be solicited or to be non-solicited, and as to Additional Classification Errors, sending a Lump-Sum Solicitation to a Priced Life, in respect of such Priced Life's benefits, referenced in </w:t>
      </w:r>
      <w:r>
        <w:rPr>
          <w:rFonts w:ascii="Arial" w:cs="Arial" w:eastAsia="Arial" w:hAnsi="Arial"/>
          <w:sz w:val="19"/>
          <w:szCs w:val="19"/>
          <w:u w:val="single" w:color="auto"/>
          <w:color w:val="auto"/>
        </w:rPr>
        <w:t>Appendix 1.2</w:t>
      </w:r>
      <w:r>
        <w:rPr>
          <w:rFonts w:ascii="Arial" w:cs="Arial" w:eastAsia="Arial" w:hAnsi="Arial"/>
          <w:sz w:val="19"/>
          <w:szCs w:val="19"/>
          <w:color w:val="auto"/>
        </w:rPr>
        <w:t xml:space="preserve"> as a Non-Solicited Life, or not sending a Lump-Sum Solicitation to a Priced Life, in respect of such Priced Life's benefits, referenced in </w:t>
      </w:r>
      <w:r>
        <w:rPr>
          <w:rFonts w:ascii="Arial" w:cs="Arial" w:eastAsia="Arial" w:hAnsi="Arial"/>
          <w:sz w:val="19"/>
          <w:szCs w:val="19"/>
          <w:u w:val="single" w:color="auto"/>
          <w:color w:val="auto"/>
        </w:rPr>
        <w:t>Appendix 1.2</w:t>
      </w:r>
      <w:r>
        <w:rPr>
          <w:rFonts w:ascii="Arial" w:cs="Arial" w:eastAsia="Arial" w:hAnsi="Arial"/>
          <w:sz w:val="19"/>
          <w:szCs w:val="19"/>
          <w:color w:val="auto"/>
        </w:rPr>
        <w:t xml:space="preserve"> as a Solicited Life.</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Asset Transfers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Asset Valuation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2.11(a)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Broker-Quote Valuations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CMA Adjustment</w:t>
      </w:r>
      <w:r>
        <w:rPr>
          <w:rFonts w:ascii="Arial" w:cs="Arial" w:eastAsia="Arial" w:hAnsi="Arial"/>
          <w:sz w:val="22"/>
          <w:szCs w:val="22"/>
          <w:color w:val="auto"/>
        </w:rPr>
        <w:t>” means the adjustment applied to the Closing Final Premium, the Interim Post-Closing Final Premium and the Post-Closing Final Premium with respect to the period from the DTFA</w:t>
      </w:r>
    </w:p>
    <w:p>
      <w:pPr>
        <w:sectPr>
          <w:pgSz w:w="11900" w:h="16838" w:orient="portrait"/>
          <w:cols w:equalWidth="0" w:num="1">
            <w:col w:w="11420"/>
          </w:cols>
          <w:pgMar w:left="240" w:top="807" w:right="239" w:bottom="43"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sectPr>
      </w:pPr>
    </w:p>
    <w:bookmarkStart w:id="96" w:name="page97"/>
    <w:bookmarkEnd w:id="96"/>
    <w:p>
      <w:pPr>
        <w:jc w:val="both"/>
        <w:spacing w:after="0" w:line="263" w:lineRule="auto"/>
        <w:rPr>
          <w:sz w:val="20"/>
          <w:szCs w:val="20"/>
          <w:color w:val="auto"/>
        </w:rPr>
      </w:pPr>
      <w:r>
        <w:rPr>
          <w:rFonts w:ascii="Arial" w:cs="Arial" w:eastAsia="Arial" w:hAnsi="Arial"/>
          <w:sz w:val="22"/>
          <w:szCs w:val="22"/>
          <w:color w:val="auto"/>
        </w:rPr>
        <w:t>Pricing Date through the close of business on the last Business Day prior to the Closing Date, stated as a percentage and calculated in accordance with the methodology and procedures set forth in Section F of the Procedures Manual.</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Adjustment</w:t>
      </w:r>
      <w:r>
        <w:rPr>
          <w:rFonts w:ascii="Arial" w:cs="Arial" w:eastAsia="Arial" w:hAnsi="Arial"/>
          <w:sz w:val="22"/>
          <w:szCs w:val="22"/>
          <w:color w:val="auto"/>
        </w:rPr>
        <w:t>” means the adjustment applied to the Closing Final Premium, the Interim Post-Closing Final Premium and the Post-Closing Final Premium, stated as a percentage and calculated in accordance with the methodology and procedures set forth in Section E of the Procedures Manual.</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Final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2.9(c)</w:t>
      </w:r>
      <w:r>
        <w:rPr>
          <w:rFonts w:ascii="Arial" w:cs="Arial" w:eastAsia="Arial" w:hAnsi="Arial"/>
          <w:sz w:val="22"/>
          <w:szCs w:val="22"/>
          <w:color w:val="auto"/>
        </w:rPr>
        <w: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60" w:type="dxa"/>
            <w:vAlign w:val="bottom"/>
            <w:gridSpan w:val="3"/>
          </w:tcPr>
          <w:p>
            <w:pPr>
              <w:ind w:left="660"/>
              <w:spacing w:after="0"/>
              <w:rPr>
                <w:sz w:val="20"/>
                <w:szCs w:val="20"/>
                <w:color w:val="auto"/>
              </w:rPr>
            </w:pPr>
            <w:r>
              <w:rPr>
                <w:rFonts w:ascii="Arial" w:cs="Arial" w:eastAsia="Arial" w:hAnsi="Arial"/>
                <w:sz w:val="22"/>
                <w:szCs w:val="22"/>
                <w:color w:val="auto"/>
              </w:rPr>
              <w:t>“Closing [   ***</w:t>
            </w:r>
          </w:p>
        </w:tc>
        <w:tc>
          <w:tcPr>
            <w:tcW w:w="9060" w:type="dxa"/>
            <w:vAlign w:val="bottom"/>
            <w:gridSpan w:val="4"/>
          </w:tcPr>
          <w:p>
            <w:pPr>
              <w:jc w:val="right"/>
              <w:spacing w:after="0"/>
              <w:rPr>
                <w:sz w:val="20"/>
                <w:szCs w:val="20"/>
                <w:color w:val="auto"/>
              </w:rPr>
            </w:pPr>
            <w:r>
              <w:rPr>
                <w:rFonts w:ascii="Arial" w:cs="Arial" w:eastAsia="Arial" w:hAnsi="Arial"/>
                <w:sz w:val="22"/>
                <w:szCs w:val="22"/>
                <w:color w:val="auto"/>
                <w:w w:val="92"/>
              </w:rPr>
              <w:t>] Adjustment” means the total dollar price adjustment to the Closing Final Premium, the Interim Post-</w:t>
            </w:r>
          </w:p>
        </w:tc>
      </w:tr>
      <w:tr>
        <w:trPr>
          <w:trHeight w:val="20"/>
        </w:trPr>
        <w:tc>
          <w:tcPr>
            <w:tcW w:w="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87"/>
        </w:trPr>
        <w:tc>
          <w:tcPr>
            <w:tcW w:w="7080" w:type="dxa"/>
            <w:vAlign w:val="bottom"/>
            <w:gridSpan w:val="6"/>
          </w:tcPr>
          <w:p>
            <w:pPr>
              <w:spacing w:after="0"/>
              <w:rPr>
                <w:sz w:val="20"/>
                <w:szCs w:val="20"/>
                <w:color w:val="auto"/>
              </w:rPr>
            </w:pPr>
            <w:r>
              <w:rPr>
                <w:rFonts w:ascii="Arial" w:cs="Arial" w:eastAsia="Arial" w:hAnsi="Arial"/>
                <w:sz w:val="22"/>
                <w:szCs w:val="22"/>
                <w:color w:val="auto"/>
                <w:w w:val="95"/>
              </w:rPr>
              <w:t>Closing Final Premium and the Post-Closing Final Premium relating to [   ***</w:t>
            </w:r>
          </w:p>
        </w:tc>
        <w:tc>
          <w:tcPr>
            <w:tcW w:w="4340" w:type="dxa"/>
            <w:vAlign w:val="bottom"/>
          </w:tcPr>
          <w:p>
            <w:pPr>
              <w:jc w:val="right"/>
              <w:spacing w:after="0"/>
              <w:rPr>
                <w:sz w:val="20"/>
                <w:szCs w:val="20"/>
                <w:color w:val="auto"/>
              </w:rPr>
            </w:pPr>
            <w:r>
              <w:rPr>
                <w:rFonts w:ascii="Arial" w:cs="Arial" w:eastAsia="Arial" w:hAnsi="Arial"/>
                <w:sz w:val="22"/>
                <w:szCs w:val="22"/>
                <w:color w:val="auto"/>
                <w:w w:val="91"/>
              </w:rPr>
              <w:t>] as of the close of business on the last Business</w:t>
            </w:r>
          </w:p>
        </w:tc>
      </w:tr>
    </w:tbl>
    <w:p>
      <w:pPr>
        <w:jc w:val="both"/>
        <w:spacing w:after="0" w:line="246" w:lineRule="auto"/>
        <w:rPr>
          <w:sz w:val="20"/>
          <w:szCs w:val="20"/>
          <w:color w:val="auto"/>
        </w:rPr>
      </w:pPr>
      <w:r>
        <w:rPr>
          <w:rFonts w:ascii="Arial" w:cs="Arial" w:eastAsia="Arial" w:hAnsi="Arial"/>
          <w:sz w:val="22"/>
          <w:szCs w:val="22"/>
          <w:color w:val="auto"/>
        </w:rPr>
        <w:t>Day prior to the Closing Date, as calculated in accordance with the methodology and procedures set forth in Section I of the Procedures Manual.</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PFS Adjustment</w:t>
      </w:r>
      <w:r>
        <w:rPr>
          <w:rFonts w:ascii="Arial" w:cs="Arial" w:eastAsia="Arial" w:hAnsi="Arial"/>
          <w:sz w:val="22"/>
          <w:szCs w:val="22"/>
          <w:color w:val="auto"/>
        </w:rPr>
        <w:t>” means the adjustment applied to the Closing Final Premium, the Interim Post-Closing Final Premium, and the Post-Closing Final Premium determined as of the close of business on the last Business Day prior to the Closing Date, stated as a percentage and calculated in accordance with the methodology and procedures set forth in Section H of the Procedures Manual.</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SCA Adjustment</w:t>
      </w:r>
      <w:r>
        <w:rPr>
          <w:rFonts w:ascii="Arial" w:cs="Arial" w:eastAsia="Arial" w:hAnsi="Arial"/>
          <w:sz w:val="22"/>
          <w:szCs w:val="22"/>
          <w:color w:val="auto"/>
        </w:rPr>
        <w:t>” means the adjustment applied to the Closing Final Premium, the Interim Post-Closing Final Premium and the Post-Closing Final Premium with respect to the period from the DTFA Pricing Date through the close of business on the last Business Day prior to the Closing Date, stated as a percentage and calculated in accordance with the methodology and procedures set forth in Section G of the Procedures Manual.</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CMA Adjustment</w:t>
      </w:r>
      <w:r>
        <w:rPr>
          <w:rFonts w:ascii="Arial" w:cs="Arial" w:eastAsia="Arial" w:hAnsi="Arial"/>
          <w:sz w:val="22"/>
          <w:szCs w:val="22"/>
          <w:color w:val="auto"/>
        </w:rPr>
        <w:t>” means, as of the dates as provided in this Agreement, the adjustment that would be applied to the Closing Final Premium if the Closing were to occur on such date, with respect to the period from the DTFA Pricing Date through the close of business on the last Business Day prior to such date, stated as a percentage and calculated in accordance with the methodology and procedures set forth in Section F of the Procedures Manual.</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Action Level Risk-Based Capital</w:t>
      </w:r>
      <w:r>
        <w:rPr>
          <w:rFonts w:ascii="Arial" w:cs="Arial" w:eastAsia="Arial" w:hAnsi="Arial"/>
          <w:sz w:val="22"/>
          <w:szCs w:val="22"/>
          <w:color w:val="auto"/>
        </w:rPr>
        <w:t>” means, with respect to any insurer, the product of 2.0 and its Authorized Control Level RBC.</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Controlled Group</w:t>
      </w:r>
      <w:r>
        <w:rPr>
          <w:rFonts w:ascii="Arial" w:cs="Arial" w:eastAsia="Arial" w:hAnsi="Arial"/>
          <w:sz w:val="22"/>
          <w:szCs w:val="22"/>
          <w:color w:val="auto"/>
        </w:rPr>
        <w:t>” means the Company and its Affiliates.</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Disclosure Letter</w:t>
      </w:r>
      <w:r>
        <w:rPr>
          <w:rFonts w:ascii="Arial" w:cs="Arial" w:eastAsia="Arial" w:hAnsi="Arial"/>
          <w:sz w:val="22"/>
          <w:szCs w:val="22"/>
          <w:color w:val="auto"/>
        </w:rPr>
        <w:t>” means the disclosure letter as delivered by the Company to the other Parties immediately prior to the execution of this Agreement.</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Knowledge</w:t>
      </w:r>
      <w:r>
        <w:rPr>
          <w:rFonts w:ascii="Arial" w:cs="Arial" w:eastAsia="Arial" w:hAnsi="Arial"/>
          <w:sz w:val="22"/>
          <w:szCs w:val="22"/>
          <w:color w:val="auto"/>
        </w:rPr>
        <w:t>” means the actual knowledge of any officer of the Company responsible for the day to day administration or oversight of the Plan or directly involved in the negotiation of this Agreement or the transactions contemplated hereby, in each case, (</w:t>
      </w:r>
      <w:r>
        <w:rPr>
          <w:rFonts w:ascii="Arial" w:cs="Arial" w:eastAsia="Arial" w:hAnsi="Arial"/>
          <w:sz w:val="22"/>
          <w:szCs w:val="22"/>
          <w:u w:val="single" w:color="auto"/>
          <w:color w:val="auto"/>
        </w:rPr>
        <w:t>a</w:t>
      </w:r>
      <w:r>
        <w:rPr>
          <w:rFonts w:ascii="Arial" w:cs="Arial" w:eastAsia="Arial" w:hAnsi="Arial"/>
          <w:sz w:val="22"/>
          <w:szCs w:val="22"/>
          <w:color w:val="auto"/>
        </w:rPr>
        <w:t>) after making appropriate inquiry of those people</w:t>
      </w:r>
    </w:p>
    <w:p>
      <w:pPr>
        <w:sectPr>
          <w:pgSz w:w="11900" w:h="16838" w:orient="portrait"/>
          <w:cols w:equalWidth="0" w:num="1">
            <w:col w:w="11420"/>
          </w:cols>
          <w:pgMar w:left="240" w:top="807" w:right="239" w:bottom="44"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807" w:right="239" w:bottom="44" w:gutter="0" w:footer="0" w:header="0"/>
          <w:type w:val="continuous"/>
        </w:sectPr>
      </w:pPr>
    </w:p>
    <w:bookmarkStart w:id="97" w:name="page98"/>
    <w:bookmarkEnd w:id="97"/>
    <w:p>
      <w:pPr>
        <w:jc w:val="both"/>
        <w:spacing w:after="0" w:line="250" w:lineRule="auto"/>
        <w:rPr>
          <w:sz w:val="20"/>
          <w:szCs w:val="20"/>
          <w:color w:val="auto"/>
        </w:rPr>
      </w:pPr>
      <w:r>
        <w:rPr>
          <w:rFonts w:ascii="Arial" w:cs="Arial" w:eastAsia="Arial" w:hAnsi="Arial"/>
          <w:sz w:val="22"/>
          <w:szCs w:val="22"/>
          <w:color w:val="auto"/>
        </w:rPr>
        <w:t>reporting directly to such officer who have substantial responsibility for the relevant subject matter, and (</w:t>
      </w:r>
      <w:r>
        <w:rPr>
          <w:rFonts w:ascii="Arial" w:cs="Arial" w:eastAsia="Arial" w:hAnsi="Arial"/>
          <w:sz w:val="22"/>
          <w:szCs w:val="22"/>
          <w:u w:val="single" w:color="auto"/>
          <w:color w:val="auto"/>
        </w:rPr>
        <w:t>b</w:t>
      </w:r>
      <w:r>
        <w:rPr>
          <w:rFonts w:ascii="Arial" w:cs="Arial" w:eastAsia="Arial" w:hAnsi="Arial"/>
          <w:sz w:val="22"/>
          <w:szCs w:val="22"/>
          <w:color w:val="auto"/>
        </w:rPr>
        <w:t>) if none of such officers or people reporting directly to them have substantial responsibility for the subject matter that is the subject of the relevant representation, after making appropriate inquiry of an officer of the Company that has substantial responsibility for such subject matter.</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MAC</w:t>
      </w:r>
      <w:r>
        <w:rPr>
          <w:rFonts w:ascii="Arial" w:cs="Arial" w:eastAsia="Arial" w:hAnsi="Arial"/>
          <w:sz w:val="19"/>
          <w:szCs w:val="19"/>
          <w:color w:val="auto"/>
        </w:rPr>
        <w:t>” means the occurrence or existence of any fact, circumstance, change, development, condition or event subsequent to the DTFA Execution Date that individually or in the aggregate would, or would reasonably be expected to, [ ***</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Provided Life-by-Life Information</w:t>
      </w:r>
      <w:r>
        <w:rPr>
          <w:rFonts w:ascii="Arial" w:cs="Arial" w:eastAsia="Arial" w:hAnsi="Arial"/>
          <w:sz w:val="22"/>
          <w:szCs w:val="22"/>
          <w:color w:val="auto"/>
        </w:rPr>
        <w:t>” is defined in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Compelled Disclosing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11.14(d)</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all business and technical information or processes, stored in any medium, to the extent the same is reasonably construed or generally accepted as containing a trade secret, proprietary or confidential information of or belonging to any Party, its Representatives, its Affiliates or its Affiliates' Representatives, including know-how and trade secrets, customer or client requirements and lists, Insurer Provided Life-by-Life Information, the Company Provided Life-by-Life Information, the Procedures Manual, the Identified CD-ROM, technology, software and data processing procedures, insurance, actuarial, accounting and financial data, management systems, records and any other information that is designated as confidential, and the portions of any reports or other documents prepared by the Independent Third Party, the Approved Firms or any arbitrator or staff thereof or any other professional engaged in connection with this Agreement and any report or other document prepared by a receiving Party that contains or incorporates Confidential Information of a disclosing Party. Confidential Information includes information communicated orally, in writing or in any other recorded or tangible form, includes information supplied by the disclosing Party and includes information delivered prior to the date hereof pursuant to the Confidentiality Agreements. Information received by the receiving Party containing trade secrets or proprietary or confidential information constitutes Confidential Information.</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Confidentiality Agreements</w:t>
      </w:r>
      <w:r>
        <w:rPr>
          <w:rFonts w:ascii="Arial" w:cs="Arial" w:eastAsia="Arial" w:hAnsi="Arial"/>
          <w:sz w:val="19"/>
          <w:szCs w:val="19"/>
          <w:color w:val="auto"/>
        </w:rPr>
        <w:t>” means, collectively, (</w:t>
      </w:r>
      <w:r>
        <w:rPr>
          <w:rFonts w:ascii="Arial" w:cs="Arial" w:eastAsia="Arial" w:hAnsi="Arial"/>
          <w:sz w:val="19"/>
          <w:szCs w:val="19"/>
          <w:u w:val="single" w:color="auto"/>
          <w:color w:val="auto"/>
        </w:rPr>
        <w:t>i</w:t>
      </w:r>
      <w:r>
        <w:rPr>
          <w:rFonts w:ascii="Arial" w:cs="Arial" w:eastAsia="Arial" w:hAnsi="Arial"/>
          <w:sz w:val="19"/>
          <w:szCs w:val="19"/>
          <w:color w:val="auto"/>
        </w:rPr>
        <w:t>) the Confidentiality Agreement, [ *** ], between the Insurer and the Company, as amended, (</w:t>
      </w:r>
      <w:r>
        <w:rPr>
          <w:rFonts w:ascii="Arial" w:cs="Arial" w:eastAsia="Arial" w:hAnsi="Arial"/>
          <w:sz w:val="19"/>
          <w:szCs w:val="19"/>
          <w:u w:val="single" w:color="auto"/>
          <w:color w:val="auto"/>
        </w:rPr>
        <w:t>ii</w:t>
      </w:r>
      <w:r>
        <w:rPr>
          <w:rFonts w:ascii="Arial" w:cs="Arial" w:eastAsia="Arial" w:hAnsi="Arial"/>
          <w:sz w:val="19"/>
          <w:szCs w:val="19"/>
          <w:color w:val="auto"/>
        </w:rPr>
        <w:t>) the confidentiality provisions set forth in the Independent Fiduciary's engagement agreement dated</w:t>
      </w: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line="207" w:lineRule="exact"/>
              <w:rPr>
                <w:sz w:val="20"/>
                <w:szCs w:val="20"/>
                <w:color w:val="auto"/>
              </w:rPr>
            </w:pPr>
            <w:r>
              <w:rPr>
                <w:rFonts w:ascii="Arial" w:cs="Arial" w:eastAsia="Arial" w:hAnsi="Arial"/>
                <w:sz w:val="22"/>
                <w:szCs w:val="22"/>
                <w:color w:val="auto"/>
              </w:rPr>
              <w:t>[   ***</w:t>
            </w:r>
          </w:p>
        </w:tc>
        <w:tc>
          <w:tcPr>
            <w:tcW w:w="4940" w:type="dxa"/>
            <w:vAlign w:val="bottom"/>
            <w:gridSpan w:val="8"/>
          </w:tcPr>
          <w:p>
            <w:pPr>
              <w:ind w:left="140"/>
              <w:spacing w:after="0" w:line="207" w:lineRule="exact"/>
              <w:rPr>
                <w:sz w:val="20"/>
                <w:szCs w:val="20"/>
                <w:color w:val="auto"/>
              </w:rPr>
            </w:pPr>
            <w:r>
              <w:rPr>
                <w:rFonts w:ascii="Arial" w:cs="Arial" w:eastAsia="Arial" w:hAnsi="Arial"/>
                <w:sz w:val="22"/>
                <w:szCs w:val="22"/>
                <w:color w:val="auto"/>
              </w:rPr>
              <w:t>], (iii) the Confidentiality Agreement, dated [   ***</w:t>
            </w:r>
          </w:p>
        </w:tc>
        <w:tc>
          <w:tcPr>
            <w:tcW w:w="5460" w:type="dxa"/>
            <w:vAlign w:val="bottom"/>
            <w:gridSpan w:val="2"/>
          </w:tcPr>
          <w:p>
            <w:pPr>
              <w:jc w:val="right"/>
              <w:spacing w:after="0" w:line="207" w:lineRule="exact"/>
              <w:rPr>
                <w:sz w:val="20"/>
                <w:szCs w:val="20"/>
                <w:color w:val="auto"/>
              </w:rPr>
            </w:pPr>
            <w:r>
              <w:rPr>
                <w:rFonts w:ascii="Arial" w:cs="Arial" w:eastAsia="Arial" w:hAnsi="Arial"/>
                <w:sz w:val="22"/>
                <w:szCs w:val="22"/>
                <w:color w:val="auto"/>
                <w:w w:val="92"/>
              </w:rPr>
              <w:t>], between the Company, the Independent Fiduciary and the</w:t>
            </w:r>
          </w:p>
        </w:tc>
      </w:tr>
      <w:tr>
        <w:trPr>
          <w:trHeight w:val="20"/>
        </w:trPr>
        <w:tc>
          <w:tcPr>
            <w:tcW w:w="14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37"/>
        </w:trPr>
        <w:tc>
          <w:tcPr>
            <w:tcW w:w="7500" w:type="dxa"/>
            <w:vAlign w:val="bottom"/>
            <w:gridSpan w:val="10"/>
          </w:tcPr>
          <w:p>
            <w:pPr>
              <w:spacing w:after="0" w:line="237" w:lineRule="exact"/>
              <w:rPr>
                <w:sz w:val="20"/>
                <w:szCs w:val="20"/>
                <w:color w:val="auto"/>
              </w:rPr>
            </w:pPr>
            <w:r>
              <w:rPr>
                <w:rFonts w:ascii="Arial" w:cs="Arial" w:eastAsia="Arial" w:hAnsi="Arial"/>
                <w:sz w:val="22"/>
                <w:szCs w:val="22"/>
                <w:color w:val="auto"/>
                <w:w w:val="96"/>
              </w:rPr>
              <w:t>Annuity Committee, and (iv) the Confidentiality Agreement, entered into in [   ***</w:t>
            </w:r>
          </w:p>
        </w:tc>
        <w:tc>
          <w:tcPr>
            <w:tcW w:w="3920" w:type="dxa"/>
            <w:vAlign w:val="bottom"/>
          </w:tcPr>
          <w:p>
            <w:pPr>
              <w:jc w:val="right"/>
              <w:spacing w:after="0" w:line="237" w:lineRule="exact"/>
              <w:rPr>
                <w:sz w:val="20"/>
                <w:szCs w:val="20"/>
                <w:color w:val="auto"/>
              </w:rPr>
            </w:pPr>
            <w:r>
              <w:rPr>
                <w:rFonts w:ascii="Arial" w:cs="Arial" w:eastAsia="Arial" w:hAnsi="Arial"/>
                <w:sz w:val="22"/>
                <w:szCs w:val="22"/>
                <w:color w:val="auto"/>
                <w:w w:val="92"/>
              </w:rPr>
              <w:t>], between the Insurer and the Independent</w:t>
            </w:r>
          </w:p>
        </w:tc>
      </w:tr>
      <w:tr>
        <w:trPr>
          <w:trHeight w:val="287"/>
        </w:trPr>
        <w:tc>
          <w:tcPr>
            <w:tcW w:w="1020" w:type="dxa"/>
            <w:vAlign w:val="bottom"/>
          </w:tcPr>
          <w:p>
            <w:pPr>
              <w:spacing w:after="0"/>
              <w:rPr>
                <w:sz w:val="20"/>
                <w:szCs w:val="20"/>
                <w:color w:val="auto"/>
              </w:rPr>
            </w:pPr>
            <w:r>
              <w:rPr>
                <w:rFonts w:ascii="Arial" w:cs="Arial" w:eastAsia="Arial" w:hAnsi="Arial"/>
                <w:sz w:val="22"/>
                <w:szCs w:val="22"/>
                <w:color w:val="auto"/>
              </w:rPr>
              <w:t>Fiduciary.</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638"/>
        </w:trPr>
        <w:tc>
          <w:tcPr>
            <w:tcW w:w="1020" w:type="dxa"/>
            <w:vAlign w:val="bottom"/>
          </w:tcPr>
          <w:p>
            <w:pPr>
              <w:ind w:left="660"/>
              <w:spacing w:after="0"/>
              <w:rPr>
                <w:sz w:val="20"/>
                <w:szCs w:val="20"/>
                <w:color w:val="auto"/>
              </w:rPr>
            </w:pPr>
            <w:r>
              <w:rPr>
                <w:rFonts w:ascii="Arial" w:cs="Arial" w:eastAsia="Arial" w:hAnsi="Arial"/>
                <w:sz w:val="22"/>
                <w:szCs w:val="22"/>
                <w:color w:val="auto"/>
              </w:rPr>
              <w:t>“[</w:t>
            </w:r>
          </w:p>
        </w:tc>
        <w:tc>
          <w:tcPr>
            <w:tcW w:w="58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3020" w:type="dxa"/>
            <w:vAlign w:val="bottom"/>
            <w:gridSpan w:val="5"/>
          </w:tcPr>
          <w:p>
            <w:pPr>
              <w:ind w:left="320"/>
              <w:spacing w:after="0"/>
              <w:rPr>
                <w:sz w:val="20"/>
                <w:szCs w:val="20"/>
                <w:color w:val="auto"/>
              </w:rPr>
            </w:pPr>
            <w:r>
              <w:rPr>
                <w:rFonts w:ascii="Arial" w:cs="Arial" w:eastAsia="Arial" w:hAnsi="Arial"/>
                <w:sz w:val="22"/>
                <w:szCs w:val="22"/>
                <w:color w:val="auto"/>
              </w:rPr>
              <w:t>] Asset” means any [   ***</w:t>
            </w:r>
          </w:p>
        </w:tc>
        <w:tc>
          <w:tcPr>
            <w:tcW w:w="6800" w:type="dxa"/>
            <w:vAlign w:val="bottom"/>
            <w:gridSpan w:val="3"/>
          </w:tcPr>
          <w:p>
            <w:pPr>
              <w:jc w:val="right"/>
              <w:spacing w:after="0"/>
              <w:rPr>
                <w:sz w:val="20"/>
                <w:szCs w:val="20"/>
                <w:color w:val="auto"/>
              </w:rPr>
            </w:pPr>
            <w:r>
              <w:rPr>
                <w:rFonts w:ascii="Arial" w:cs="Arial" w:eastAsia="Arial" w:hAnsi="Arial"/>
                <w:sz w:val="22"/>
                <w:szCs w:val="22"/>
                <w:color w:val="auto"/>
                <w:w w:val="95"/>
              </w:rPr>
              <w:t>] in the Final Plan Portfolio that is within the In-Kind Asset Tolerances set</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forth and described in Section I of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Consents</w:t>
      </w:r>
      <w:r>
        <w:rPr>
          <w:rFonts w:ascii="Arial" w:cs="Arial" w:eastAsia="Arial" w:hAnsi="Arial"/>
          <w:sz w:val="22"/>
          <w:szCs w:val="22"/>
          <w:color w:val="auto"/>
        </w:rPr>
        <w:t>” means any consent, approval (or deemed approval after the expiry of all appropriate waiting periods), authorization, notice, permission or waiver.</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Lives</w:t>
      </w:r>
      <w:r>
        <w:rPr>
          <w:rFonts w:ascii="Arial" w:cs="Arial" w:eastAsia="Arial" w:hAnsi="Arial"/>
          <w:sz w:val="22"/>
          <w:szCs w:val="22"/>
          <w:color w:val="auto"/>
        </w:rPr>
        <w:t>” has the meaning ascribed to such term in the Group Annuity Contract.</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legally enforceable agreement, contract, commitment, instrument, undertaking, lease, note, mortgage, indenture, license or arrangement, whether written or oral.</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w:t>
      </w:r>
      <w:r>
        <w:rPr>
          <w:rFonts w:ascii="Arial" w:cs="Arial" w:eastAsia="Arial" w:hAnsi="Arial"/>
          <w:sz w:val="22"/>
          <w:szCs w:val="22"/>
          <w:color w:val="auto"/>
        </w:rPr>
        <w:t>” means Group Annuity Contract No. 300, as amended, including Contract 300 Article A, Contract 300 Article M and Contract 300 Article P.</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 Article A</w:t>
      </w:r>
      <w:r>
        <w:rPr>
          <w:rFonts w:ascii="Arial" w:cs="Arial" w:eastAsia="Arial" w:hAnsi="Arial"/>
          <w:sz w:val="22"/>
          <w:szCs w:val="22"/>
          <w:color w:val="auto"/>
        </w:rPr>
        <w:t>” means Article A of Group Annuity Contract No. 300, as amended, issued</w:t>
      </w:r>
    </w:p>
    <w:p>
      <w:pPr>
        <w:sectPr>
          <w:pgSz w:w="11900" w:h="16838" w:orient="portrait"/>
          <w:cols w:equalWidth="0" w:num="1">
            <w:col w:w="11420"/>
          </w:cols>
          <w:pgMar w:left="240" w:top="807" w:right="239" w:bottom="57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807" w:right="239" w:bottom="570" w:gutter="0" w:footer="0" w:header="0"/>
          <w:type w:val="continuous"/>
        </w:sectPr>
      </w:pPr>
    </w:p>
    <w:bookmarkStart w:id="98" w:name="page99"/>
    <w:bookmarkEnd w:id="98"/>
    <w:p>
      <w:pPr>
        <w:spacing w:after="0"/>
        <w:rPr>
          <w:sz w:val="20"/>
          <w:szCs w:val="20"/>
          <w:color w:val="auto"/>
        </w:rPr>
      </w:pPr>
      <w:r>
        <w:rPr>
          <w:rFonts w:ascii="Arial" w:cs="Arial" w:eastAsia="Arial" w:hAnsi="Arial"/>
          <w:sz w:val="22"/>
          <w:szCs w:val="22"/>
          <w:color w:val="auto"/>
        </w:rPr>
        <w:t>by Aetna Life Insurance Company.</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 Article M</w:t>
      </w:r>
      <w:r>
        <w:rPr>
          <w:rFonts w:ascii="Arial" w:cs="Arial" w:eastAsia="Arial" w:hAnsi="Arial"/>
          <w:sz w:val="22"/>
          <w:szCs w:val="22"/>
          <w:color w:val="auto"/>
        </w:rPr>
        <w:t>” means Article M of Group Annuity Contract No. 300, as amended, issued by Metropolitan Life Insurance Company.</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 Article P</w:t>
      </w:r>
      <w:r>
        <w:rPr>
          <w:rFonts w:ascii="Arial" w:cs="Arial" w:eastAsia="Arial" w:hAnsi="Arial"/>
          <w:sz w:val="22"/>
          <w:szCs w:val="22"/>
          <w:color w:val="auto"/>
        </w:rPr>
        <w:t>” means, prior to Closing, Article P of Group Annuity Contract No. 300, as amended, issued by Insurer.</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 Portfolio P</w:t>
      </w:r>
      <w:r>
        <w:rPr>
          <w:rFonts w:ascii="Arial" w:cs="Arial" w:eastAsia="Arial" w:hAnsi="Arial"/>
          <w:sz w:val="22"/>
          <w:szCs w:val="22"/>
          <w:color w:val="auto"/>
        </w:rPr>
        <w:t>” means, as of any date of determination, the assets held in the Insurer's separate account VCA-GA-7436, as that separate account exists as of such date used by the Insurer to satisfy the Insurer's liabilities under Contract 300 Article P.</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Lives</w:t>
      </w:r>
      <w:r>
        <w:rPr>
          <w:rFonts w:ascii="Arial" w:cs="Arial" w:eastAsia="Arial" w:hAnsi="Arial"/>
          <w:sz w:val="22"/>
          <w:szCs w:val="22"/>
          <w:color w:val="auto"/>
        </w:rPr>
        <w:t>” has the meaning ascribed to such term in the Group Annuity Contract.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Period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Appendix 6.6</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Rating Agencies</w:t>
      </w:r>
      <w:r>
        <w:rPr>
          <w:rFonts w:ascii="Arial" w:cs="Arial" w:eastAsia="Arial" w:hAnsi="Arial"/>
          <w:sz w:val="21"/>
          <w:szCs w:val="21"/>
          <w:color w:val="auto"/>
        </w:rPr>
        <w:t>” means each of Standard &amp; Poor's Rating Services, a division of The McGraw-Hill Companies, Inc., Moody's Investors Service, Inc. and Fitch Ratings Ltd., and their respective successors and assigns.</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Error</w:t>
      </w:r>
      <w:r>
        <w:rPr>
          <w:rFonts w:ascii="Arial" w:cs="Arial" w:eastAsia="Arial" w:hAnsi="Arial"/>
          <w:sz w:val="22"/>
          <w:szCs w:val="22"/>
          <w:color w:val="auto"/>
        </w:rPr>
        <w:t>” is defined in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Letter</w:t>
      </w:r>
      <w:r>
        <w:rPr>
          <w:rFonts w:ascii="Arial" w:cs="Arial" w:eastAsia="Arial" w:hAnsi="Arial"/>
          <w:sz w:val="22"/>
          <w:szCs w:val="22"/>
          <w:color w:val="auto"/>
        </w:rPr>
        <w:t>” means a favorable letter issued by the Internal Revenue Service regarding the tax-qualified status of the Plan under Code § 401(a).</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Letters</w:t>
      </w:r>
      <w:r>
        <w:rPr>
          <w:rFonts w:ascii="Arial" w:cs="Arial" w:eastAsia="Arial" w:hAnsi="Arial"/>
          <w:sz w:val="22"/>
          <w:szCs w:val="22"/>
          <w:color w:val="auto"/>
        </w:rPr>
        <w:t>” means, collectively, the Company Disclosure Letter and the Prudential Disclosure Letter.</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means any claim, counterclaim, demand, cause of action, controversy or dispute.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DRO</w:t>
      </w:r>
      <w:r>
        <w:rPr>
          <w:rFonts w:ascii="Arial" w:cs="Arial" w:eastAsia="Arial" w:hAnsi="Arial"/>
          <w:sz w:val="21"/>
          <w:szCs w:val="21"/>
          <w:color w:val="auto"/>
        </w:rPr>
        <w:t>” means a Qualified Domestic Relations Order as set forth in ERISA § 206(d)(3) and Code § 401(a)(13)(B).</w:t>
      </w:r>
    </w:p>
    <w:p>
      <w:pPr>
        <w:spacing w:after="0" w:line="200" w:lineRule="exact"/>
        <w:rPr>
          <w:sz w:val="20"/>
          <w:szCs w:val="20"/>
          <w:color w:val="auto"/>
        </w:rPr>
      </w:pP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Dry-Run Additional Classification Error</w:t>
      </w:r>
      <w:r>
        <w:rPr>
          <w:rFonts w:ascii="Arial" w:cs="Arial" w:eastAsia="Arial" w:hAnsi="Arial"/>
          <w:sz w:val="21"/>
          <w:szCs w:val="21"/>
          <w:color w:val="auto"/>
        </w:rPr>
        <w:t>” means, with respect to each calculation of a Dry-Run Post-Solicitation Premium, the Additional Classification Error Correction, as calculated by the Insurer as of the day that is seven (7) days prior to the date such Dry-Run Post-Solicitation Premium is required to be delivered by the Insurer to the Company.</w:t>
      </w:r>
    </w:p>
    <w:p>
      <w:pPr>
        <w:spacing w:after="0" w:line="3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Dry-Run Benefit Amount Correction</w:t>
      </w:r>
      <w:r>
        <w:rPr>
          <w:rFonts w:ascii="Arial" w:cs="Arial" w:eastAsia="Arial" w:hAnsi="Arial"/>
          <w:sz w:val="22"/>
          <w:szCs w:val="22"/>
          <w:color w:val="auto"/>
        </w:rPr>
        <w:t>” means, with respect to each calculation of a Dry-Run Post-Solicitation Premium, the Benefit Amount Correction, as calculated by the Insurer as of the day that is seven (7) days prior to the date such Dry-Run Post-Solicitation Premium is required to be delivered by the Insurer to the Company.</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Dry-Run Closing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Dry-Run</w:t>
      </w:r>
      <w:r>
        <w:rPr>
          <w:rFonts w:ascii="Arial" w:cs="Arial" w:eastAsia="Arial" w:hAnsi="Arial"/>
          <w:sz w:val="22"/>
          <w:szCs w:val="22"/>
          <w:color w:val="auto"/>
        </w:rPr>
        <w:t xml:space="preserve"> [ *** ]” means, with respect to each calculation of a Dry-Run Post-Solicitation Premium, the [ *** ], as calculated by the Insurer as of the day that is seven (7) days prior to the date such Dry-Run Post-Solicitation Premium is required to be delivered by the Insurer to the Company.</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Dry-Run Post-Solicitation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2.5(e)(i)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Dry-Run Single Life Mortality Correction</w:t>
      </w:r>
      <w:r>
        <w:rPr>
          <w:rFonts w:ascii="Arial" w:cs="Arial" w:eastAsia="Arial" w:hAnsi="Arial"/>
          <w:sz w:val="22"/>
          <w:szCs w:val="22"/>
          <w:color w:val="auto"/>
        </w:rPr>
        <w:t>” means, with respect to each calculation of a Dry-Run</w:t>
      </w:r>
    </w:p>
    <w:p>
      <w:pPr>
        <w:sectPr>
          <w:pgSz w:w="11900" w:h="16838" w:orient="portrait"/>
          <w:cols w:equalWidth="0" w:num="1">
            <w:col w:w="11420"/>
          </w:cols>
          <w:pgMar w:left="240" w:top="807" w:right="239"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807" w:right="239" w:bottom="0" w:gutter="0" w:footer="0" w:header="0"/>
          <w:type w:val="continuous"/>
        </w:sectPr>
      </w:pPr>
    </w:p>
    <w:bookmarkStart w:id="99" w:name="page100"/>
    <w:bookmarkEnd w:id="99"/>
    <w:p>
      <w:pPr>
        <w:jc w:val="both"/>
        <w:spacing w:after="0" w:line="287" w:lineRule="auto"/>
        <w:rPr>
          <w:sz w:val="20"/>
          <w:szCs w:val="20"/>
          <w:color w:val="auto"/>
        </w:rPr>
      </w:pPr>
      <w:r>
        <w:rPr>
          <w:rFonts w:ascii="Arial" w:cs="Arial" w:eastAsia="Arial" w:hAnsi="Arial"/>
          <w:sz w:val="21"/>
          <w:szCs w:val="21"/>
          <w:color w:val="auto"/>
        </w:rPr>
        <w:t>Post-Solicitation Premium, the Single Life Mortality Correction, as calculated by the Insurer as of the day that is seven (7) days prior to the date such Dry-Run Post-Solicitation Premium is required to be delivered by the Insurer to the Company.</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DTFA Execution Date</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DTFA Pricing Date</w:t>
      </w:r>
      <w:r>
        <w:rPr>
          <w:rFonts w:ascii="Arial" w:cs="Arial" w:eastAsia="Arial" w:hAnsi="Arial"/>
          <w:sz w:val="22"/>
          <w:szCs w:val="22"/>
          <w:color w:val="auto"/>
        </w:rPr>
        <w:t>” means April 30, 2012.</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Enforceability Exception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Account</w:t>
      </w:r>
      <w:r>
        <w:rPr>
          <w:rFonts w:ascii="Arial" w:cs="Arial" w:eastAsia="Arial" w:hAnsi="Arial"/>
          <w:sz w:val="22"/>
          <w:szCs w:val="22"/>
          <w:color w:val="auto"/>
        </w:rPr>
        <w:t>” means the account established pursuant to the Escrow Agreement.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means U.S. Bank, National Association.</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means the escrow agreement, dated as of May 30, 2012, between the Company, the Insurer and the Escrow Agent and effective as of the DTFA Execution Date.</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Lump-Sum Data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2.5(d)</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 ] Newco, [ *** ] Newco [ *** ] Newco [ *** ] Newco [ *** ] Newco, [ *** ] Newco [ *** ] Newco.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Expected Data Finalization Date</w:t>
      </w:r>
      <w:r>
        <w:rPr>
          <w:rFonts w:ascii="Arial" w:cs="Arial" w:eastAsia="Arial" w:hAnsi="Arial"/>
          <w:sz w:val="22"/>
          <w:szCs w:val="22"/>
          <w:color w:val="auto"/>
        </w:rPr>
        <w:t>” is defined in the Group Annuity Contract.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Period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Fidelity</w:t>
      </w:r>
      <w:r>
        <w:rPr>
          <w:rFonts w:ascii="Arial" w:cs="Arial" w:eastAsia="Arial" w:hAnsi="Arial"/>
          <w:sz w:val="22"/>
          <w:szCs w:val="22"/>
          <w:color w:val="auto"/>
        </w:rPr>
        <w:t>” means Fidelity Workplace Services, LLC.</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Asset Statement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Additional Classification Errors Correction</w:t>
      </w:r>
      <w:r>
        <w:rPr>
          <w:rFonts w:ascii="Arial" w:cs="Arial" w:eastAsia="Arial" w:hAnsi="Arial"/>
          <w:sz w:val="21"/>
          <w:szCs w:val="21"/>
          <w:color w:val="auto"/>
        </w:rPr>
        <w:t xml:space="preserve">” means the Additional Classification Errors Correction, as calculated by the Insurer as of the Annuity Commencement Date (or if no Interim Post-Closing Post-Solicitation Premium was delivered, the date that is 30 days prior to the Target Closing Date) and taking into account Additional Classification Errors that are reported to the Insurer on or after the Interim Corrections Calculation Date and prior to the date that is 7 days prior to the date that the calculation of the Post-Closing Final Premium is delivered pursuant to </w:t>
      </w:r>
      <w:r>
        <w:rPr>
          <w:rFonts w:ascii="Arial" w:cs="Arial" w:eastAsia="Arial" w:hAnsi="Arial"/>
          <w:sz w:val="21"/>
          <w:szCs w:val="21"/>
          <w:u w:val="single" w:color="auto"/>
          <w:color w:val="auto"/>
        </w:rPr>
        <w:t>Section 2.11(c)(ii)</w:t>
      </w:r>
      <w:r>
        <w:rPr>
          <w:rFonts w:ascii="Arial" w:cs="Arial" w:eastAsia="Arial" w:hAnsi="Arial"/>
          <w:sz w:val="21"/>
          <w:szCs w:val="21"/>
          <w:color w:val="auto"/>
        </w:rPr>
        <w:t>.</w:t>
      </w:r>
    </w:p>
    <w:p>
      <w:pPr>
        <w:spacing w:after="0" w:line="3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Benefit Amount Correction</w:t>
      </w:r>
      <w:r>
        <w:rPr>
          <w:rFonts w:ascii="Arial" w:cs="Arial" w:eastAsia="Arial" w:hAnsi="Arial"/>
          <w:sz w:val="22"/>
          <w:szCs w:val="22"/>
          <w:color w:val="auto"/>
        </w:rPr>
        <w:t xml:space="preserve">” means the Benefit Amount Correction, as calculated by the Insurer as of the Annuity Commencement Date and taking into account Benefit Amount Increases that are discovered by the Insurer on or after the Interim Corrections Calculation Date (or if no Interim Post-Closing Post-Solicitation Premium was delivered, the date that is 30 days prior to the Target Closing Date) and prior to the date that is 7 days prior to the date that the calculation of the Post-Closing Final Premium is delivered pursuant to </w:t>
      </w:r>
      <w:r>
        <w:rPr>
          <w:rFonts w:ascii="Arial" w:cs="Arial" w:eastAsia="Arial" w:hAnsi="Arial"/>
          <w:sz w:val="22"/>
          <w:szCs w:val="22"/>
          <w:u w:val="single" w:color="auto"/>
          <w:color w:val="auto"/>
        </w:rPr>
        <w:t>Section 2.11(c)(ii)</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w:t>
      </w:r>
      <w:r>
        <w:rPr>
          <w:rFonts w:ascii="Arial" w:cs="Arial" w:eastAsia="Arial" w:hAnsi="Arial"/>
          <w:sz w:val="22"/>
          <w:szCs w:val="22"/>
          <w:color w:val="auto"/>
        </w:rPr>
        <w:t xml:space="preserve"> [ *** ]” means the [ *** ], as calculated by the Insurer as of the Annuity Commencement Date and taking into account Data Errors that are discovered by the Insurer on or after the Interim Corrections Calculation Date (or if no Interim Post-Closing Post-Solicitation Premium was delivered, the date that is 30 days prior to the Target Closing Date) and prior to the date that is 7 days prior to the date that the calculation of the Post-Closing Final Premium is delivered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2.11(c)(ii)</w:t>
      </w:r>
      <w:r>
        <w:rPr>
          <w:rFonts w:ascii="Arial" w:cs="Arial" w:eastAsia="Arial" w:hAnsi="Arial"/>
          <w:sz w:val="22"/>
          <w:szCs w:val="22"/>
          <w:color w:val="auto"/>
        </w:rPr>
        <w:t>.</w:t>
      </w:r>
    </w:p>
    <w:p>
      <w:pPr>
        <w:sectPr>
          <w:pgSz w:w="11900" w:h="16838" w:orient="portrait"/>
          <w:cols w:equalWidth="0" w:num="1">
            <w:col w:w="11420"/>
          </w:cols>
          <w:pgMar w:left="240" w:top="807" w:right="239"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807" w:right="239" w:bottom="0" w:gutter="0" w:footer="0" w:header="0"/>
          <w:type w:val="continuous"/>
        </w:sectPr>
      </w:pPr>
    </w:p>
    <w:bookmarkStart w:id="100" w:name="page101"/>
    <w:bookmarkEnd w:id="100"/>
    <w:tbl>
      <w:tblPr>
        <w:tblLayout w:type="fixed"/>
        <w:tblInd w:w="660" w:type="dxa"/>
        <w:tblCellMar>
          <w:top w:w="0" w:type="dxa"/>
          <w:left w:w="0" w:type="dxa"/>
          <w:bottom w:w="0" w:type="dxa"/>
          <w:right w:w="0" w:type="dxa"/>
        </w:tblCellMar>
      </w:tblPr>
      <w:tr>
        <w:trPr>
          <w:trHeight w:val="253"/>
        </w:trPr>
        <w:tc>
          <w:tcPr>
            <w:tcW w:w="940" w:type="dxa"/>
            <w:vAlign w:val="bottom"/>
            <w:gridSpan w:val="2"/>
          </w:tcPr>
          <w:p>
            <w:pPr>
              <w:spacing w:after="0"/>
              <w:rPr>
                <w:sz w:val="20"/>
                <w:szCs w:val="20"/>
                <w:color w:val="auto"/>
              </w:rPr>
            </w:pPr>
            <w:r>
              <w:rPr>
                <w:rFonts w:ascii="Arial" w:cs="Arial" w:eastAsia="Arial" w:hAnsi="Arial"/>
                <w:sz w:val="22"/>
                <w:szCs w:val="22"/>
                <w:color w:val="auto"/>
              </w:rPr>
              <w:t>“[   ***</w:t>
            </w:r>
          </w:p>
        </w:tc>
        <w:tc>
          <w:tcPr>
            <w:tcW w:w="3240" w:type="dxa"/>
            <w:vAlign w:val="bottom"/>
            <w:gridSpan w:val="4"/>
          </w:tcPr>
          <w:p>
            <w:pPr>
              <w:ind w:left="200"/>
              <w:spacing w:after="0"/>
              <w:rPr>
                <w:sz w:val="20"/>
                <w:szCs w:val="20"/>
                <w:color w:val="auto"/>
              </w:rPr>
            </w:pPr>
            <w:r>
              <w:rPr>
                <w:rFonts w:ascii="Arial" w:cs="Arial" w:eastAsia="Arial" w:hAnsi="Arial"/>
                <w:sz w:val="22"/>
                <w:szCs w:val="22"/>
                <w:color w:val="auto"/>
                <w:w w:val="97"/>
              </w:rPr>
              <w:t>]” is defined in Section 2.5(e)(ii).</w:t>
            </w:r>
          </w:p>
        </w:tc>
        <w:tc>
          <w:tcPr>
            <w:tcW w:w="70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20"/>
        </w:trPr>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669"/>
        </w:trPr>
        <w:tc>
          <w:tcPr>
            <w:tcW w:w="4180" w:type="dxa"/>
            <w:vAlign w:val="bottom"/>
            <w:gridSpan w:val="6"/>
          </w:tcPr>
          <w:p>
            <w:pPr>
              <w:spacing w:after="0"/>
              <w:rPr>
                <w:sz w:val="20"/>
                <w:szCs w:val="20"/>
                <w:color w:val="auto"/>
              </w:rPr>
            </w:pPr>
            <w:r>
              <w:rPr>
                <w:rFonts w:ascii="Arial" w:cs="Arial" w:eastAsia="Arial" w:hAnsi="Arial"/>
                <w:sz w:val="22"/>
                <w:szCs w:val="22"/>
                <w:color w:val="auto"/>
                <w:w w:val="96"/>
              </w:rPr>
              <w:t>“Final Plan Portfolio” means the portfolio of [</w:t>
            </w:r>
          </w:p>
        </w:tc>
        <w:tc>
          <w:tcPr>
            <w:tcW w:w="7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5880" w:type="dxa"/>
            <w:vAlign w:val="bottom"/>
          </w:tcPr>
          <w:p>
            <w:pPr>
              <w:ind w:left="200"/>
              <w:spacing w:after="0"/>
              <w:rPr>
                <w:sz w:val="20"/>
                <w:szCs w:val="20"/>
                <w:color w:val="auto"/>
              </w:rPr>
            </w:pPr>
            <w:r>
              <w:rPr>
                <w:rFonts w:ascii="Arial" w:cs="Arial" w:eastAsia="Arial" w:hAnsi="Arial"/>
                <w:sz w:val="22"/>
                <w:szCs w:val="22"/>
                <w:color w:val="auto"/>
                <w:w w:val="88"/>
              </w:rPr>
              <w:t>] set forth on the Transferred Assets Schedule. For the avoidance</w:t>
            </w:r>
          </w:p>
        </w:tc>
      </w:tr>
      <w:tr>
        <w:trPr>
          <w:trHeight w:val="20"/>
        </w:trPr>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of doubt, the assets in Contract 300 Portfolio P at Closing are part of the Final Plan Portfolio.</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Pre-Closing Asset Valuation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2.6(e)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Single Life Mortality Correction</w:t>
      </w:r>
      <w:r>
        <w:rPr>
          <w:rFonts w:ascii="Arial" w:cs="Arial" w:eastAsia="Arial" w:hAnsi="Arial"/>
          <w:sz w:val="22"/>
          <w:szCs w:val="22"/>
          <w:color w:val="auto"/>
        </w:rPr>
        <w:t xml:space="preserve">” means the Single Life Mortality Correction, as calculated by the Insurer as of the Annuity Commencement Date, and taking into account the death of any Covered Life prior to the Annuity Commencement Date who elected a Single Life Annuity that is discovered by the Insurer on or after the Interim Corrections Calculation Date (or if no Interim Post-Closing Post-Solicitation Premium was delivered, the date that is 30 days prior to the Target Closing Date) and prior to the date that is 7 days prior to the date that the calculation of the Post-Closing Final Premium is delivered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2.11(c)(ii)</w:t>
      </w:r>
      <w:r>
        <w:rPr>
          <w:rFonts w:ascii="Arial" w:cs="Arial" w:eastAsia="Arial" w:hAnsi="Arial"/>
          <w:sz w:val="22"/>
          <w:szCs w:val="22"/>
          <w:color w:val="auto"/>
        </w:rPr>
        <w:t>.</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Firm Limit</w:t>
      </w:r>
      <w:r>
        <w:rPr>
          <w:rFonts w:ascii="Arial" w:cs="Arial" w:eastAsia="Arial" w:hAnsi="Arial"/>
          <w:sz w:val="22"/>
          <w:szCs w:val="22"/>
          <w:color w:val="auto"/>
        </w:rPr>
        <w:t>” is defined in Section I of the Procedures Manual.</w:t>
      </w:r>
    </w:p>
    <w:p>
      <w:pPr>
        <w:sectPr>
          <w:pgSz w:w="11900" w:h="16838" w:orient="portrait"/>
          <w:cols w:equalWidth="0" w:num="1">
            <w:col w:w="11420"/>
          </w:cols>
          <w:pgMar w:left="240" w:top="778" w:right="239" w:bottom="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jc w:val="center"/>
              <w:ind w:left="372"/>
              <w:spacing w:after="0"/>
              <w:rPr>
                <w:sz w:val="20"/>
                <w:szCs w:val="20"/>
                <w:color w:val="auto"/>
              </w:rPr>
            </w:pPr>
            <w:r>
              <w:rPr>
                <w:rFonts w:ascii="Arial" w:cs="Arial" w:eastAsia="Arial" w:hAnsi="Arial"/>
                <w:sz w:val="22"/>
                <w:szCs w:val="22"/>
                <w:color w:val="auto"/>
              </w:rPr>
              <w:t>“[</w:t>
            </w:r>
          </w:p>
        </w:tc>
        <w:tc>
          <w:tcPr>
            <w:tcW w:w="60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3760" w:type="dxa"/>
            <w:vAlign w:val="bottom"/>
            <w:gridSpan w:val="4"/>
          </w:tcPr>
          <w:p>
            <w:pPr>
              <w:ind w:left="340"/>
              <w:spacing w:after="0"/>
              <w:rPr>
                <w:sz w:val="20"/>
                <w:szCs w:val="20"/>
                <w:color w:val="auto"/>
              </w:rPr>
            </w:pPr>
            <w:r>
              <w:rPr>
                <w:rFonts w:ascii="Arial" w:cs="Arial" w:eastAsia="Arial" w:hAnsi="Arial"/>
                <w:sz w:val="22"/>
                <w:szCs w:val="22"/>
                <w:color w:val="auto"/>
              </w:rPr>
              <w:t>] Assets” means a total amount of [</w:t>
            </w:r>
          </w:p>
        </w:tc>
        <w:tc>
          <w:tcPr>
            <w:tcW w:w="56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600" w:type="dxa"/>
            <w:vAlign w:val="bottom"/>
            <w:gridSpan w:val="4"/>
          </w:tcPr>
          <w:p>
            <w:pPr>
              <w:jc w:val="center"/>
              <w:ind w:right="140"/>
              <w:spacing w:after="0" w:line="237" w:lineRule="exact"/>
              <w:rPr>
                <w:sz w:val="20"/>
                <w:szCs w:val="20"/>
                <w:color w:val="auto"/>
              </w:rPr>
            </w:pPr>
            <w:r>
              <w:rPr>
                <w:rFonts w:ascii="Arial" w:cs="Arial" w:eastAsia="Arial" w:hAnsi="Arial"/>
                <w:sz w:val="22"/>
                <w:szCs w:val="22"/>
                <w:color w:val="auto"/>
                <w:w w:val="91"/>
              </w:rPr>
              <w:t>Premium or (b) [</w:t>
            </w:r>
          </w:p>
        </w:tc>
        <w:tc>
          <w:tcPr>
            <w:tcW w:w="640" w:type="dxa"/>
            <w:vAlign w:val="bottom"/>
            <w:gridSpan w:val="2"/>
          </w:tcPr>
          <w:p>
            <w:pPr>
              <w:jc w:val="right"/>
              <w:ind w:right="180"/>
              <w:spacing w:after="0" w:line="237" w:lineRule="exact"/>
              <w:rPr>
                <w:sz w:val="20"/>
                <w:szCs w:val="20"/>
                <w:color w:val="auto"/>
              </w:rPr>
            </w:pPr>
            <w:r>
              <w:rPr>
                <w:rFonts w:ascii="Arial" w:cs="Arial" w:eastAsia="Arial" w:hAnsi="Arial"/>
                <w:sz w:val="22"/>
                <w:szCs w:val="22"/>
                <w:color w:val="auto"/>
              </w:rPr>
              <w:t>***</w:t>
            </w:r>
          </w:p>
        </w:tc>
        <w:tc>
          <w:tcPr>
            <w:tcW w:w="3120" w:type="dxa"/>
            <w:vAlign w:val="bottom"/>
            <w:gridSpan w:val="2"/>
          </w:tcPr>
          <w:p>
            <w:pPr>
              <w:ind w:left="200"/>
              <w:spacing w:after="0" w:line="237" w:lineRule="exact"/>
              <w:rPr>
                <w:sz w:val="20"/>
                <w:szCs w:val="20"/>
                <w:color w:val="auto"/>
              </w:rPr>
            </w:pPr>
            <w:r>
              <w:rPr>
                <w:rFonts w:ascii="Arial" w:cs="Arial" w:eastAsia="Arial" w:hAnsi="Arial"/>
                <w:sz w:val="22"/>
                <w:szCs w:val="22"/>
                <w:color w:val="auto"/>
                <w:w w:val="89"/>
              </w:rPr>
              <w:t>], but in no event to be less than [</w:t>
            </w:r>
          </w:p>
        </w:tc>
        <w:tc>
          <w:tcPr>
            <w:tcW w:w="56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FOA</w:t>
      </w:r>
      <w:r>
        <w:rPr>
          <w:rFonts w:ascii="Arial" w:cs="Arial" w:eastAsia="Arial" w:hAnsi="Arial"/>
          <w:sz w:val="21"/>
          <w:szCs w:val="21"/>
          <w:color w:val="auto"/>
        </w:rPr>
        <w:t>” is defined in Section A of the Procedures Manual.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hanging="88"/>
        <w:spacing w:after="0" w:line="263" w:lineRule="auto"/>
        <w:rPr>
          <w:sz w:val="20"/>
          <w:szCs w:val="20"/>
          <w:color w:val="auto"/>
        </w:rPr>
      </w:pPr>
      <w:r>
        <w:rPr>
          <w:rFonts w:ascii="Arial" w:cs="Arial" w:eastAsia="Arial" w:hAnsi="Arial"/>
          <w:sz w:val="22"/>
          <w:szCs w:val="22"/>
          <w:color w:val="auto"/>
        </w:rPr>
        <w:t>] up to the lesser of (</w:t>
      </w:r>
      <w:r>
        <w:rPr>
          <w:rFonts w:ascii="Arial" w:cs="Arial" w:eastAsia="Arial" w:hAnsi="Arial"/>
          <w:sz w:val="22"/>
          <w:szCs w:val="22"/>
          <w:u w:val="single" w:color="auto"/>
          <w:color w:val="auto"/>
        </w:rPr>
        <w:t>a</w:t>
      </w:r>
      <w:r>
        <w:rPr>
          <w:rFonts w:ascii="Arial" w:cs="Arial" w:eastAsia="Arial" w:hAnsi="Arial"/>
          <w:sz w:val="22"/>
          <w:szCs w:val="22"/>
          <w:color w:val="auto"/>
        </w:rPr>
        <w:t>) [</w:t>
      </w:r>
      <w:r>
        <w:rPr>
          <w:sz w:val="20"/>
          <w:szCs w:val="20"/>
          <w:color w:val="auto"/>
        </w:rPr>
        <w:t xml:space="preserve"> </w:t>
      </w:r>
      <w:r>
        <w:rPr>
          <w:rFonts w:ascii="Arial" w:cs="Arial" w:eastAsia="Arial" w:hAnsi="Arial"/>
          <w:sz w:val="22"/>
          <w:szCs w:val="22"/>
          <w:color w:val="auto"/>
        </w:rPr>
        <w:t>*** ] of the Closing Final ], as discussed in Section I of the Procedures Manual.</w:t>
      </w:r>
    </w:p>
    <w:p>
      <w:pPr>
        <w:spacing w:after="0" w:line="832" w:lineRule="exact"/>
        <w:rPr>
          <w:sz w:val="20"/>
          <w:szCs w:val="20"/>
          <w:color w:val="auto"/>
        </w:rPr>
      </w:pPr>
    </w:p>
    <w:p>
      <w:pPr>
        <w:sectPr>
          <w:pgSz w:w="11900" w:h="16838" w:orient="portrait"/>
          <w:cols w:equalWidth="0" w:num="2">
            <w:col w:w="5920" w:space="380"/>
            <w:col w:w="5120"/>
          </w:cols>
          <w:pgMar w:left="240" w:top="778" w:right="239" w:bottom="0" w:gutter="0" w:footer="0" w:header="0"/>
          <w:type w:val="continuous"/>
        </w:sect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Form 500</w:t>
      </w:r>
      <w:r>
        <w:rPr>
          <w:rFonts w:ascii="Arial" w:cs="Arial" w:eastAsia="Arial" w:hAnsi="Arial"/>
          <w:sz w:val="19"/>
          <w:szCs w:val="19"/>
          <w:color w:val="auto"/>
        </w:rPr>
        <w:t>” means PBGC Form 500 filed in connection with the Plan's termination, and described in 29 C.F.R. § 4041.25.</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 501</w:t>
      </w:r>
      <w:r>
        <w:rPr>
          <w:rFonts w:ascii="Arial" w:cs="Arial" w:eastAsia="Arial" w:hAnsi="Arial"/>
          <w:sz w:val="21"/>
          <w:szCs w:val="21"/>
          <w:color w:val="auto"/>
        </w:rPr>
        <w:t>” means PBGC From 501 filed to certify the distribution of all Plan benefits, and described in 29 C.F.R.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4041.29.</w:t>
      </w:r>
    </w:p>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and practices in effect from time to time applied consistently throughout the periods involved.</w:t>
      </w:r>
    </w:p>
    <w:p>
      <w:pPr>
        <w:spacing w:after="0" w:line="3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 ]” means the adjustment to the Dry-Run Post-Solicitation Premiums, the Preliminary Post-Solicitation Premium, the Interim Post-Closing Post-Solicitation Premium or the Post-Closing Post-Solicitation Premium, as applicable, as calculated in accordance with the methodology and procedures set forth in Section B of the Procedures Manual, as a result of a Data Error.</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Account</w:t>
      </w:r>
      <w:r>
        <w:rPr>
          <w:rFonts w:ascii="Arial" w:cs="Arial" w:eastAsia="Arial" w:hAnsi="Arial"/>
          <w:sz w:val="22"/>
          <w:szCs w:val="22"/>
          <w:color w:val="auto"/>
        </w:rPr>
        <w:t>” means the Insurer's general account.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Approval</w:t>
      </w:r>
      <w:r>
        <w:rPr>
          <w:rFonts w:ascii="Arial" w:cs="Arial" w:eastAsia="Arial" w:hAnsi="Arial"/>
          <w:sz w:val="22"/>
          <w:szCs w:val="22"/>
          <w:color w:val="auto"/>
        </w:rPr>
        <w:t>” means any Consent of a Governmental Authority.</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municipal, foreign or local government or quasi-governmental authority or any regulatory or administrative body, department, agency, insurance commission or commissioner, subdivision, court or other tribunal, arbitrator or arbitral body of any of the foregoing.</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Annuity Contract</w:t>
      </w:r>
      <w:r>
        <w:rPr>
          <w:rFonts w:ascii="Arial" w:cs="Arial" w:eastAsia="Arial" w:hAnsi="Arial"/>
          <w:sz w:val="22"/>
          <w:szCs w:val="22"/>
          <w:color w:val="auto"/>
        </w:rPr>
        <w:t xml:space="preserve">” means a single premium, non-participating group annuity contract, and all exhibits thereto, that amends and restates Contract 300 Article P and is issued by the Insurer in the form of </w:t>
      </w:r>
      <w:r>
        <w:rPr>
          <w:rFonts w:ascii="Arial" w:cs="Arial" w:eastAsia="Arial" w:hAnsi="Arial"/>
          <w:sz w:val="22"/>
          <w:szCs w:val="22"/>
          <w:u w:val="single" w:color="auto"/>
          <w:color w:val="auto"/>
        </w:rPr>
        <w:t>Appendix 1.1A</w:t>
      </w:r>
      <w:r>
        <w:rPr>
          <w:rFonts w:ascii="Arial" w:cs="Arial" w:eastAsia="Arial" w:hAnsi="Arial"/>
          <w:sz w:val="22"/>
          <w:szCs w:val="22"/>
          <w:color w:val="auto"/>
        </w:rPr>
        <w: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Annuity Contract Issuance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Separate Account</w:t>
      </w:r>
      <w:r>
        <w:rPr>
          <w:rFonts w:ascii="Arial" w:cs="Arial" w:eastAsia="Arial" w:hAnsi="Arial"/>
          <w:sz w:val="22"/>
          <w:szCs w:val="22"/>
          <w:color w:val="auto"/>
        </w:rPr>
        <w:t>” means the Insurer's dedicated, non-commingled separate account</w:t>
      </w:r>
    </w:p>
    <w:p>
      <w:pPr>
        <w:sectPr>
          <w:pgSz w:w="11900" w:h="16838" w:orient="portrait"/>
          <w:cols w:equalWidth="0" w:num="1">
            <w:col w:w="11420"/>
          </w:cols>
          <w:pgMar w:left="240" w:top="778" w:right="239" w:bottom="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78" w:right="239" w:bottom="0" w:gutter="0" w:footer="0" w:header="0"/>
          <w:type w:val="continuous"/>
        </w:sectPr>
      </w:pPr>
    </w:p>
    <w:bookmarkStart w:id="101" w:name="page102"/>
    <w:bookmarkEnd w:id="101"/>
    <w:p>
      <w:pPr>
        <w:spacing w:after="0"/>
        <w:tabs>
          <w:tab w:leader="none" w:pos="1440" w:val="left"/>
          <w:tab w:leader="none" w:pos="2140" w:val="left"/>
        </w:tabs>
        <w:rPr>
          <w:sz w:val="20"/>
          <w:szCs w:val="20"/>
          <w:color w:val="auto"/>
        </w:rPr>
      </w:pPr>
      <w:r>
        <w:rPr>
          <w:rFonts w:ascii="Arial" w:cs="Arial" w:eastAsia="Arial" w:hAnsi="Arial"/>
          <w:sz w:val="22"/>
          <w:szCs w:val="22"/>
          <w:color w:val="auto"/>
        </w:rPr>
        <w:t>identified as [</w:t>
        <w:tab/>
        <w:t>***</w:t>
      </w:r>
      <w:r>
        <w:rPr>
          <w:sz w:val="20"/>
          <w:szCs w:val="20"/>
          <w:color w:val="auto"/>
        </w:rPr>
        <w:tab/>
      </w:r>
      <w:r>
        <w:rPr>
          <w:rFonts w:ascii="Arial" w:cs="Arial" w:eastAsia="Arial" w:hAnsi="Arial"/>
          <w:sz w:val="19"/>
          <w:szCs w:val="19"/>
          <w:color w:val="auto"/>
        </w:rPr>
        <w:t>] that will be used to pay all or a portion of the Annuity Payments due under the Group Annuity Contract.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 ]” is defined in </w:t>
      </w:r>
      <w:r>
        <w:rPr>
          <w:rFonts w:ascii="Arial" w:cs="Arial" w:eastAsia="Arial" w:hAnsi="Arial"/>
          <w:sz w:val="22"/>
          <w:szCs w:val="22"/>
          <w:u w:val="single" w:color="auto"/>
          <w:color w:val="auto"/>
        </w:rPr>
        <w:t>Section 6.5(c)</w:t>
      </w:r>
      <w:r>
        <w:rPr>
          <w:rFonts w:ascii="Arial" w:cs="Arial" w:eastAsia="Arial" w:hAnsi="Arial"/>
          <w:sz w:val="22"/>
          <w:szCs w:val="22"/>
          <w:color w:val="auto"/>
        </w:rPr>
        <w:t xml:space="preserve"> and determined in accordance with </w:t>
      </w:r>
      <w:r>
        <w:rPr>
          <w:rFonts w:ascii="Arial" w:cs="Arial" w:eastAsia="Arial" w:hAnsi="Arial"/>
          <w:sz w:val="22"/>
          <w:szCs w:val="22"/>
          <w:u w:val="single" w:color="auto"/>
          <w:color w:val="auto"/>
        </w:rPr>
        <w:t>Appendix 6.6</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Identified CD-ROM</w:t>
      </w:r>
      <w:r>
        <w:rPr>
          <w:rFonts w:ascii="Arial" w:cs="Arial" w:eastAsia="Arial" w:hAnsi="Arial"/>
          <w:sz w:val="22"/>
          <w:szCs w:val="22"/>
          <w:color w:val="auto"/>
        </w:rPr>
        <w:t xml:space="preserve">” means the version of each Microsoft Excel spreadsheet that was uploaded to the RR Donnelly Venue Virtual Data Room, Project Name Vita Commercial Diligence, between 5:48 pm New York City time on May 29, 2012 and noon New York City time on May 30, 2012 by the Insurer, as the same may be updated in accordance with </w:t>
      </w:r>
      <w:r>
        <w:rPr>
          <w:rFonts w:ascii="Arial" w:cs="Arial" w:eastAsia="Arial" w:hAnsi="Arial"/>
          <w:sz w:val="22"/>
          <w:szCs w:val="22"/>
          <w:u w:val="single" w:color="auto"/>
          <w:color w:val="auto"/>
        </w:rPr>
        <w:t>Section 2.4(c)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2.20</w:t>
      </w:r>
      <w:r>
        <w:rPr>
          <w:rFonts w:ascii="Arial" w:cs="Arial" w:eastAsia="Arial" w:hAnsi="Arial"/>
          <w:sz w:val="22"/>
          <w:szCs w:val="22"/>
          <w:color w:val="auto"/>
        </w:rPr>
        <w:t>, and such Microsoft Excel spreadsheets to which the Company has been provided access will be downloaded by RR Donnelly onto a tangible CD-ROM on the DTFA Execution Date, or as promptly as practical thereafter, and will be initialed by the Company and the Insurer.</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Engagement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60" w:type="dxa"/>
            <w:vAlign w:val="bottom"/>
            <w:gridSpan w:val="4"/>
          </w:tcPr>
          <w:p>
            <w:pPr>
              <w:ind w:left="660"/>
              <w:spacing w:after="0"/>
              <w:rPr>
                <w:sz w:val="20"/>
                <w:szCs w:val="20"/>
                <w:color w:val="auto"/>
              </w:rPr>
            </w:pPr>
            <w:r>
              <w:rPr>
                <w:rFonts w:ascii="Arial" w:cs="Arial" w:eastAsia="Arial" w:hAnsi="Arial"/>
                <w:sz w:val="22"/>
                <w:szCs w:val="22"/>
                <w:color w:val="auto"/>
                <w:w w:val="95"/>
              </w:rPr>
              <w:t>“Incremental Interim [</w:t>
            </w:r>
          </w:p>
        </w:tc>
        <w:tc>
          <w:tcPr>
            <w:tcW w:w="7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7840" w:type="dxa"/>
            <w:vAlign w:val="bottom"/>
            <w:gridSpan w:val="4"/>
          </w:tcPr>
          <w:p>
            <w:pPr>
              <w:jc w:val="right"/>
              <w:spacing w:after="0"/>
              <w:rPr>
                <w:sz w:val="20"/>
                <w:szCs w:val="20"/>
                <w:color w:val="auto"/>
              </w:rPr>
            </w:pPr>
            <w:r>
              <w:rPr>
                <w:rFonts w:ascii="Arial" w:cs="Arial" w:eastAsia="Arial" w:hAnsi="Arial"/>
                <w:sz w:val="22"/>
                <w:szCs w:val="22"/>
                <w:color w:val="auto"/>
                <w:w w:val="91"/>
              </w:rPr>
              <w:t>] Adjustment” is the adjustment to the Interim Post-Closing Final Premium and the Post-</w:t>
            </w:r>
          </w:p>
        </w:tc>
      </w:tr>
      <w:tr>
        <w:trPr>
          <w:trHeight w:val="20"/>
        </w:trPr>
        <w:tc>
          <w:tcPr>
            <w:tcW w:w="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287"/>
        </w:trPr>
        <w:tc>
          <w:tcPr>
            <w:tcW w:w="11420" w:type="dxa"/>
            <w:vAlign w:val="bottom"/>
            <w:gridSpan w:val="10"/>
          </w:tcPr>
          <w:p>
            <w:pPr>
              <w:spacing w:after="0"/>
              <w:rPr>
                <w:sz w:val="20"/>
                <w:szCs w:val="20"/>
                <w:color w:val="auto"/>
              </w:rPr>
            </w:pPr>
            <w:r>
              <w:rPr>
                <w:rFonts w:ascii="Arial" w:cs="Arial" w:eastAsia="Arial" w:hAnsi="Arial"/>
                <w:sz w:val="22"/>
                <w:szCs w:val="22"/>
                <w:color w:val="auto"/>
              </w:rPr>
              <w:t>Closing Final Premium defined in Section I of the Procedures Manual.</w:t>
            </w:r>
          </w:p>
        </w:tc>
      </w:tr>
      <w:tr>
        <w:trPr>
          <w:trHeight w:val="638"/>
        </w:trPr>
        <w:tc>
          <w:tcPr>
            <w:tcW w:w="2660" w:type="dxa"/>
            <w:vAlign w:val="bottom"/>
            <w:gridSpan w:val="4"/>
          </w:tcPr>
          <w:p>
            <w:pPr>
              <w:ind w:left="660"/>
              <w:spacing w:after="0"/>
              <w:rPr>
                <w:sz w:val="20"/>
                <w:szCs w:val="20"/>
                <w:color w:val="auto"/>
              </w:rPr>
            </w:pPr>
            <w:r>
              <w:rPr>
                <w:rFonts w:ascii="Arial" w:cs="Arial" w:eastAsia="Arial" w:hAnsi="Arial"/>
                <w:sz w:val="22"/>
                <w:szCs w:val="22"/>
                <w:color w:val="auto"/>
              </w:rPr>
              <w:t>“Incremental Final [</w:t>
            </w:r>
          </w:p>
        </w:tc>
        <w:tc>
          <w:tcPr>
            <w:tcW w:w="7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8060" w:type="dxa"/>
            <w:vAlign w:val="bottom"/>
            <w:gridSpan w:val="5"/>
          </w:tcPr>
          <w:p>
            <w:pPr>
              <w:jc w:val="right"/>
              <w:spacing w:after="0"/>
              <w:rPr>
                <w:sz w:val="20"/>
                <w:szCs w:val="20"/>
                <w:color w:val="auto"/>
              </w:rPr>
            </w:pPr>
            <w:r>
              <w:rPr>
                <w:rFonts w:ascii="Arial" w:cs="Arial" w:eastAsia="Arial" w:hAnsi="Arial"/>
                <w:sz w:val="22"/>
                <w:szCs w:val="22"/>
                <w:color w:val="auto"/>
                <w:w w:val="93"/>
              </w:rPr>
              <w:t>] Adjustment” is the adjustment to the Post-Closing Final Premium defined in Section I of</w:t>
            </w:r>
          </w:p>
        </w:tc>
      </w:tr>
      <w:tr>
        <w:trPr>
          <w:trHeight w:val="20"/>
        </w:trPr>
        <w:tc>
          <w:tcPr>
            <w:tcW w:w="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287"/>
        </w:trPr>
        <w:tc>
          <w:tcPr>
            <w:tcW w:w="2660" w:type="dxa"/>
            <w:vAlign w:val="bottom"/>
            <w:gridSpan w:val="4"/>
          </w:tcPr>
          <w:p>
            <w:pPr>
              <w:spacing w:after="0"/>
              <w:rPr>
                <w:sz w:val="20"/>
                <w:szCs w:val="20"/>
                <w:color w:val="auto"/>
              </w:rPr>
            </w:pPr>
            <w:r>
              <w:rPr>
                <w:rFonts w:ascii="Arial" w:cs="Arial" w:eastAsia="Arial" w:hAnsi="Arial"/>
                <w:sz w:val="22"/>
                <w:szCs w:val="22"/>
                <w:color w:val="auto"/>
              </w:rPr>
              <w:t>the Procedures Manual.</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4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Fiduciary</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Fiduciary Controlled Group</w:t>
      </w:r>
      <w:r>
        <w:rPr>
          <w:rFonts w:ascii="Arial" w:cs="Arial" w:eastAsia="Arial" w:hAnsi="Arial"/>
          <w:sz w:val="22"/>
          <w:szCs w:val="22"/>
          <w:color w:val="auto"/>
        </w:rPr>
        <w:t>” means the Independent Fiduciary and its Affiliates.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Fiduciary MAC</w:t>
      </w:r>
      <w:r>
        <w:rPr>
          <w:rFonts w:ascii="Arial" w:cs="Arial" w:eastAsia="Arial" w:hAnsi="Arial"/>
          <w:sz w:val="22"/>
          <w:szCs w:val="22"/>
          <w:color w:val="auto"/>
        </w:rPr>
        <w:t>” means the occurrence, in the sole discretion of the Independent Fiduciary, of a material adverse change in the Insurer subsequent to the DTFA Execution Date that would cause the selection of the Insurer to fail to satisfy ERISA and applicable guidance, including Interpretive Bulletin 95-1.</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Third Party</w:t>
      </w:r>
      <w:r>
        <w:rPr>
          <w:rFonts w:ascii="Arial" w:cs="Arial" w:eastAsia="Arial" w:hAnsi="Arial"/>
          <w:sz w:val="22"/>
          <w:szCs w:val="22"/>
          <w:color w:val="auto"/>
        </w:rPr>
        <w:t>” means KPMG, LLP, or such other independent firm selected jointly by the Company and the Insurer.</w:t>
      </w:r>
    </w:p>
    <w:p>
      <w:pPr>
        <w:spacing w:after="0" w:line="3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Independent Third Party Agreement</w:t>
      </w:r>
      <w:r>
        <w:rPr>
          <w:rFonts w:ascii="Arial" w:cs="Arial" w:eastAsia="Arial" w:hAnsi="Arial"/>
          <w:sz w:val="21"/>
          <w:szCs w:val="21"/>
          <w:color w:val="auto"/>
        </w:rPr>
        <w:t>” means the agreement between the Independent Third Party, the Company, and the Insurer in connection with premium verification and dispute resolution services outlined in this Agreement.</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Certification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640" w:val="left"/>
          <w:tab w:leader="none" w:pos="2340" w:val="left"/>
          <w:tab w:leader="none" w:pos="3520" w:val="left"/>
          <w:tab w:leader="none" w:pos="4220" w:val="left"/>
          <w:tab w:leader="none" w:pos="6100" w:val="left"/>
          <w:tab w:leader="none" w:pos="680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w:t>
      </w:r>
      <w:r>
        <w:rPr>
          <w:rFonts w:ascii="Arial" w:cs="Arial" w:eastAsia="Arial" w:hAnsi="Arial"/>
          <w:sz w:val="22"/>
          <w:szCs w:val="22"/>
          <w:color w:val="auto"/>
        </w:rPr>
        <w:t xml:space="preserve"> [</w:t>
        <w:tab/>
        <w:t>***</w:t>
      </w:r>
      <w:r>
        <w:rPr>
          <w:sz w:val="20"/>
          <w:szCs w:val="20"/>
          <w:color w:val="auto"/>
        </w:rPr>
        <w:tab/>
      </w:r>
      <w:r>
        <w:rPr>
          <w:rFonts w:ascii="Arial" w:cs="Arial" w:eastAsia="Arial" w:hAnsi="Arial"/>
          <w:sz w:val="22"/>
          <w:szCs w:val="22"/>
          <w:color w:val="auto"/>
        </w:rPr>
        <w:t>]” means [</w:t>
        <w:tab/>
        <w:t>***</w:t>
      </w:r>
      <w:r>
        <w:rPr>
          <w:sz w:val="20"/>
          <w:szCs w:val="20"/>
          <w:color w:val="auto"/>
        </w:rPr>
        <w:tab/>
      </w:r>
      <w:r>
        <w:rPr>
          <w:rFonts w:ascii="Arial" w:cs="Arial" w:eastAsia="Arial" w:hAnsi="Arial"/>
          <w:sz w:val="22"/>
          <w:szCs w:val="22"/>
          <w:color w:val="auto"/>
        </w:rPr>
        <w:t>], as updated into [</w:t>
        <w:tab/>
        <w:t>***</w:t>
      </w:r>
      <w:r>
        <w:rPr>
          <w:sz w:val="20"/>
          <w:szCs w:val="20"/>
          <w:color w:val="auto"/>
        </w:rPr>
        <w:tab/>
      </w:r>
      <w:r>
        <w:rPr>
          <w:rFonts w:ascii="Arial" w:cs="Arial" w:eastAsia="Arial" w:hAnsi="Arial"/>
          <w:sz w:val="19"/>
          <w:szCs w:val="19"/>
          <w:color w:val="auto"/>
        </w:rPr>
        <w:t>] pursuant to the terms hereof.</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In-Kind Asset Information</w:t>
      </w:r>
      <w:r>
        <w:rPr>
          <w:rFonts w:ascii="Arial" w:cs="Arial" w:eastAsia="Arial" w:hAnsi="Arial"/>
          <w:sz w:val="22"/>
          <w:szCs w:val="22"/>
          <w:color w:val="auto"/>
        </w:rPr>
        <w:t>” is defined in Section H of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In-Kind Asset Tolerances</w:t>
      </w:r>
      <w:r>
        <w:rPr>
          <w:rFonts w:ascii="Arial" w:cs="Arial" w:eastAsia="Arial" w:hAnsi="Arial"/>
          <w:sz w:val="22"/>
          <w:szCs w:val="22"/>
          <w:color w:val="auto"/>
        </w:rPr>
        <w:t>” means the percentage limits for assets set forth and described in Section I of the Procedures Manual.</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Insurer</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Insurer MAC</w:t>
      </w:r>
      <w:r>
        <w:rPr>
          <w:rFonts w:ascii="Arial" w:cs="Arial" w:eastAsia="Arial" w:hAnsi="Arial"/>
          <w:sz w:val="22"/>
          <w:szCs w:val="22"/>
          <w:color w:val="auto"/>
        </w:rPr>
        <w:t>” means the occurrence of any fact, circumstance, change, development, condition or event subsequent to the DTFA Execution Date that individually or in the aggregate would, or would be</w:t>
      </w:r>
    </w:p>
    <w:p>
      <w:pPr>
        <w:sectPr>
          <w:pgSz w:w="11900" w:h="16838" w:orient="portrait"/>
          <w:cols w:equalWidth="0" w:num="1">
            <w:col w:w="11420"/>
          </w:cols>
          <w:pgMar w:left="240" w:top="807" w:right="239" w:bottom="124"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125" w:right="1440" w:bottom="1440" w:gutter="0" w:footer="0" w:header="0"/>
        </w:sectPr>
      </w:pPr>
    </w:p>
    <w:bookmarkStart w:id="103" w:name="page104"/>
    <w:bookmarkEnd w:id="103"/>
    <w:p>
      <w:pPr>
        <w:spacing w:after="0"/>
        <w:tabs>
          <w:tab w:leader="none" w:pos="9920" w:val="left"/>
          <w:tab w:leader="none" w:pos="10620" w:val="left"/>
        </w:tabs>
        <w:rPr>
          <w:sz w:val="20"/>
          <w:szCs w:val="20"/>
          <w:color w:val="auto"/>
        </w:rPr>
      </w:pPr>
      <w:r>
        <w:rPr>
          <w:rFonts w:ascii="Arial" w:cs="Arial" w:eastAsia="Arial" w:hAnsi="Arial"/>
          <w:sz w:val="19"/>
          <w:szCs w:val="19"/>
          <w:color w:val="auto"/>
        </w:rPr>
        <w:t>reasonably expected to, cause the [ *** ], at any point subsequent to the DTFA Execution Date, to be less than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Insurer Parent</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Insurer Provided Life-by-Life Information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Closing Asset Valuation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Corrections Calculation Date</w:t>
      </w:r>
      <w:r>
        <w:rPr>
          <w:rFonts w:ascii="Arial" w:cs="Arial" w:eastAsia="Arial" w:hAnsi="Arial"/>
          <w:sz w:val="22"/>
          <w:szCs w:val="22"/>
          <w:color w:val="auto"/>
        </w:rPr>
        <w:t>” means December 13, 2012.</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Additional Classification Errors Correction</w:t>
      </w:r>
      <w:r>
        <w:rPr>
          <w:rFonts w:ascii="Arial" w:cs="Arial" w:eastAsia="Arial" w:hAnsi="Arial"/>
          <w:sz w:val="22"/>
          <w:szCs w:val="22"/>
          <w:color w:val="auto"/>
        </w:rPr>
        <w:t>” means the Additional Data Errors Correction, as calculated by the Insurer as of the Interim Corrections Calculation Date and taking into account Classification Errors that are reported to the Insurer on or after the date that is 30 days prior to the Target Closing Date and prior to the Interim Corrections Calculation Date.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Post-Closing Benefit Amount Correction</w:t>
      </w:r>
      <w:r>
        <w:rPr>
          <w:rFonts w:ascii="Arial" w:cs="Arial" w:eastAsia="Arial" w:hAnsi="Arial"/>
          <w:sz w:val="19"/>
          <w:szCs w:val="19"/>
          <w:color w:val="auto"/>
        </w:rPr>
        <w:t>” means the Benefit Amount Correction, as calculated by the Insurer as of the Interim Corrections Calculation Date and taking into account Benefit Amount Increases that are discovered by the Insurer on or after the date that is 30 days prior to the Target Closing Date and prior to the Interim Corrections Calculation Date.</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Final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2.10(b)(ii)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w:t>
      </w:r>
      <w:r>
        <w:rPr>
          <w:rFonts w:ascii="Arial" w:cs="Arial" w:eastAsia="Arial" w:hAnsi="Arial"/>
          <w:sz w:val="22"/>
          <w:szCs w:val="22"/>
          <w:color w:val="auto"/>
        </w:rPr>
        <w:t xml:space="preserve"> [ *** ]” means the [ *** ], as calculated by the Insurer as of the Interim Corrections Calculation Date and taking into account Data Errors that are discovered by the Insurer on or after the date that is 30 days prior to the Target Closing Date and prior to the Interim Corrections Calculation Date.</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Insurer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2.10(c)(i)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Plan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2.10(c)(ii)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Post-Solicitation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2.10(b)(i)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Single Life Mortality Correction</w:t>
      </w:r>
      <w:r>
        <w:rPr>
          <w:rFonts w:ascii="Arial" w:cs="Arial" w:eastAsia="Arial" w:hAnsi="Arial"/>
          <w:sz w:val="22"/>
          <w:szCs w:val="22"/>
          <w:color w:val="auto"/>
        </w:rPr>
        <w:t>” means the Single Life Mortality Correction, as calculated by the Insurer as of the Interim Corrections Calculation Date and taking into account the death of any Covered Life prior to the Annuity Commencement Date who elected a Single Life Annuity that is discovered by the Insurer on or after the date that is 30 days prior to the Target Closing Date and prior to the Interim Corrections Calculation Date.</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Interpretive Bulletin 95-1</w:t>
      </w:r>
      <w:r>
        <w:rPr>
          <w:rFonts w:ascii="Arial" w:cs="Arial" w:eastAsia="Arial" w:hAnsi="Arial"/>
          <w:sz w:val="19"/>
          <w:szCs w:val="19"/>
          <w:color w:val="auto"/>
        </w:rPr>
        <w:t>” means the U.S. Department of Labor's interpretive bulletin codified at 29 C.F.R. § 2509.95-1.</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Written Direction</w:t>
      </w:r>
      <w:r>
        <w:rPr>
          <w:rFonts w:ascii="Arial" w:cs="Arial" w:eastAsia="Arial" w:hAnsi="Arial"/>
          <w:sz w:val="22"/>
          <w:szCs w:val="22"/>
          <w:color w:val="auto"/>
        </w:rPr>
        <w:t>” is defined in the Escrow Agreement.</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federal, state, foreign or local law, statute, ordinance, regulation, rule or Order of any Governmental Authority.</w:t>
      </w:r>
    </w:p>
    <w:p>
      <w:pPr>
        <w:spacing w:after="0" w:line="3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direct or indirect liability, debt, obligation, commitment, guaranty, claim, loss, damage, deficiency, penalty, fine, cost or expense of any kind, whether relating to payment, performance or otherwise, known or unknown, fixed, absolute or contingent, accrued or unaccrued, matured or unmatured, disputed or undisputed, liquidated or unliquidated, secured or unsecured, joint or several, due or to become</w:t>
      </w:r>
    </w:p>
    <w:p>
      <w:pPr>
        <w:sectPr>
          <w:pgSz w:w="11900" w:h="16838" w:orient="portrait"/>
          <w:cols w:equalWidth="0" w:num="1">
            <w:col w:w="11420"/>
          </w:cols>
          <w:pgMar w:left="240" w:top="807" w:right="239"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807" w:right="239" w:bottom="0" w:gutter="0" w:footer="0" w:header="0"/>
          <w:type w:val="continuous"/>
        </w:sectPr>
      </w:pPr>
    </w:p>
    <w:bookmarkStart w:id="104" w:name="page105"/>
    <w:bookmarkEnd w:id="104"/>
    <w:p>
      <w:pPr>
        <w:jc w:val="both"/>
        <w:spacing w:after="0" w:line="263" w:lineRule="auto"/>
        <w:rPr>
          <w:sz w:val="20"/>
          <w:szCs w:val="20"/>
          <w:color w:val="auto"/>
        </w:rPr>
      </w:pPr>
      <w:r>
        <w:rPr>
          <w:rFonts w:ascii="Arial" w:cs="Arial" w:eastAsia="Arial" w:hAnsi="Arial"/>
          <w:sz w:val="22"/>
          <w:szCs w:val="22"/>
          <w:color w:val="auto"/>
        </w:rPr>
        <w:t>due, vested or unvested, executory, determined, determinable or otherwise, whenever and however arising (including whether or not required to be reflected or reserved against on the financial statements of the obligor under GAAP).</w:t>
      </w:r>
    </w:p>
    <w:p>
      <w:pPr>
        <w:spacing w:after="0" w:line="391" w:lineRule="exact"/>
        <w:rPr>
          <w:sz w:val="20"/>
          <w:szCs w:val="20"/>
          <w:color w:val="auto"/>
        </w:rPr>
      </w:pPr>
    </w:p>
    <w:p>
      <w:pPr>
        <w:ind w:left="660"/>
        <w:spacing w:after="0"/>
        <w:tabs>
          <w:tab w:leader="none" w:pos="1880" w:val="left"/>
          <w:tab w:leader="none" w:pos="258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xml:space="preserve"> [</w:t>
        <w:tab/>
        <w:t>***</w:t>
      </w:r>
      <w:r>
        <w:rPr>
          <w:sz w:val="20"/>
          <w:szCs w:val="20"/>
          <w:color w:val="auto"/>
        </w:rPr>
        <w:tab/>
      </w:r>
      <w:r>
        <w:rPr>
          <w:rFonts w:ascii="Arial" w:cs="Arial" w:eastAsia="Arial" w:hAnsi="Arial"/>
          <w:sz w:val="19"/>
          <w:szCs w:val="19"/>
          <w:color w:val="auto"/>
        </w:rPr>
        <w:t>]” is defined in Section C of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Liens</w:t>
      </w:r>
      <w:r>
        <w:rPr>
          <w:rFonts w:ascii="Arial" w:cs="Arial" w:eastAsia="Arial" w:hAnsi="Arial"/>
          <w:sz w:val="22"/>
          <w:szCs w:val="22"/>
          <w:color w:val="auto"/>
        </w:rPr>
        <w:t>” means any lien, mortgage, security interest, pledge, deposit, encumbrance, restrictive covenant or other similar restriction.</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20" w:type="dxa"/>
            <w:vAlign w:val="bottom"/>
            <w:gridSpan w:val="27"/>
          </w:tcPr>
          <w:p>
            <w:pPr>
              <w:ind w:left="140"/>
              <w:spacing w:after="0"/>
              <w:rPr>
                <w:sz w:val="20"/>
                <w:szCs w:val="20"/>
                <w:color w:val="auto"/>
              </w:rPr>
            </w:pPr>
            <w:r>
              <w:rPr>
                <w:rFonts w:ascii="Arial" w:cs="Arial" w:eastAsia="Arial" w:hAnsi="Arial"/>
                <w:sz w:val="22"/>
                <w:szCs w:val="22"/>
                <w:color w:val="auto"/>
                <w:w w:val="93"/>
              </w:rPr>
              <w:t>“Liquidity Actions” means the taking of any of the following actions during the Covered Period: (</w:t>
            </w:r>
            <w:r>
              <w:rPr>
                <w:rFonts w:ascii="Arial" w:cs="Arial" w:eastAsia="Arial" w:hAnsi="Arial"/>
                <w:sz w:val="22"/>
                <w:szCs w:val="22"/>
                <w:u w:val="single" w:color="auto"/>
                <w:color w:val="auto"/>
                <w:w w:val="93"/>
              </w:rPr>
              <w:t>i</w:t>
            </w:r>
            <w:r>
              <w:rPr>
                <w:rFonts w:ascii="Arial" w:cs="Arial" w:eastAsia="Arial" w:hAnsi="Arial"/>
                <w:sz w:val="22"/>
                <w:szCs w:val="22"/>
                <w:color w:val="auto"/>
                <w:w w:val="93"/>
              </w:rPr>
              <w:t>) [</w:t>
            </w:r>
          </w:p>
        </w:tc>
        <w:tc>
          <w:tcPr>
            <w:tcW w:w="7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180" w:type="dxa"/>
            <w:vAlign w:val="bottom"/>
            <w:gridSpan w:val="3"/>
          </w:tcPr>
          <w:p>
            <w:pPr>
              <w:jc w:val="right"/>
              <w:spacing w:after="0"/>
              <w:rPr>
                <w:sz w:val="20"/>
                <w:szCs w:val="20"/>
                <w:color w:val="auto"/>
              </w:rPr>
            </w:pPr>
            <w:r>
              <w:rPr>
                <w:rFonts w:ascii="Arial" w:cs="Arial" w:eastAsia="Arial" w:hAnsi="Arial"/>
                <w:sz w:val="22"/>
                <w:szCs w:val="22"/>
                <w:color w:val="auto"/>
              </w:rPr>
              <w:t>] during the</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340" w:type="dxa"/>
            <w:vAlign w:val="bottom"/>
            <w:gridSpan w:val="13"/>
          </w:tcPr>
          <w:p>
            <w:pPr>
              <w:spacing w:after="0" w:line="237" w:lineRule="exact"/>
              <w:rPr>
                <w:sz w:val="20"/>
                <w:szCs w:val="20"/>
                <w:color w:val="auto"/>
              </w:rPr>
            </w:pPr>
            <w:r>
              <w:rPr>
                <w:rFonts w:ascii="Arial" w:cs="Arial" w:eastAsia="Arial" w:hAnsi="Arial"/>
                <w:sz w:val="22"/>
                <w:szCs w:val="22"/>
                <w:color w:val="auto"/>
              </w:rPr>
              <w:t>Covered Period, or (ii) [</w:t>
            </w:r>
          </w:p>
        </w:tc>
        <w:tc>
          <w:tcPr>
            <w:tcW w:w="38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0"/>
                <w:szCs w:val="20"/>
                <w:color w:val="auto"/>
              </w:rPr>
            </w:pPr>
          </w:p>
        </w:tc>
        <w:tc>
          <w:tcPr>
            <w:tcW w:w="2880" w:type="dxa"/>
            <w:vAlign w:val="bottom"/>
            <w:gridSpan w:val="5"/>
          </w:tcPr>
          <w:p>
            <w:pPr>
              <w:ind w:left="40"/>
              <w:spacing w:after="0" w:line="237" w:lineRule="exact"/>
              <w:rPr>
                <w:sz w:val="20"/>
                <w:szCs w:val="20"/>
                <w:color w:val="auto"/>
              </w:rPr>
            </w:pPr>
            <w:r>
              <w:rPr>
                <w:rFonts w:ascii="Arial" w:cs="Arial" w:eastAsia="Arial" w:hAnsi="Arial"/>
                <w:sz w:val="22"/>
                <w:szCs w:val="22"/>
                <w:color w:val="auto"/>
                <w:w w:val="98"/>
              </w:rPr>
              <w:t>] during the Covered Period, [</w:t>
            </w:r>
          </w:p>
        </w:tc>
        <w:tc>
          <w:tcPr>
            <w:tcW w:w="42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1120" w:type="dxa"/>
            <w:vAlign w:val="bottom"/>
            <w:gridSpan w:val="4"/>
          </w:tcPr>
          <w:p>
            <w:pPr>
              <w:ind w:left="320"/>
              <w:spacing w:after="0" w:line="237" w:lineRule="exact"/>
              <w:rPr>
                <w:sz w:val="20"/>
                <w:szCs w:val="20"/>
                <w:color w:val="auto"/>
              </w:rPr>
            </w:pPr>
            <w:r>
              <w:rPr>
                <w:rFonts w:ascii="Arial" w:cs="Arial" w:eastAsia="Arial" w:hAnsi="Arial"/>
                <w:sz w:val="22"/>
                <w:szCs w:val="22"/>
                <w:color w:val="auto"/>
              </w:rPr>
              <w:t>]: (a) [</w:t>
            </w:r>
          </w:p>
        </w:tc>
        <w:tc>
          <w:tcPr>
            <w:tcW w:w="660" w:type="dxa"/>
            <w:vAlign w:val="bottom"/>
            <w:gridSpan w:val="2"/>
          </w:tcPr>
          <w:p>
            <w:pPr>
              <w:jc w:val="right"/>
              <w:ind w:right="212"/>
              <w:spacing w:after="0" w:line="237" w:lineRule="exact"/>
              <w:rPr>
                <w:sz w:val="20"/>
                <w:szCs w:val="20"/>
                <w:color w:val="auto"/>
              </w:rPr>
            </w:pPr>
            <w:r>
              <w:rPr>
                <w:rFonts w:ascii="Arial" w:cs="Arial" w:eastAsia="Arial" w:hAnsi="Arial"/>
                <w:sz w:val="22"/>
                <w:szCs w:val="22"/>
                <w:color w:val="auto"/>
              </w:rPr>
              <w:t>***</w:t>
            </w:r>
          </w:p>
        </w:tc>
        <w:tc>
          <w:tcPr>
            <w:tcW w:w="680" w:type="dxa"/>
            <w:vAlign w:val="bottom"/>
          </w:tcPr>
          <w:p>
            <w:pPr>
              <w:jc w:val="right"/>
              <w:ind w:right="52"/>
              <w:spacing w:after="0" w:line="237" w:lineRule="exact"/>
              <w:rPr>
                <w:sz w:val="20"/>
                <w:szCs w:val="20"/>
                <w:color w:val="auto"/>
              </w:rPr>
            </w:pPr>
            <w:r>
              <w:rPr>
                <w:rFonts w:ascii="Arial" w:cs="Arial" w:eastAsia="Arial" w:hAnsi="Arial"/>
                <w:sz w:val="22"/>
                <w:szCs w:val="22"/>
                <w:color w:val="auto"/>
              </w:rPr>
              <w:t>] (</w:t>
            </w:r>
            <w:r>
              <w:rPr>
                <w:rFonts w:ascii="Arial" w:cs="Arial" w:eastAsia="Arial" w:hAnsi="Arial"/>
                <w:sz w:val="22"/>
                <w:szCs w:val="22"/>
                <w:u w:val="single" w:color="auto"/>
                <w:color w:val="auto"/>
              </w:rPr>
              <w:t>i</w:t>
            </w:r>
            <w:r>
              <w:rPr>
                <w:rFonts w:ascii="Arial" w:cs="Arial" w:eastAsia="Arial" w:hAnsi="Arial"/>
                <w:sz w:val="22"/>
                <w:szCs w:val="22"/>
                <w:color w:val="auto"/>
              </w:rPr>
              <w:t>) [</w:t>
            </w:r>
          </w:p>
        </w:tc>
        <w:tc>
          <w:tcPr>
            <w:tcW w:w="500" w:type="dxa"/>
            <w:vAlign w:val="bottom"/>
            <w:gridSpan w:val="2"/>
          </w:tcPr>
          <w:p>
            <w:pPr>
              <w:jc w:val="right"/>
              <w:ind w:right="60"/>
              <w:spacing w:after="0" w:line="237"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0"/>
                <w:szCs w:val="20"/>
                <w:color w:val="auto"/>
              </w:rPr>
            </w:pPr>
          </w:p>
        </w:tc>
        <w:tc>
          <w:tcPr>
            <w:tcW w:w="1880" w:type="dxa"/>
            <w:vAlign w:val="bottom"/>
            <w:gridSpan w:val="4"/>
          </w:tcPr>
          <w:p>
            <w:pPr>
              <w:jc w:val="right"/>
              <w:spacing w:after="0" w:line="237" w:lineRule="exact"/>
              <w:rPr>
                <w:sz w:val="20"/>
                <w:szCs w:val="20"/>
                <w:color w:val="auto"/>
              </w:rPr>
            </w:pPr>
            <w:r>
              <w:rPr>
                <w:rFonts w:ascii="Arial" w:cs="Arial" w:eastAsia="Arial" w:hAnsi="Arial"/>
                <w:sz w:val="22"/>
                <w:szCs w:val="22"/>
                <w:color w:val="auto"/>
                <w:w w:val="91"/>
              </w:rPr>
              <w:t>] in the aggregate; or</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4"/>
          </w:tcPr>
          <w:p>
            <w:pPr>
              <w:spacing w:after="0" w:line="237" w:lineRule="exact"/>
              <w:rPr>
                <w:sz w:val="20"/>
                <w:szCs w:val="20"/>
                <w:color w:val="auto"/>
              </w:rPr>
            </w:pPr>
            <w:r>
              <w:rPr>
                <w:rFonts w:ascii="Arial" w:cs="Arial" w:eastAsia="Arial" w:hAnsi="Arial"/>
                <w:sz w:val="22"/>
                <w:szCs w:val="22"/>
                <w:color w:val="auto"/>
              </w:rPr>
              <w:t>(ii) [</w:t>
            </w:r>
          </w:p>
        </w:tc>
        <w:tc>
          <w:tcPr>
            <w:tcW w:w="480" w:type="dxa"/>
            <w:vAlign w:val="bottom"/>
            <w:gridSpan w:val="2"/>
          </w:tcPr>
          <w:p>
            <w:pPr>
              <w:ind w:left="140"/>
              <w:spacing w:after="0" w:line="237"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0"/>
                <w:szCs w:val="20"/>
                <w:color w:val="auto"/>
              </w:rPr>
            </w:pPr>
          </w:p>
        </w:tc>
        <w:tc>
          <w:tcPr>
            <w:tcW w:w="1200" w:type="dxa"/>
            <w:vAlign w:val="bottom"/>
            <w:gridSpan w:val="6"/>
          </w:tcPr>
          <w:p>
            <w:pPr>
              <w:ind w:left="240"/>
              <w:spacing w:after="0" w:line="237" w:lineRule="exact"/>
              <w:rPr>
                <w:sz w:val="20"/>
                <w:szCs w:val="20"/>
                <w:color w:val="auto"/>
              </w:rPr>
            </w:pPr>
            <w:r>
              <w:rPr>
                <w:rFonts w:ascii="Arial" w:cs="Arial" w:eastAsia="Arial" w:hAnsi="Arial"/>
                <w:sz w:val="22"/>
                <w:szCs w:val="22"/>
                <w:color w:val="auto"/>
                <w:w w:val="99"/>
              </w:rPr>
              <w:t>] and (b) [</w:t>
            </w:r>
          </w:p>
        </w:tc>
        <w:tc>
          <w:tcPr>
            <w:tcW w:w="680" w:type="dxa"/>
            <w:vAlign w:val="bottom"/>
            <w:gridSpan w:val="2"/>
          </w:tcPr>
          <w:p>
            <w:pPr>
              <w:jc w:val="right"/>
              <w:ind w:right="180"/>
              <w:spacing w:after="0" w:line="237" w:lineRule="exact"/>
              <w:rPr>
                <w:sz w:val="20"/>
                <w:szCs w:val="20"/>
                <w:color w:val="auto"/>
              </w:rPr>
            </w:pPr>
            <w:r>
              <w:rPr>
                <w:rFonts w:ascii="Arial" w:cs="Arial" w:eastAsia="Arial" w:hAnsi="Arial"/>
                <w:sz w:val="22"/>
                <w:szCs w:val="22"/>
                <w:color w:val="auto"/>
              </w:rPr>
              <w:t>***</w:t>
            </w:r>
          </w:p>
        </w:tc>
        <w:tc>
          <w:tcPr>
            <w:tcW w:w="600" w:type="dxa"/>
            <w:vAlign w:val="bottom"/>
          </w:tcPr>
          <w:p>
            <w:pPr>
              <w:jc w:val="right"/>
              <w:ind w:right="172"/>
              <w:spacing w:after="0" w:line="237"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Borders>
              <w:righ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9"/>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13"/>
          </w:tcPr>
          <w:p>
            <w:pPr>
              <w:ind w:left="140"/>
              <w:spacing w:after="0"/>
              <w:rPr>
                <w:sz w:val="20"/>
                <w:szCs w:val="20"/>
                <w:color w:val="auto"/>
              </w:rPr>
            </w:pPr>
            <w:r>
              <w:rPr>
                <w:rFonts w:ascii="Arial" w:cs="Arial" w:eastAsia="Arial" w:hAnsi="Arial"/>
                <w:sz w:val="22"/>
                <w:szCs w:val="22"/>
                <w:color w:val="auto"/>
                <w:w w:val="91"/>
              </w:rPr>
              <w:t>“Liquidity Cap” means an amount equal to [</w:t>
            </w:r>
          </w:p>
        </w:tc>
        <w:tc>
          <w:tcPr>
            <w:tcW w:w="6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20" w:type="dxa"/>
            <w:vAlign w:val="bottom"/>
            <w:tcBorders>
              <w:right w:val="single" w:sz="8" w:color="auto"/>
            </w:tcBorders>
            <w:gridSpan w:val="3"/>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9"/>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gridSpan w:val="18"/>
          </w:tcPr>
          <w:p>
            <w:pPr>
              <w:ind w:left="140"/>
              <w:spacing w:after="0"/>
              <w:rPr>
                <w:sz w:val="20"/>
                <w:szCs w:val="20"/>
                <w:color w:val="auto"/>
              </w:rPr>
            </w:pPr>
            <w:r>
              <w:rPr>
                <w:rFonts w:ascii="Arial" w:cs="Arial" w:eastAsia="Arial" w:hAnsi="Arial"/>
                <w:sz w:val="22"/>
                <w:szCs w:val="22"/>
                <w:color w:val="auto"/>
                <w:w w:val="94"/>
              </w:rPr>
              <w:t>“Liquidity Requirement” means an amount in cash, as determined [</w:t>
            </w:r>
          </w:p>
        </w:tc>
        <w:tc>
          <w:tcPr>
            <w:tcW w:w="600" w:type="dxa"/>
            <w:vAlign w:val="bottom"/>
            <w:gridSpan w:val="3"/>
          </w:tcPr>
          <w:p>
            <w:pPr>
              <w:ind w:left="6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3920" w:type="dxa"/>
            <w:vAlign w:val="bottom"/>
            <w:gridSpan w:val="9"/>
          </w:tcPr>
          <w:p>
            <w:pPr>
              <w:jc w:val="right"/>
              <w:spacing w:after="0"/>
              <w:rPr>
                <w:sz w:val="20"/>
                <w:szCs w:val="20"/>
                <w:color w:val="auto"/>
              </w:rPr>
            </w:pPr>
            <w:r>
              <w:rPr>
                <w:rFonts w:ascii="Arial" w:cs="Arial" w:eastAsia="Arial" w:hAnsi="Arial"/>
                <w:sz w:val="22"/>
                <w:szCs w:val="22"/>
                <w:color w:val="auto"/>
                <w:w w:val="95"/>
              </w:rPr>
              <w:t>] prior to the Target Closing Date, equal to</w:t>
            </w:r>
          </w:p>
        </w:tc>
      </w:tr>
      <w:tr>
        <w:trPr>
          <w:trHeight w:val="20"/>
        </w:trPr>
        <w:tc>
          <w:tcPr>
            <w:tcW w:w="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580" w:type="dxa"/>
            <w:vAlign w:val="bottom"/>
            <w:gridSpan w:val="7"/>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020" w:type="dxa"/>
            <w:vAlign w:val="bottom"/>
            <w:gridSpan w:val="15"/>
          </w:tcPr>
          <w:p>
            <w:pPr>
              <w:spacing w:after="0" w:line="237" w:lineRule="exact"/>
              <w:rPr>
                <w:sz w:val="20"/>
                <w:szCs w:val="20"/>
                <w:color w:val="auto"/>
              </w:rPr>
            </w:pPr>
            <w:r>
              <w:rPr>
                <w:rFonts w:ascii="Arial" w:cs="Arial" w:eastAsia="Arial" w:hAnsi="Arial"/>
                <w:sz w:val="22"/>
                <w:szCs w:val="22"/>
                <w:color w:val="auto"/>
                <w:w w:val="93"/>
              </w:rPr>
              <w:t xml:space="preserve">(A) </w:t>
            </w:r>
            <w:r>
              <w:rPr>
                <w:rFonts w:ascii="Arial" w:cs="Arial" w:eastAsia="Arial" w:hAnsi="Arial"/>
                <w:sz w:val="22"/>
                <w:szCs w:val="22"/>
                <w:i w:val="1"/>
                <w:iCs w:val="1"/>
                <w:color w:val="auto"/>
                <w:w w:val="93"/>
              </w:rPr>
              <w:t>minus</w:t>
            </w:r>
            <w:r>
              <w:rPr>
                <w:rFonts w:ascii="Arial" w:cs="Arial" w:eastAsia="Arial" w:hAnsi="Arial"/>
                <w:sz w:val="22"/>
                <w:szCs w:val="22"/>
                <w:color w:val="auto"/>
                <w:w w:val="93"/>
              </w:rPr>
              <w:t xml:space="preserve"> (B), where (A) equals [</w:t>
            </w:r>
          </w:p>
        </w:tc>
        <w:tc>
          <w:tcPr>
            <w:tcW w:w="60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7800" w:type="dxa"/>
            <w:vAlign w:val="bottom"/>
            <w:gridSpan w:val="19"/>
          </w:tcPr>
          <w:p>
            <w:pPr>
              <w:jc w:val="right"/>
              <w:spacing w:after="0" w:line="237" w:lineRule="exact"/>
              <w:rPr>
                <w:sz w:val="20"/>
                <w:szCs w:val="20"/>
                <w:color w:val="auto"/>
              </w:rPr>
            </w:pPr>
            <w:r>
              <w:rPr>
                <w:rFonts w:ascii="Arial" w:cs="Arial" w:eastAsia="Arial" w:hAnsi="Arial"/>
                <w:sz w:val="22"/>
                <w:szCs w:val="22"/>
                <w:color w:val="auto"/>
                <w:w w:val="94"/>
              </w:rPr>
              <w:t>] as calculated pursuant to Appendix 2.6 (which, for the avoidance of doubt, does not</w:t>
            </w:r>
          </w:p>
        </w:tc>
      </w:tr>
      <w:tr>
        <w:trPr>
          <w:trHeight w:val="20"/>
        </w:trPr>
        <w:tc>
          <w:tcPr>
            <w:tcW w:w="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00" w:type="dxa"/>
            <w:vAlign w:val="bottom"/>
            <w:gridSpan w:val="6"/>
          </w:tcPr>
          <w:p>
            <w:pPr>
              <w:spacing w:after="0" w:line="237" w:lineRule="exact"/>
              <w:rPr>
                <w:sz w:val="20"/>
                <w:szCs w:val="20"/>
                <w:color w:val="auto"/>
              </w:rPr>
            </w:pPr>
            <w:r>
              <w:rPr>
                <w:rFonts w:ascii="Arial" w:cs="Arial" w:eastAsia="Arial" w:hAnsi="Arial"/>
                <w:sz w:val="22"/>
                <w:szCs w:val="22"/>
                <w:color w:val="auto"/>
              </w:rPr>
              <w:t>include [</w:t>
            </w:r>
          </w:p>
        </w:tc>
        <w:tc>
          <w:tcPr>
            <w:tcW w:w="780" w:type="dxa"/>
            <w:vAlign w:val="bottom"/>
            <w:gridSpan w:val="2"/>
          </w:tcPr>
          <w:p>
            <w:pPr>
              <w:jc w:val="right"/>
              <w:ind w:right="292"/>
              <w:spacing w:after="0" w:line="237" w:lineRule="exact"/>
              <w:rPr>
                <w:sz w:val="20"/>
                <w:szCs w:val="20"/>
                <w:color w:val="auto"/>
              </w:rPr>
            </w:pPr>
            <w:r>
              <w:rPr>
                <w:rFonts w:ascii="Arial" w:cs="Arial" w:eastAsia="Arial" w:hAnsi="Arial"/>
                <w:sz w:val="22"/>
                <w:szCs w:val="22"/>
                <w:color w:val="auto"/>
              </w:rPr>
              <w:t>***</w:t>
            </w:r>
          </w:p>
        </w:tc>
        <w:tc>
          <w:tcPr>
            <w:tcW w:w="1840" w:type="dxa"/>
            <w:vAlign w:val="bottom"/>
            <w:gridSpan w:val="8"/>
          </w:tcPr>
          <w:p>
            <w:pPr>
              <w:jc w:val="right"/>
              <w:spacing w:after="0" w:line="237" w:lineRule="exact"/>
              <w:rPr>
                <w:sz w:val="20"/>
                <w:szCs w:val="20"/>
                <w:color w:val="auto"/>
              </w:rPr>
            </w:pPr>
            <w:r>
              <w:rPr>
                <w:rFonts w:ascii="Arial" w:cs="Arial" w:eastAsia="Arial" w:hAnsi="Arial"/>
                <w:sz w:val="22"/>
                <w:szCs w:val="22"/>
                <w:color w:val="auto"/>
                <w:w w:val="92"/>
              </w:rPr>
              <w:t>] and (B) equals (</w:t>
            </w:r>
            <w:r>
              <w:rPr>
                <w:rFonts w:ascii="Arial" w:cs="Arial" w:eastAsia="Arial" w:hAnsi="Arial"/>
                <w:sz w:val="22"/>
                <w:szCs w:val="22"/>
                <w:u w:val="single" w:color="auto"/>
                <w:color w:val="auto"/>
                <w:w w:val="92"/>
              </w:rPr>
              <w:t>i</w:t>
            </w:r>
            <w:r>
              <w:rPr>
                <w:rFonts w:ascii="Arial" w:cs="Arial" w:eastAsia="Arial" w:hAnsi="Arial"/>
                <w:sz w:val="22"/>
                <w:szCs w:val="22"/>
                <w:color w:val="auto"/>
                <w:w w:val="92"/>
              </w:rPr>
              <w:t>) [</w:t>
            </w:r>
          </w:p>
        </w:tc>
        <w:tc>
          <w:tcPr>
            <w:tcW w:w="920" w:type="dxa"/>
            <w:vAlign w:val="bottom"/>
          </w:tcPr>
          <w:p>
            <w:pPr>
              <w:jc w:val="right"/>
              <w:ind w:right="232"/>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3"/>
          </w:tcPr>
          <w:p>
            <w:pPr>
              <w:ind w:left="60"/>
              <w:spacing w:after="0" w:line="237" w:lineRule="exact"/>
              <w:rPr>
                <w:sz w:val="20"/>
                <w:szCs w:val="20"/>
                <w:color w:val="auto"/>
              </w:rPr>
            </w:pPr>
            <w:r>
              <w:rPr>
                <w:rFonts w:ascii="Arial" w:cs="Arial" w:eastAsia="Arial" w:hAnsi="Arial"/>
                <w:sz w:val="22"/>
                <w:szCs w:val="22"/>
                <w:color w:val="auto"/>
                <w:w w:val="96"/>
              </w:rPr>
              <w:t xml:space="preserve">] </w:t>
            </w:r>
            <w:r>
              <w:rPr>
                <w:rFonts w:ascii="Arial" w:cs="Arial" w:eastAsia="Arial" w:hAnsi="Arial"/>
                <w:sz w:val="22"/>
                <w:szCs w:val="22"/>
                <w:i w:val="1"/>
                <w:iCs w:val="1"/>
                <w:color w:val="auto"/>
                <w:w w:val="96"/>
              </w:rPr>
              <w:t>plus</w:t>
            </w:r>
            <w:r>
              <w:rPr>
                <w:rFonts w:ascii="Arial" w:cs="Arial" w:eastAsia="Arial" w:hAnsi="Arial"/>
                <w:sz w:val="22"/>
                <w:szCs w:val="22"/>
                <w:color w:val="auto"/>
                <w:w w:val="96"/>
              </w:rPr>
              <w:t xml:space="preserve"> (ii) the [</w:t>
            </w:r>
          </w:p>
        </w:tc>
        <w:tc>
          <w:tcPr>
            <w:tcW w:w="940" w:type="dxa"/>
            <w:vAlign w:val="bottom"/>
            <w:gridSpan w:val="2"/>
          </w:tcPr>
          <w:p>
            <w:pPr>
              <w:jc w:val="right"/>
              <w:ind w:right="252"/>
              <w:spacing w:after="0" w:line="237" w:lineRule="exact"/>
              <w:rPr>
                <w:sz w:val="20"/>
                <w:szCs w:val="20"/>
                <w:color w:val="auto"/>
              </w:rPr>
            </w:pPr>
            <w:r>
              <w:rPr>
                <w:rFonts w:ascii="Arial" w:cs="Arial" w:eastAsia="Arial" w:hAnsi="Arial"/>
                <w:sz w:val="22"/>
                <w:szCs w:val="22"/>
                <w:color w:val="auto"/>
              </w:rPr>
              <w:t>***</w:t>
            </w:r>
          </w:p>
        </w:tc>
        <w:tc>
          <w:tcPr>
            <w:tcW w:w="1260" w:type="dxa"/>
            <w:vAlign w:val="bottom"/>
            <w:gridSpan w:val="5"/>
          </w:tcPr>
          <w:p>
            <w:pPr>
              <w:ind w:left="40"/>
              <w:spacing w:after="0" w:line="237" w:lineRule="exact"/>
              <w:rPr>
                <w:sz w:val="20"/>
                <w:szCs w:val="20"/>
                <w:color w:val="auto"/>
              </w:rPr>
            </w:pPr>
            <w:r>
              <w:rPr>
                <w:rFonts w:ascii="Arial" w:cs="Arial" w:eastAsia="Arial" w:hAnsi="Arial"/>
                <w:sz w:val="22"/>
                <w:szCs w:val="22"/>
                <w:color w:val="auto"/>
              </w:rPr>
              <w:t>], or if such [</w:t>
            </w:r>
          </w:p>
        </w:tc>
        <w:tc>
          <w:tcPr>
            <w:tcW w:w="680" w:type="dxa"/>
            <w:vAlign w:val="bottom"/>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2640" w:type="dxa"/>
            <w:vAlign w:val="bottom"/>
            <w:gridSpan w:val="7"/>
          </w:tcPr>
          <w:p>
            <w:pPr>
              <w:jc w:val="right"/>
              <w:ind w:right="240"/>
              <w:spacing w:after="0" w:line="237" w:lineRule="exact"/>
              <w:rPr>
                <w:sz w:val="20"/>
                <w:szCs w:val="20"/>
                <w:color w:val="auto"/>
              </w:rPr>
            </w:pPr>
            <w:r>
              <w:rPr>
                <w:rFonts w:ascii="Arial" w:cs="Arial" w:eastAsia="Arial" w:hAnsi="Arial"/>
                <w:sz w:val="22"/>
                <w:szCs w:val="22"/>
                <w:color w:val="auto"/>
              </w:rPr>
              <w:t>] at such time, then the [</w:t>
            </w:r>
          </w:p>
        </w:tc>
      </w:tr>
      <w:tr>
        <w:trPr>
          <w:trHeight w:val="20"/>
        </w:trPr>
        <w:tc>
          <w:tcPr>
            <w:tcW w:w="520" w:type="dxa"/>
            <w:vAlign w:val="bottom"/>
            <w:gridSpan w:val="4"/>
          </w:tcPr>
          <w:p>
            <w:pPr>
              <w:spacing w:after="0" w:line="20" w:lineRule="exact"/>
              <w:rPr>
                <w:sz w:val="1"/>
                <w:szCs w:val="1"/>
                <w:color w:val="auto"/>
              </w:rPr>
            </w:pPr>
          </w:p>
        </w:tc>
        <w:tc>
          <w:tcPr>
            <w:tcW w:w="3100" w:type="dxa"/>
            <w:vAlign w:val="bottom"/>
            <w:gridSpan w:val="1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4"/>
          </w:tcPr>
          <w:p>
            <w:pPr>
              <w:spacing w:after="0" w:line="237" w:lineRule="exact"/>
              <w:rPr>
                <w:sz w:val="20"/>
                <w:szCs w:val="20"/>
                <w:color w:val="auto"/>
              </w:rPr>
            </w:pPr>
            <w:r>
              <w:rPr>
                <w:rFonts w:ascii="Arial" w:cs="Arial" w:eastAsia="Arial" w:hAnsi="Arial"/>
                <w:sz w:val="22"/>
                <w:szCs w:val="22"/>
                <w:color w:val="auto"/>
              </w:rPr>
              <w:t>***</w:t>
            </w:r>
          </w:p>
        </w:tc>
        <w:tc>
          <w:tcPr>
            <w:tcW w:w="3100" w:type="dxa"/>
            <w:vAlign w:val="bottom"/>
            <w:gridSpan w:val="12"/>
          </w:tcPr>
          <w:p>
            <w:pPr>
              <w:ind w:left="220"/>
              <w:spacing w:after="0" w:line="237" w:lineRule="exact"/>
              <w:rPr>
                <w:sz w:val="20"/>
                <w:szCs w:val="20"/>
                <w:color w:val="auto"/>
              </w:rPr>
            </w:pPr>
            <w:r>
              <w:rPr>
                <w:rFonts w:ascii="Arial" w:cs="Arial" w:eastAsia="Arial" w:hAnsi="Arial"/>
                <w:sz w:val="22"/>
                <w:szCs w:val="22"/>
                <w:color w:val="auto"/>
              </w:rPr>
              <w:t>], in connection with [   ***</w:t>
            </w:r>
          </w:p>
        </w:tc>
        <w:tc>
          <w:tcPr>
            <w:tcW w:w="3820" w:type="dxa"/>
            <w:vAlign w:val="bottom"/>
            <w:gridSpan w:val="9"/>
          </w:tcPr>
          <w:p>
            <w:pPr>
              <w:jc w:val="center"/>
              <w:spacing w:after="0" w:line="237" w:lineRule="exact"/>
              <w:rPr>
                <w:sz w:val="20"/>
                <w:szCs w:val="20"/>
                <w:color w:val="auto"/>
              </w:rPr>
            </w:pPr>
            <w:r>
              <w:rPr>
                <w:rFonts w:ascii="Arial" w:cs="Arial" w:eastAsia="Arial" w:hAnsi="Arial"/>
                <w:sz w:val="22"/>
                <w:szCs w:val="22"/>
                <w:color w:val="auto"/>
                <w:w w:val="90"/>
              </w:rPr>
              <w:t>] (currently expected to be in the range of [</w:t>
            </w:r>
          </w:p>
        </w:tc>
        <w:tc>
          <w:tcPr>
            <w:tcW w:w="66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440" w:type="dxa"/>
            <w:vAlign w:val="bottom"/>
            <w:gridSpan w:val="4"/>
          </w:tcPr>
          <w:p>
            <w:pPr>
              <w:ind w:left="320"/>
              <w:spacing w:after="0" w:line="237"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plus</w:t>
            </w:r>
            <w:r>
              <w:rPr>
                <w:rFonts w:ascii="Arial" w:cs="Arial" w:eastAsia="Arial" w:hAnsi="Arial"/>
                <w:sz w:val="22"/>
                <w:szCs w:val="22"/>
                <w:color w:val="auto"/>
              </w:rPr>
              <w:t xml:space="preserve"> (iii) [</w:t>
            </w:r>
          </w:p>
        </w:tc>
        <w:tc>
          <w:tcPr>
            <w:tcW w:w="700" w:type="dxa"/>
            <w:vAlign w:val="bottom"/>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18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plus</w:t>
            </w:r>
            <w:r>
              <w:rPr>
                <w:rFonts w:ascii="Arial" w:cs="Arial" w:eastAsia="Arial" w:hAnsi="Arial"/>
                <w:sz w:val="22"/>
                <w:szCs w:val="22"/>
                <w:color w:val="auto"/>
              </w:rPr>
              <w:t xml:space="preserve"> (iv)</w:t>
            </w:r>
          </w:p>
        </w:tc>
      </w:tr>
      <w:tr>
        <w:trPr>
          <w:trHeight w:val="20"/>
        </w:trPr>
        <w:tc>
          <w:tcPr>
            <w:tcW w:w="1780" w:type="dxa"/>
            <w:vAlign w:val="bottom"/>
            <w:gridSpan w:val="8"/>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9"/>
        </w:trPr>
        <w:tc>
          <w:tcPr>
            <w:tcW w:w="1780" w:type="dxa"/>
            <w:vAlign w:val="bottom"/>
            <w:gridSpan w:val="8"/>
          </w:tcPr>
          <w:p>
            <w:pPr>
              <w:spacing w:after="0"/>
              <w:rPr>
                <w:sz w:val="20"/>
                <w:szCs w:val="20"/>
                <w:color w:val="auto"/>
              </w:rPr>
            </w:pPr>
            <w:r>
              <w:rPr>
                <w:rFonts w:ascii="Arial" w:cs="Arial" w:eastAsia="Arial" w:hAnsi="Arial"/>
                <w:sz w:val="22"/>
                <w:szCs w:val="22"/>
                <w:color w:val="auto"/>
                <w:w w:val="92"/>
              </w:rPr>
              <w:t>with respect to the [</w:t>
            </w:r>
          </w:p>
        </w:tc>
        <w:tc>
          <w:tcPr>
            <w:tcW w:w="560" w:type="dxa"/>
            <w:vAlign w:val="bottom"/>
            <w:gridSpan w:val="5"/>
          </w:tcPr>
          <w:p>
            <w:pPr>
              <w:jc w:val="right"/>
              <w:spacing w:after="0"/>
              <w:rPr>
                <w:sz w:val="20"/>
                <w:szCs w:val="20"/>
                <w:color w:val="auto"/>
              </w:rPr>
            </w:pPr>
            <w:r>
              <w:rPr>
                <w:rFonts w:ascii="Arial" w:cs="Arial" w:eastAsia="Arial" w:hAnsi="Arial"/>
                <w:sz w:val="22"/>
                <w:szCs w:val="22"/>
                <w:color w:val="auto"/>
              </w:rPr>
              <w:t>***</w:t>
            </w:r>
          </w:p>
        </w:tc>
        <w:tc>
          <w:tcPr>
            <w:tcW w:w="2200" w:type="dxa"/>
            <w:vAlign w:val="bottom"/>
            <w:gridSpan w:val="4"/>
          </w:tcPr>
          <w:p>
            <w:pPr>
              <w:jc w:val="right"/>
              <w:ind w:right="92"/>
              <w:spacing w:after="0"/>
              <w:rPr>
                <w:sz w:val="20"/>
                <w:szCs w:val="20"/>
                <w:color w:val="auto"/>
              </w:rPr>
            </w:pPr>
            <w:r>
              <w:rPr>
                <w:rFonts w:ascii="Arial" w:cs="Arial" w:eastAsia="Arial" w:hAnsi="Arial"/>
                <w:sz w:val="22"/>
                <w:szCs w:val="22"/>
                <w:color w:val="auto"/>
              </w:rPr>
              <w:t>] necessary to (a) [</w:t>
            </w:r>
          </w:p>
        </w:tc>
        <w:tc>
          <w:tcPr>
            <w:tcW w:w="680" w:type="dxa"/>
            <w:vAlign w:val="bottom"/>
          </w:tcPr>
          <w:p>
            <w:pPr>
              <w:ind w:left="80"/>
              <w:spacing w:after="0"/>
              <w:rPr>
                <w:sz w:val="20"/>
                <w:szCs w:val="20"/>
                <w:color w:val="auto"/>
              </w:rPr>
            </w:pPr>
            <w:r>
              <w:rPr>
                <w:rFonts w:ascii="Arial" w:cs="Arial" w:eastAsia="Arial" w:hAnsi="Arial"/>
                <w:sz w:val="22"/>
                <w:szCs w:val="22"/>
                <w:color w:val="auto"/>
              </w:rPr>
              <w:t>***</w:t>
            </w:r>
          </w:p>
        </w:tc>
        <w:tc>
          <w:tcPr>
            <w:tcW w:w="1100" w:type="dxa"/>
            <w:vAlign w:val="bottom"/>
            <w:gridSpan w:val="3"/>
          </w:tcPr>
          <w:p>
            <w:pPr>
              <w:jc w:val="right"/>
              <w:ind w:right="12"/>
              <w:spacing w:after="0"/>
              <w:rPr>
                <w:sz w:val="20"/>
                <w:szCs w:val="20"/>
                <w:color w:val="auto"/>
              </w:rPr>
            </w:pPr>
            <w:r>
              <w:rPr>
                <w:rFonts w:ascii="Arial" w:cs="Arial" w:eastAsia="Arial" w:hAnsi="Arial"/>
                <w:sz w:val="22"/>
                <w:szCs w:val="22"/>
                <w:color w:val="auto"/>
              </w:rPr>
              <w:t>] and (b) [</w:t>
            </w:r>
          </w:p>
        </w:tc>
        <w:tc>
          <w:tcPr>
            <w:tcW w:w="52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20" w:type="dxa"/>
            <w:vAlign w:val="bottom"/>
            <w:gridSpan w:val="11"/>
          </w:tcPr>
          <w:p>
            <w:pPr>
              <w:jc w:val="right"/>
              <w:spacing w:after="0"/>
              <w:rPr>
                <w:sz w:val="20"/>
                <w:szCs w:val="20"/>
                <w:color w:val="auto"/>
              </w:rPr>
            </w:pPr>
            <w:r>
              <w:rPr>
                <w:rFonts w:ascii="Arial" w:cs="Arial" w:eastAsia="Arial" w:hAnsi="Arial"/>
                <w:sz w:val="22"/>
                <w:szCs w:val="22"/>
                <w:color w:val="auto"/>
                <w:w w:val="93"/>
              </w:rPr>
              <w:t>], where determinations for both (a) and (b) shall</w:t>
            </w:r>
          </w:p>
        </w:tc>
      </w:tr>
      <w:tr>
        <w:trPr>
          <w:trHeight w:val="275"/>
        </w:trPr>
        <w:tc>
          <w:tcPr>
            <w:tcW w:w="1780" w:type="dxa"/>
            <w:vAlign w:val="bottom"/>
            <w:gridSpan w:val="8"/>
          </w:tcPr>
          <w:p>
            <w:pPr>
              <w:spacing w:after="0"/>
              <w:rPr>
                <w:sz w:val="20"/>
                <w:szCs w:val="20"/>
                <w:color w:val="auto"/>
              </w:rPr>
            </w:pPr>
            <w:r>
              <w:rPr>
                <w:rFonts w:ascii="Arial" w:cs="Arial" w:eastAsia="Arial" w:hAnsi="Arial"/>
                <w:sz w:val="22"/>
                <w:szCs w:val="22"/>
                <w:color w:val="auto"/>
              </w:rPr>
              <w:t>be made by [   ***</w:t>
            </w:r>
          </w:p>
        </w:tc>
        <w:tc>
          <w:tcPr>
            <w:tcW w:w="500" w:type="dxa"/>
            <w:vAlign w:val="bottom"/>
            <w:gridSpan w:val="4"/>
          </w:tcPr>
          <w:p>
            <w:pPr>
              <w:jc w:val="right"/>
              <w:ind w:right="6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means any and all liabilities, losses, damages, expenses (including reasonable expenses of investigation, enforcement and collection and reasonable attorneys' and accountants' fees and expenses, in each case, in connection with any Action), costs, fines, fees, penalties and obligations.</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Data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Election</w:t>
      </w:r>
      <w:r>
        <w:rPr>
          <w:rFonts w:ascii="Arial" w:cs="Arial" w:eastAsia="Arial" w:hAnsi="Arial"/>
          <w:sz w:val="22"/>
          <w:szCs w:val="22"/>
          <w:color w:val="auto"/>
        </w:rPr>
        <w:t>” means the timely and legally binding election by a Solicited Electing Life to receive a Lump-Sum Payment in accordance with the Lump-Sum Solicitation and the applicable Plan provisions.</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Election Period</w:t>
      </w:r>
      <w:r>
        <w:rPr>
          <w:rFonts w:ascii="Arial" w:cs="Arial" w:eastAsia="Arial" w:hAnsi="Arial"/>
          <w:sz w:val="22"/>
          <w:szCs w:val="22"/>
          <w:color w:val="auto"/>
        </w:rPr>
        <w:t>” means the period from June 1, 2012 to the earlier to occur of (</w:t>
      </w:r>
      <w:r>
        <w:rPr>
          <w:rFonts w:ascii="Arial" w:cs="Arial" w:eastAsia="Arial" w:hAnsi="Arial"/>
          <w:sz w:val="22"/>
          <w:szCs w:val="22"/>
          <w:u w:val="single" w:color="auto"/>
          <w:color w:val="auto"/>
        </w:rPr>
        <w:t>i</w:t>
      </w:r>
      <w:r>
        <w:rPr>
          <w:rFonts w:ascii="Arial" w:cs="Arial" w:eastAsia="Arial" w:hAnsi="Arial"/>
          <w:sz w:val="22"/>
          <w:szCs w:val="22"/>
          <w:color w:val="auto"/>
        </w:rPr>
        <w:t>) September 30, 2012 and (</w:t>
      </w:r>
      <w:r>
        <w:rPr>
          <w:rFonts w:ascii="Arial" w:cs="Arial" w:eastAsia="Arial" w:hAnsi="Arial"/>
          <w:sz w:val="22"/>
          <w:szCs w:val="22"/>
          <w:u w:val="single" w:color="auto"/>
          <w:color w:val="auto"/>
        </w:rPr>
        <w:t>ii</w:t>
      </w:r>
      <w:r>
        <w:rPr>
          <w:rFonts w:ascii="Arial" w:cs="Arial" w:eastAsia="Arial" w:hAnsi="Arial"/>
          <w:sz w:val="22"/>
          <w:szCs w:val="22"/>
          <w:color w:val="auto"/>
        </w:rPr>
        <w:t>) the last date on which a Lump-Sum Payment is made.</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Payment</w:t>
      </w:r>
      <w:r>
        <w:rPr>
          <w:rFonts w:ascii="Arial" w:cs="Arial" w:eastAsia="Arial" w:hAnsi="Arial"/>
          <w:sz w:val="22"/>
          <w:szCs w:val="22"/>
          <w:color w:val="auto"/>
        </w:rPr>
        <w:t>” means the single, lump-sum payment to a Solicited Electing Life.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Payment Period</w:t>
      </w:r>
      <w:r>
        <w:rPr>
          <w:rFonts w:ascii="Arial" w:cs="Arial" w:eastAsia="Arial" w:hAnsi="Arial"/>
          <w:sz w:val="22"/>
          <w:szCs w:val="22"/>
          <w:color w:val="auto"/>
        </w:rPr>
        <w:t>” means the period during which Lump-Sum Payments are made pursuant to the Lump-Sum Elections, but in no event may such Lump-Sum Payment Period extend beyond September 30, 2012.</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Solicitation</w:t>
      </w:r>
      <w:r>
        <w:rPr>
          <w:rFonts w:ascii="Arial" w:cs="Arial" w:eastAsia="Arial" w:hAnsi="Arial"/>
          <w:sz w:val="22"/>
          <w:szCs w:val="22"/>
          <w:color w:val="auto"/>
        </w:rPr>
        <w:t>” means the offering by the Plan to the Solicited Lives of a right to elect a Lump-Sum Payment during the Lump-Sum Election Period.</w:t>
      </w:r>
    </w:p>
    <w:p>
      <w:pPr>
        <w:spacing w:after="0" w:line="3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Litigation</w:t>
      </w:r>
      <w:r>
        <w:rPr>
          <w:rFonts w:ascii="Arial" w:cs="Arial" w:eastAsia="Arial" w:hAnsi="Arial"/>
          <w:sz w:val="19"/>
          <w:szCs w:val="19"/>
          <w:color w:val="auto"/>
        </w:rPr>
        <w:t>” means any Action that (</w:t>
      </w:r>
      <w:r>
        <w:rPr>
          <w:rFonts w:ascii="Arial" w:cs="Arial" w:eastAsia="Arial" w:hAnsi="Arial"/>
          <w:sz w:val="19"/>
          <w:szCs w:val="19"/>
          <w:u w:val="single" w:color="auto"/>
          <w:color w:val="auto"/>
        </w:rPr>
        <w:t>a</w:t>
      </w:r>
      <w:r>
        <w:rPr>
          <w:rFonts w:ascii="Arial" w:cs="Arial" w:eastAsia="Arial" w:hAnsi="Arial"/>
          <w:sz w:val="19"/>
          <w:szCs w:val="19"/>
          <w:color w:val="auto"/>
        </w:rPr>
        <w:t>) has been initiated by the U.S. Department of Labor or other Governmental Authority against the Company, the Plan, the Insurer or any fiduciary of the Plan (including the Independent Fiduciary) that challenges the consummation of the transactions contemplated hereby (including the Lump-Sum Solicitation) or that otherwise asserts that such transactions violate applicable Law, or (</w:t>
      </w:r>
      <w:r>
        <w:rPr>
          <w:rFonts w:ascii="Arial" w:cs="Arial" w:eastAsia="Arial" w:hAnsi="Arial"/>
          <w:sz w:val="19"/>
          <w:szCs w:val="19"/>
          <w:u w:val="single" w:color="auto"/>
          <w:color w:val="auto"/>
        </w:rPr>
        <w:t>b</w:t>
      </w:r>
      <w:r>
        <w:rPr>
          <w:rFonts w:ascii="Arial" w:cs="Arial" w:eastAsia="Arial" w:hAnsi="Arial"/>
          <w:sz w:val="19"/>
          <w:szCs w:val="19"/>
          <w:color w:val="auto"/>
        </w:rPr>
        <w:t>) has been initiated by a Person other than a Governmental Authority against the Company, the Plan, the Insurer or the Independent Fiduciary that challenges the consummation of the</w:t>
      </w:r>
    </w:p>
    <w:p>
      <w:pPr>
        <w:sectPr>
          <w:pgSz w:w="11900" w:h="16838" w:orient="portrait"/>
          <w:cols w:equalWidth="0" w:num="1">
            <w:col w:w="11420"/>
          </w:cols>
          <w:pgMar w:left="240" w:top="807" w:right="239" w:bottom="744"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07" w:right="239" w:bottom="744" w:gutter="0" w:footer="0" w:header="0"/>
          <w:type w:val="continuous"/>
        </w:sectPr>
      </w:pPr>
    </w:p>
    <w:bookmarkStart w:id="105" w:name="page106"/>
    <w:bookmarkEnd w:id="105"/>
    <w:p>
      <w:pPr>
        <w:jc w:val="both"/>
        <w:spacing w:after="0" w:line="253" w:lineRule="auto"/>
        <w:rPr>
          <w:sz w:val="20"/>
          <w:szCs w:val="20"/>
          <w:color w:val="auto"/>
        </w:rPr>
      </w:pPr>
      <w:r>
        <w:rPr>
          <w:rFonts w:ascii="Arial" w:cs="Arial" w:eastAsia="Arial" w:hAnsi="Arial"/>
          <w:sz w:val="22"/>
          <w:szCs w:val="22"/>
          <w:color w:val="auto"/>
        </w:rPr>
        <w:t>transactions contemplated hereby (including the Lump-Sum Solicitation) or that otherwise asserts that such transactions violate applicable Law and that, in the case of this clause (b), would reasonably be expected to have a material adverse effect on the transactions contemplated hereby.</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 xml:space="preserve">“[ *** ] </w:t>
      </w:r>
      <w:r>
        <w:rPr>
          <w:rFonts w:ascii="Arial" w:cs="Arial" w:eastAsia="Arial" w:hAnsi="Arial"/>
          <w:sz w:val="21"/>
          <w:szCs w:val="21"/>
          <w:u w:val="single" w:color="auto"/>
          <w:color w:val="auto"/>
        </w:rPr>
        <w:t>Adjustment</w:t>
      </w:r>
      <w:r>
        <w:rPr>
          <w:rFonts w:ascii="Arial" w:cs="Arial" w:eastAsia="Arial" w:hAnsi="Arial"/>
          <w:sz w:val="21"/>
          <w:szCs w:val="21"/>
          <w:color w:val="auto"/>
        </w:rPr>
        <w:t>” means, as of the applicable dates as provided in this Agreement, the total dollar price adjustment to the premium to be paid in exchange for the Group Annuity Contract if the Closing were to occur on such date, as calculated in accordance with the methodology and procedures set forth in Section I of the Procedures Manual.</w:t>
      </w:r>
      <w:r>
        <w:rPr>
          <w:rFonts w:ascii="Arial" w:cs="Arial" w:eastAsia="Arial" w:hAnsi="Arial"/>
          <w:sz w:val="27"/>
          <w:szCs w:val="27"/>
          <w:color w:val="auto"/>
          <w:vertAlign w:val="superscript"/>
        </w:rPr>
        <w:t>1</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Newco</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6.13</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Plan</w:t>
      </w:r>
      <w:r>
        <w:rPr>
          <w:rFonts w:ascii="Arial" w:cs="Arial" w:eastAsia="Arial" w:hAnsi="Arial"/>
          <w:sz w:val="22"/>
          <w:szCs w:val="22"/>
          <w:color w:val="auto"/>
        </w:rPr>
        <w:t>” means the employee benefit plan to which Plan Assets and Liabilities are or may be transferred in connection with the spin-off of Plan Assets and Plan Liabilities of the Plan as set forth in this Agreement.</w:t>
      </w:r>
    </w:p>
    <w:p>
      <w:pPr>
        <w:spacing w:after="0" w:line="391" w:lineRule="exact"/>
        <w:rPr>
          <w:sz w:val="20"/>
          <w:szCs w:val="20"/>
          <w:color w:val="auto"/>
        </w:rPr>
      </w:pPr>
    </w:p>
    <w:p>
      <w:pPr>
        <w:ind w:left="660"/>
        <w:spacing w:after="0"/>
        <w:tabs>
          <w:tab w:leader="none" w:pos="1080" w:val="left"/>
          <w:tab w:leader="none" w:pos="1780" w:val="left"/>
          <w:tab w:leader="none" w:pos="7140" w:val="left"/>
          <w:tab w:leader="none" w:pos="784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21"/>
          <w:szCs w:val="21"/>
          <w:color w:val="auto"/>
        </w:rPr>
        <w:t>]” means any asset in the Final Plan Portfolio that is not a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Non-Electing Base Annuity Premium</w:t>
      </w:r>
      <w:r>
        <w:rPr>
          <w:rFonts w:ascii="Arial" w:cs="Arial" w:eastAsia="Arial" w:hAnsi="Arial"/>
          <w:sz w:val="22"/>
          <w:szCs w:val="22"/>
          <w:color w:val="auto"/>
        </w:rPr>
        <w:t>” is defined in Section A of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Non-Electing Annuity Premium</w:t>
      </w:r>
      <w:r>
        <w:rPr>
          <w:rFonts w:ascii="Arial" w:cs="Arial" w:eastAsia="Arial" w:hAnsi="Arial"/>
          <w:sz w:val="22"/>
          <w:szCs w:val="22"/>
          <w:color w:val="auto"/>
        </w:rPr>
        <w:t>” is the premium calculated in accordance with the methodology and procedures set forth in Section A of the Procedures Manual.</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Non-Exempt Prohibited Transaction</w:t>
      </w:r>
      <w:r>
        <w:rPr>
          <w:rFonts w:ascii="Arial" w:cs="Arial" w:eastAsia="Arial" w:hAnsi="Arial"/>
          <w:sz w:val="22"/>
          <w:szCs w:val="22"/>
          <w:color w:val="auto"/>
        </w:rPr>
        <w:t>” means a transaction prohibited by ERISA § 406 or Code § 4975 for which no statutory or regulatory exemption applies.</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Non-Separate Account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Non-Solicited Annuity Premium</w:t>
      </w:r>
      <w:r>
        <w:rPr>
          <w:rFonts w:ascii="Arial" w:cs="Arial" w:eastAsia="Arial" w:hAnsi="Arial"/>
          <w:sz w:val="19"/>
          <w:szCs w:val="19"/>
          <w:color w:val="auto"/>
        </w:rPr>
        <w:t xml:space="preserve">” is equal to $11,493,303,518, as such amount may be revised in accordance with </w:t>
      </w:r>
      <w:r>
        <w:rPr>
          <w:rFonts w:ascii="Arial" w:cs="Arial" w:eastAsia="Arial" w:hAnsi="Arial"/>
          <w:sz w:val="19"/>
          <w:szCs w:val="19"/>
          <w:u w:val="single" w:color="auto"/>
          <w:color w:val="auto"/>
        </w:rPr>
        <w:t>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2.4</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Non-Solicited Lives</w:t>
      </w:r>
      <w:r>
        <w:rPr>
          <w:rFonts w:ascii="Arial" w:cs="Arial" w:eastAsia="Arial" w:hAnsi="Arial"/>
          <w:sz w:val="21"/>
          <w:szCs w:val="21"/>
          <w:color w:val="auto"/>
        </w:rPr>
        <w:t>” means those Priced Lives who will not be offered the Lump-Sum Election in connection with the Lump-Sum Solicitation, it being understood that, as the context may require, a Priced Life shall be considered a Non-Solicited Life with respect to the portion of his or her benefit that is not eligible for a Lump-Sum Solicitation.</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Intent to Terminate</w:t>
      </w:r>
      <w:r>
        <w:rPr>
          <w:rFonts w:ascii="Arial" w:cs="Arial" w:eastAsia="Arial" w:hAnsi="Arial"/>
          <w:sz w:val="22"/>
          <w:szCs w:val="22"/>
          <w:color w:val="auto"/>
        </w:rPr>
        <w:t>” means the notice described in 29 C.F.R. § 4041.23.</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Plan Benefits</w:t>
      </w:r>
      <w:r>
        <w:rPr>
          <w:rFonts w:ascii="Arial" w:cs="Arial" w:eastAsia="Arial" w:hAnsi="Arial"/>
          <w:sz w:val="22"/>
          <w:szCs w:val="22"/>
          <w:color w:val="auto"/>
        </w:rPr>
        <w:t>” means the notice described in 29 C.F.R. § 4041.24.</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award, decision, injunction, judgment, ruling, decree, writ, subpoena or verdict entered, issued, made or rendered by any Governmental Authority or arbitrator.</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Pricing Methodologies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10.1(d)</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Liquidity Position</w:t>
      </w:r>
      <w:r>
        <w:rPr>
          <w:rFonts w:ascii="Arial" w:cs="Arial" w:eastAsia="Arial" w:hAnsi="Arial"/>
          <w:sz w:val="22"/>
          <w:szCs w:val="22"/>
          <w:color w:val="auto"/>
        </w:rPr>
        <w:t>” means the total cash, cash equivalents and marketable securities of General Motors Company and its consolidated Subsidiaries other than General Motors Financial Company, Inc., as reported in General Motors Company's Annual Report on Form 10-K or Quarterly Report on Form 10-Q.</w:t>
      </w:r>
    </w:p>
    <w:p>
      <w:pPr>
        <w:sectPr>
          <w:pgSz w:w="11900" w:h="16838" w:orient="portrait"/>
          <w:cols w:equalWidth="0" w:num="1">
            <w:col w:w="11420"/>
          </w:cols>
          <w:pgMar w:left="240" w:top="807" w:right="239" w:bottom="203" w:gutter="0" w:footer="0" w:header="0"/>
        </w:sect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Premium Calculation Tab</w:t>
      </w:r>
      <w:r>
        <w:rPr>
          <w:rFonts w:ascii="Arial" w:cs="Arial" w:eastAsia="Arial" w:hAnsi="Arial"/>
          <w:sz w:val="19"/>
          <w:szCs w:val="19"/>
          <w:color w:val="auto"/>
        </w:rPr>
        <w:t>” is defined in the Procedures Manual.</w:t>
      </w:r>
    </w:p>
    <w:p>
      <w:pPr>
        <w:sectPr>
          <w:pgSz w:w="11900" w:h="16838" w:orient="portrait"/>
          <w:cols w:equalWidth="0" w:num="1">
            <w:col w:w="11420"/>
          </w:cols>
          <w:pgMar w:left="240" w:top="807" w:right="239" w:bottom="203"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125" w:right="1440" w:bottom="1440" w:gutter="0" w:footer="0" w:header="0"/>
        </w:sectPr>
      </w:pPr>
    </w:p>
    <w:bookmarkStart w:id="107" w:name="page108"/>
    <w:bookmarkEnd w:id="10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PBGC Review Period</w:t>
      </w:r>
      <w:r>
        <w:rPr>
          <w:rFonts w:ascii="Arial" w:cs="Arial" w:eastAsia="Arial" w:hAnsi="Arial"/>
          <w:sz w:val="21"/>
          <w:szCs w:val="21"/>
          <w:color w:val="auto"/>
        </w:rPr>
        <w:t>” means the period for PBGC review of the Form 500 as described in 29 C.F.R. § 4041.26.</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ind w:left="660"/>
              <w:spacing w:after="0"/>
              <w:rPr>
                <w:sz w:val="20"/>
                <w:szCs w:val="20"/>
                <w:color w:val="auto"/>
              </w:rPr>
            </w:pPr>
            <w:r>
              <w:rPr>
                <w:rFonts w:ascii="Arial" w:cs="Arial" w:eastAsia="Arial" w:hAnsi="Arial"/>
                <w:sz w:val="22"/>
                <w:szCs w:val="22"/>
                <w:color w:val="auto"/>
              </w:rPr>
              <w:t>“[</w:t>
            </w:r>
          </w:p>
        </w:tc>
        <w:tc>
          <w:tcPr>
            <w:tcW w:w="6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gridSpan w:val="2"/>
          </w:tcPr>
          <w:p>
            <w:pPr>
              <w:ind w:left="180"/>
              <w:spacing w:after="0"/>
              <w:rPr>
                <w:sz w:val="20"/>
                <w:szCs w:val="20"/>
                <w:color w:val="auto"/>
              </w:rPr>
            </w:pPr>
            <w:r>
              <w:rPr>
                <w:rFonts w:ascii="Arial" w:cs="Arial" w:eastAsia="Arial" w:hAnsi="Arial"/>
                <w:sz w:val="22"/>
                <w:szCs w:val="22"/>
                <w:color w:val="auto"/>
              </w:rPr>
              <w:t>]” means a [</w:t>
            </w:r>
          </w:p>
        </w:tc>
        <w:tc>
          <w:tcPr>
            <w:tcW w:w="6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3200" w:type="dxa"/>
            <w:vAlign w:val="bottom"/>
            <w:gridSpan w:val="4"/>
          </w:tcPr>
          <w:p>
            <w:pPr>
              <w:ind w:left="160"/>
              <w:spacing w:after="0"/>
              <w:rPr>
                <w:sz w:val="20"/>
                <w:szCs w:val="20"/>
                <w:color w:val="auto"/>
              </w:rPr>
            </w:pPr>
            <w:r>
              <w:rPr>
                <w:rFonts w:ascii="Arial" w:cs="Arial" w:eastAsia="Arial" w:hAnsi="Arial"/>
                <w:sz w:val="22"/>
                <w:szCs w:val="22"/>
                <w:color w:val="auto"/>
              </w:rPr>
              <w:t>] that is identified on Exhibit C.</w:t>
            </w:r>
          </w:p>
        </w:tc>
        <w:tc>
          <w:tcPr>
            <w:tcW w:w="454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r>
      <w:tr>
        <w:trPr>
          <w:trHeight w:val="669"/>
        </w:trPr>
        <w:tc>
          <w:tcPr>
            <w:tcW w:w="960" w:type="dxa"/>
            <w:vAlign w:val="bottom"/>
          </w:tcPr>
          <w:p>
            <w:pPr>
              <w:ind w:left="660"/>
              <w:spacing w:after="0"/>
              <w:rPr>
                <w:sz w:val="20"/>
                <w:szCs w:val="20"/>
                <w:color w:val="auto"/>
              </w:rPr>
            </w:pPr>
            <w:r>
              <w:rPr>
                <w:rFonts w:ascii="Arial" w:cs="Arial" w:eastAsia="Arial" w:hAnsi="Arial"/>
                <w:sz w:val="22"/>
                <w:szCs w:val="22"/>
                <w:color w:val="auto"/>
              </w:rPr>
              <w:t>“[</w:t>
            </w:r>
          </w:p>
        </w:tc>
        <w:tc>
          <w:tcPr>
            <w:tcW w:w="6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9780" w:type="dxa"/>
            <w:vAlign w:val="bottom"/>
            <w:gridSpan w:val="8"/>
          </w:tcPr>
          <w:p>
            <w:pPr>
              <w:ind w:left="240"/>
              <w:spacing w:after="0"/>
              <w:rPr>
                <w:sz w:val="20"/>
                <w:szCs w:val="20"/>
                <w:color w:val="auto"/>
              </w:rPr>
            </w:pPr>
            <w:r>
              <w:rPr>
                <w:rFonts w:ascii="Arial" w:cs="Arial" w:eastAsia="Arial" w:hAnsi="Arial"/>
                <w:sz w:val="22"/>
                <w:szCs w:val="22"/>
                <w:color w:val="auto"/>
                <w:w w:val="88"/>
              </w:rPr>
              <w:t>] Transfer Documentation” means the assignment and assumption agreement(s) or consents or similar transfer</w:t>
            </w:r>
          </w:p>
        </w:tc>
      </w:tr>
      <w:tr>
        <w:trPr>
          <w:trHeight w:val="20"/>
        </w:trPr>
        <w:tc>
          <w:tcPr>
            <w:tcW w:w="1920" w:type="dxa"/>
            <w:vAlign w:val="bottom"/>
            <w:gridSpan w:val="3"/>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87"/>
        </w:trPr>
        <w:tc>
          <w:tcPr>
            <w:tcW w:w="3000" w:type="dxa"/>
            <w:vAlign w:val="bottom"/>
            <w:gridSpan w:val="4"/>
          </w:tcPr>
          <w:p>
            <w:pPr>
              <w:spacing w:after="0"/>
              <w:rPr>
                <w:sz w:val="20"/>
                <w:szCs w:val="20"/>
                <w:color w:val="auto"/>
              </w:rPr>
            </w:pPr>
            <w:r>
              <w:rPr>
                <w:rFonts w:ascii="Arial" w:cs="Arial" w:eastAsia="Arial" w:hAnsi="Arial"/>
                <w:sz w:val="22"/>
                <w:szCs w:val="22"/>
                <w:color w:val="auto"/>
                <w:w w:val="89"/>
              </w:rPr>
              <w:t>documents necessary to transfer [</w:t>
            </w:r>
          </w:p>
        </w:tc>
        <w:tc>
          <w:tcPr>
            <w:tcW w:w="6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0" w:type="dxa"/>
            <w:vAlign w:val="bottom"/>
            <w:gridSpan w:val="4"/>
          </w:tcPr>
          <w:p>
            <w:pPr>
              <w:ind w:left="220"/>
              <w:spacing w:after="0"/>
              <w:rPr>
                <w:sz w:val="20"/>
                <w:szCs w:val="20"/>
                <w:color w:val="auto"/>
              </w:rPr>
            </w:pPr>
            <w:r>
              <w:rPr>
                <w:rFonts w:ascii="Arial" w:cs="Arial" w:eastAsia="Arial" w:hAnsi="Arial"/>
                <w:sz w:val="22"/>
                <w:szCs w:val="22"/>
                <w:color w:val="auto"/>
              </w:rPr>
              <w:t>] to the Insurer, whether [   ***</w:t>
            </w:r>
          </w:p>
        </w:tc>
        <w:tc>
          <w:tcPr>
            <w:tcW w:w="4540" w:type="dxa"/>
            <w:vAlign w:val="bottom"/>
          </w:tcPr>
          <w:p>
            <w:pPr>
              <w:ind w:left="180"/>
              <w:spacing w:after="0"/>
              <w:rPr>
                <w:sz w:val="20"/>
                <w:szCs w:val="20"/>
                <w:color w:val="auto"/>
              </w:rPr>
            </w:pPr>
            <w:r>
              <w:rPr>
                <w:rFonts w:ascii="Arial" w:cs="Arial" w:eastAsia="Arial" w:hAnsi="Arial"/>
                <w:sz w:val="22"/>
                <w:szCs w:val="22"/>
                <w:color w:val="auto"/>
              </w:rPr>
              <w:t>] Newco.</w:t>
            </w: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t>
      </w:r>
      <w:r>
        <w:rPr>
          <w:rFonts w:ascii="Arial" w:cs="Arial" w:eastAsia="Arial" w:hAnsi="Arial"/>
          <w:sz w:val="22"/>
          <w:szCs w:val="22"/>
          <w:color w:val="auto"/>
        </w:rPr>
        <w:t>) any Liens created by operation of Law in respect of restrictions on transfer of securities (other than restrictions relating to the transfer of assets at Closing, unless such transfer complies with such applicable Law);</w:t>
      </w:r>
    </w:p>
    <w:p>
      <w:pPr>
        <w:spacing w:after="0" w:line="37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w:t>
      </w:r>
      <w:r>
        <w:rPr>
          <w:rFonts w:ascii="Arial" w:cs="Arial" w:eastAsia="Arial" w:hAnsi="Arial"/>
          <w:sz w:val="19"/>
          <w:szCs w:val="19"/>
          <w:color w:val="auto"/>
        </w:rPr>
        <w:t>) with respect to any [ *** ], (i) any Lien created under any subscription document, partnership agreement, side letter, offering document or other similar organizational document or credit, security or similar agreement to which such [ ***</w:t>
      </w:r>
    </w:p>
    <w:p>
      <w:pPr>
        <w:ind w:left="360" w:hanging="132"/>
        <w:spacing w:after="0"/>
        <w:tabs>
          <w:tab w:leader="none" w:pos="3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is subject, including any restriction on sale, assignment, disposition or transfer thereunder (other than restrictions relating to [</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19"/>
          <w:szCs w:val="19"/>
          <w:color w:val="auto"/>
        </w:rPr>
        <w:t>], unless all required consents and conditions have been obtained prior to Closing as contemplated by this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w:t>
      </w:r>
      <w:r>
        <w:rPr>
          <w:rFonts w:ascii="Arial" w:cs="Arial" w:eastAsia="Arial" w:hAnsi="Arial"/>
          <w:sz w:val="19"/>
          <w:szCs w:val="19"/>
          <w:color w:val="auto"/>
        </w:rPr>
        <w:t>) with respect to any Public Bond, any transfer restrictions or other limitations on assignment, transfer or the alienability of rights under any indenture, debenture or other similar governing agreement to which such Public Bonds are subject (other than restrictions relating to the transfer of a Public Bond at Closing, unless such transfer does not violate any such restriction).</w:t>
      </w:r>
    </w:p>
    <w:p>
      <w:pPr>
        <w:spacing w:after="0" w:line="3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limited liability company, partnership, sole proprietorship, joint venture, trust, estate, association, organization, labor union, Governmental Authority or other entity.</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PFS Adjustment</w:t>
      </w:r>
      <w:r>
        <w:rPr>
          <w:rFonts w:ascii="Arial" w:cs="Arial" w:eastAsia="Arial" w:hAnsi="Arial"/>
          <w:sz w:val="22"/>
          <w:szCs w:val="22"/>
          <w:color w:val="auto"/>
        </w:rPr>
        <w:t>” means, as of the applicable dates as provided in this Agreement, the adjustment that would be applied to the Closing Premium if the Closing were to occur on such date, stated as a percentage and calculated in accordance with the methodology and procedures set forth in Section H of the Procedures Manual.</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w:t>
      </w:r>
      <w:r>
        <w:rPr>
          <w:rFonts w:ascii="Arial" w:cs="Arial" w:eastAsia="Arial" w:hAnsi="Arial"/>
          <w:sz w:val="22"/>
          <w:szCs w:val="22"/>
          <w:color w:val="auto"/>
        </w:rPr>
        <w:t>” means an asset of the Plan within the meaning of ERISA.</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Beneficiary</w:t>
      </w:r>
      <w:r>
        <w:rPr>
          <w:rFonts w:ascii="Arial" w:cs="Arial" w:eastAsia="Arial" w:hAnsi="Arial"/>
          <w:sz w:val="22"/>
          <w:szCs w:val="22"/>
          <w:color w:val="auto"/>
        </w:rPr>
        <w:t>” means a person designated by a current or former Plan Participant, by a DRO, or by the terms of the Plan to become entitled to receive a pension benefit from the Plan.</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Investment Fiduciary</w:t>
      </w:r>
      <w:r>
        <w:rPr>
          <w:rFonts w:ascii="Arial" w:cs="Arial" w:eastAsia="Arial" w:hAnsi="Arial"/>
          <w:sz w:val="22"/>
          <w:szCs w:val="22"/>
          <w:color w:val="auto"/>
        </w:rPr>
        <w:t>” means General Motors Investment Management Corporation.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Liabilities</w:t>
      </w:r>
      <w:r>
        <w:rPr>
          <w:rFonts w:ascii="Arial" w:cs="Arial" w:eastAsia="Arial" w:hAnsi="Arial"/>
          <w:sz w:val="22"/>
          <w:szCs w:val="22"/>
          <w:color w:val="auto"/>
        </w:rPr>
        <w:t>” means a benefit obligation of the Plan.</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of Operations</w:t>
      </w:r>
      <w:r>
        <w:rPr>
          <w:rFonts w:ascii="Arial" w:cs="Arial" w:eastAsia="Arial" w:hAnsi="Arial"/>
          <w:sz w:val="22"/>
          <w:szCs w:val="22"/>
          <w:color w:val="auto"/>
        </w:rPr>
        <w:t>” means (</w:t>
      </w:r>
      <w:r>
        <w:rPr>
          <w:rFonts w:ascii="Arial" w:cs="Arial" w:eastAsia="Arial" w:hAnsi="Arial"/>
          <w:sz w:val="22"/>
          <w:szCs w:val="22"/>
          <w:u w:val="single" w:color="auto"/>
          <w:color w:val="auto"/>
        </w:rPr>
        <w:t>a</w:t>
      </w:r>
      <w:r>
        <w:rPr>
          <w:rFonts w:ascii="Arial" w:cs="Arial" w:eastAsia="Arial" w:hAnsi="Arial"/>
          <w:sz w:val="22"/>
          <w:szCs w:val="22"/>
          <w:color w:val="auto"/>
        </w:rPr>
        <w:t>) with respect to the New York State Department of Financial Services, The Prudential Insurance Company of America Plan of Operations for VCA-GA-7436, and (</w:t>
      </w:r>
      <w:r>
        <w:rPr>
          <w:rFonts w:ascii="Arial" w:cs="Arial" w:eastAsia="Arial" w:hAnsi="Arial"/>
          <w:sz w:val="22"/>
          <w:szCs w:val="22"/>
          <w:u w:val="single" w:color="auto"/>
          <w:color w:val="auto"/>
        </w:rPr>
        <w:t>b</w:t>
      </w:r>
      <w:r>
        <w:rPr>
          <w:rFonts w:ascii="Arial" w:cs="Arial" w:eastAsia="Arial" w:hAnsi="Arial"/>
          <w:sz w:val="22"/>
          <w:szCs w:val="22"/>
          <w:color w:val="auto"/>
        </w:rPr>
        <w:t>) with respect</w:t>
      </w:r>
    </w:p>
    <w:p>
      <w:pPr>
        <w:sectPr>
          <w:pgSz w:w="11900" w:h="16838" w:orient="portrait"/>
          <w:cols w:equalWidth="0" w:num="1">
            <w:col w:w="11420"/>
          </w:cols>
          <w:pgMar w:left="240" w:top="807" w:right="239" w:bottom="433"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807" w:right="239" w:bottom="433" w:gutter="0" w:footer="0" w:header="0"/>
          <w:type w:val="continuous"/>
        </w:sectPr>
      </w:pPr>
    </w:p>
    <w:bookmarkStart w:id="108" w:name="page109"/>
    <w:bookmarkEnd w:id="108"/>
    <w:p>
      <w:pPr>
        <w:jc w:val="both"/>
        <w:spacing w:after="0" w:line="263" w:lineRule="auto"/>
        <w:rPr>
          <w:sz w:val="20"/>
          <w:szCs w:val="20"/>
          <w:color w:val="auto"/>
        </w:rPr>
      </w:pPr>
      <w:r>
        <w:rPr>
          <w:rFonts w:ascii="Arial" w:cs="Arial" w:eastAsia="Arial" w:hAnsi="Arial"/>
          <w:sz w:val="22"/>
          <w:szCs w:val="22"/>
          <w:color w:val="auto"/>
        </w:rPr>
        <w:t>to the State of New Jersey Department of Banking and Insurance, The Prudential Insurance Company of America Restated Essentials of Method of Operations for VCA-GA-7436.</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Participant</w:t>
      </w:r>
      <w:r>
        <w:rPr>
          <w:rFonts w:ascii="Arial" w:cs="Arial" w:eastAsia="Arial" w:hAnsi="Arial"/>
          <w:sz w:val="22"/>
          <w:szCs w:val="22"/>
          <w:color w:val="auto"/>
        </w:rPr>
        <w:t>” means a person who is eligible to receive a pension benefit from the Plan.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Spin-Off</w:t>
      </w:r>
      <w:r>
        <w:rPr>
          <w:rFonts w:ascii="Arial" w:cs="Arial" w:eastAsia="Arial" w:hAnsi="Arial"/>
          <w:sz w:val="22"/>
          <w:szCs w:val="22"/>
          <w:color w:val="auto"/>
        </w:rPr>
        <w:t>” is defined in the recitals.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Termination</w:t>
      </w:r>
      <w:r>
        <w:rPr>
          <w:rFonts w:ascii="Arial" w:cs="Arial" w:eastAsia="Arial" w:hAnsi="Arial"/>
          <w:sz w:val="22"/>
          <w:szCs w:val="22"/>
          <w:color w:val="auto"/>
        </w:rPr>
        <w:t>” is defined in the recitals.</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Trustee</w:t>
      </w:r>
      <w:r>
        <w:rPr>
          <w:rFonts w:ascii="Arial" w:cs="Arial" w:eastAsia="Arial" w:hAnsi="Arial"/>
          <w:sz w:val="22"/>
          <w:szCs w:val="22"/>
          <w:color w:val="auto"/>
        </w:rPr>
        <w:t>” means, [ *** ], and for all other purposes, State Street Bank and Trust Company, each in their capacity as trustee for one or more trusts that hold Plan Assets and, in each case, any successor thereto.</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Trustee Agreement</w:t>
      </w:r>
      <w:r>
        <w:rPr>
          <w:rFonts w:ascii="Arial" w:cs="Arial" w:eastAsia="Arial" w:hAnsi="Arial"/>
          <w:sz w:val="22"/>
          <w:szCs w:val="22"/>
          <w:color w:val="auto"/>
        </w:rPr>
        <w:t xml:space="preserve">” means the agreement,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between the Plan Trustee, the Independent Fiduciary and the Insurer.</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POINT</w:t>
      </w:r>
      <w:r>
        <w:rPr>
          <w:rFonts w:ascii="Arial" w:cs="Arial" w:eastAsia="Arial" w:hAnsi="Arial"/>
          <w:sz w:val="22"/>
          <w:szCs w:val="22"/>
          <w:color w:val="auto"/>
        </w:rPr>
        <w:t>” is defined in Section F of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POINT Access Event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2.9(c)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Final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2.11(c)(ii)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Post-Solicitation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2.11(c)(i)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Post-Solicitation Premium Tab</w:t>
      </w:r>
      <w:r>
        <w:rPr>
          <w:rFonts w:ascii="Arial" w:cs="Arial" w:eastAsia="Arial" w:hAnsi="Arial"/>
          <w:sz w:val="22"/>
          <w:szCs w:val="22"/>
          <w:color w:val="auto"/>
        </w:rPr>
        <w:t>” is defined in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Preliminary Additional Classification Errors Correction</w:t>
      </w:r>
      <w:r>
        <w:rPr>
          <w:rFonts w:ascii="Arial" w:cs="Arial" w:eastAsia="Arial" w:hAnsi="Arial"/>
          <w:sz w:val="21"/>
          <w:szCs w:val="21"/>
          <w:color w:val="auto"/>
        </w:rPr>
        <w:t>” means the Additional Classification Errors Correction, as calculated by the Insurer as of the day that is thirty (30) days prior to the Target Closing Date and taking into account Additional Classification Errors reported to the Insurer prior to the date that is 30 days prior to the Target Closing Date.</w:t>
      </w:r>
    </w:p>
    <w:p>
      <w:pPr>
        <w:spacing w:after="0" w:line="3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Benefit Amount Correction</w:t>
      </w:r>
      <w:r>
        <w:rPr>
          <w:rFonts w:ascii="Arial" w:cs="Arial" w:eastAsia="Arial" w:hAnsi="Arial"/>
          <w:sz w:val="22"/>
          <w:szCs w:val="22"/>
          <w:color w:val="auto"/>
        </w:rPr>
        <w:t>” means the Benefit Amount Correction, as calculated by the Insurer as of the day that is thirty (30) days prior to the Target Closing Date and taking into account Benefit Amount Increases discovered by the Insurer prior to the date that is 30 days prior to the Target Closing Date.</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Broker-Quote Valuations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2.6(e)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Closing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2.8(a)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Preliminary CMA Adjustment</w:t>
      </w:r>
      <w:r>
        <w:rPr>
          <w:rFonts w:ascii="Arial" w:cs="Arial" w:eastAsia="Arial" w:hAnsi="Arial"/>
          <w:sz w:val="19"/>
          <w:szCs w:val="19"/>
          <w:color w:val="auto"/>
        </w:rPr>
        <w:t>” means the adjustment applied to the Preliminary Closing Premium, with respect to the period from the DTFA Pricing Date to the date that is seven (7) days prior to the Target Closing Date, stated as a percentage and calculated in accordance with the methodology and procedures set forth in Section F of the Procedures Manual.</w:t>
      </w:r>
    </w:p>
    <w:p>
      <w:pPr>
        <w:spacing w:after="0" w:line="3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w:t>
      </w:r>
      <w:r>
        <w:rPr>
          <w:rFonts w:ascii="Arial" w:cs="Arial" w:eastAsia="Arial" w:hAnsi="Arial"/>
          <w:sz w:val="22"/>
          <w:szCs w:val="22"/>
          <w:color w:val="auto"/>
        </w:rPr>
        <w:t xml:space="preserve"> [ *** ]” means the [ *** ], as calculated by the Insurer as of the day that is thirty (30) days prior to the Target Closing Date and taking into account Data Errors discovered by the Insurer prior to the date that is 30 days prior to the Target Closing Date.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w:t>
      </w:r>
      <w:r>
        <w:rPr>
          <w:rFonts w:ascii="Arial" w:cs="Arial" w:eastAsia="Arial" w:hAnsi="Arial"/>
          <w:sz w:val="22"/>
          <w:szCs w:val="22"/>
          <w:color w:val="auto"/>
        </w:rPr>
        <w:t xml:space="preserve"> [ *** ] </w:t>
      </w:r>
      <w:r>
        <w:rPr>
          <w:rFonts w:ascii="Arial" w:cs="Arial" w:eastAsia="Arial" w:hAnsi="Arial"/>
          <w:sz w:val="22"/>
          <w:szCs w:val="22"/>
          <w:u w:val="single" w:color="auto"/>
          <w:color w:val="auto"/>
        </w:rPr>
        <w:t>Adjustment</w:t>
      </w:r>
      <w:r>
        <w:rPr>
          <w:rFonts w:ascii="Arial" w:cs="Arial" w:eastAsia="Arial" w:hAnsi="Arial"/>
          <w:sz w:val="22"/>
          <w:szCs w:val="22"/>
          <w:color w:val="auto"/>
        </w:rPr>
        <w:t>” means the total dollar price adjustment to the Preliminary Closing Premium, as calculated in accordance with the methodology and procedures set forth in Section I of the Procedures Manual.</w:t>
      </w:r>
    </w:p>
    <w:p>
      <w:pPr>
        <w:sectPr>
          <w:pgSz w:w="11900" w:h="16838" w:orient="portrait"/>
          <w:cols w:equalWidth="0" w:num="1">
            <w:col w:w="11420"/>
          </w:cols>
          <w:pgMar w:left="240" w:top="807" w:right="239"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807" w:right="239" w:bottom="0" w:gutter="0" w:footer="0" w:header="0"/>
          <w:type w:val="continuous"/>
        </w:sectPr>
      </w:pPr>
    </w:p>
    <w:bookmarkStart w:id="109" w:name="page110"/>
    <w:bookmarkEnd w:id="109"/>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Preliminary PFS Adjustment</w:t>
      </w:r>
      <w:r>
        <w:rPr>
          <w:rFonts w:ascii="Arial" w:cs="Arial" w:eastAsia="Arial" w:hAnsi="Arial"/>
          <w:sz w:val="21"/>
          <w:szCs w:val="21"/>
          <w:color w:val="auto"/>
        </w:rPr>
        <w:t>” means the adjustment to the Preliminary Closing Premium stated as a percentage and calculated in accordance with the methodology and procedures set forth in Section H of the Procedures Manual.</w:t>
      </w:r>
    </w:p>
    <w:p>
      <w:pPr>
        <w:spacing w:after="0" w:line="3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Plan Portfolio</w:t>
      </w:r>
      <w:r>
        <w:rPr>
          <w:rFonts w:ascii="Arial" w:cs="Arial" w:eastAsia="Arial" w:hAnsi="Arial"/>
          <w:sz w:val="22"/>
          <w:szCs w:val="22"/>
          <w:color w:val="auto"/>
        </w:rPr>
        <w:t xml:space="preserve">” means the projected Final Plan Portfolio expected to be delivered to the Insurer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2.6(b)(i)</w:t>
      </w:r>
      <w:r>
        <w:rPr>
          <w:rFonts w:ascii="Arial" w:cs="Arial" w:eastAsia="Arial" w:hAnsi="Arial"/>
          <w:sz w:val="22"/>
          <w:szCs w:val="22"/>
          <w:color w:val="auto"/>
        </w:rPr>
        <w:t xml:space="preserve"> as of 8 days before the Target Closing Date.</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Post-Solicitation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2.5(e)(ii)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Preliminary SCA Adjustment</w:t>
      </w:r>
      <w:r>
        <w:rPr>
          <w:rFonts w:ascii="Arial" w:cs="Arial" w:eastAsia="Arial" w:hAnsi="Arial"/>
          <w:sz w:val="19"/>
          <w:szCs w:val="19"/>
          <w:color w:val="auto"/>
        </w:rPr>
        <w:t>” means the adjustment applied to the Preliminary Closing Premium, with respect to the period from the DTFA Pricing Date to the date that is seven (7) days prior to the Target Closing Date, stated as a percentage and calculated in accordance with the methodology and procedures set forth in Section G of the Procedures Manual.</w:t>
      </w:r>
    </w:p>
    <w:p>
      <w:pPr>
        <w:spacing w:after="0" w:line="3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Single Life Mortality Correction</w:t>
      </w:r>
      <w:r>
        <w:rPr>
          <w:rFonts w:ascii="Arial" w:cs="Arial" w:eastAsia="Arial" w:hAnsi="Arial"/>
          <w:sz w:val="22"/>
          <w:szCs w:val="22"/>
          <w:color w:val="auto"/>
        </w:rPr>
        <w:t>” means the Single Life Mortality Correction, as calculated by the Insurer as of the day that is thirty (30) days prior to the Target Closing Date and taking into account the death of any Covered Life prior to the Annuity Commencement Date who elected a Single Life Annuity that is discovered by the Insurer prior to the date that is 30 days prior to the Target Closing Date.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Priced Lives</w:t>
      </w:r>
      <w:r>
        <w:rPr>
          <w:rFonts w:ascii="Arial" w:cs="Arial" w:eastAsia="Arial" w:hAnsi="Arial"/>
          <w:sz w:val="22"/>
          <w:szCs w:val="22"/>
          <w:color w:val="auto"/>
        </w:rPr>
        <w:t xml:space="preserve">” means all Plan Participants and Plan Beneficiaries who are referenced by </w:t>
      </w:r>
      <w:r>
        <w:rPr>
          <w:rFonts w:ascii="Arial" w:cs="Arial" w:eastAsia="Arial" w:hAnsi="Arial"/>
          <w:sz w:val="22"/>
          <w:szCs w:val="22"/>
          <w:u w:val="single" w:color="auto"/>
          <w:color w:val="auto"/>
        </w:rPr>
        <w:t>Appendix 1.2</w:t>
      </w:r>
      <w:r>
        <w:rPr>
          <w:rFonts w:ascii="Arial" w:cs="Arial" w:eastAsia="Arial" w:hAnsi="Arial"/>
          <w:sz w:val="22"/>
          <w:szCs w:val="22"/>
          <w:color w:val="auto"/>
        </w:rPr>
        <w:t xml:space="preserve"> and, as of November 30, 2011, are in pay status as to all of their Plan benefits (provided that the “Part B” benefits attributable to Priced Lives will in all cases be considered non-solicited). The Priced Lives referenced by </w:t>
      </w:r>
      <w:r>
        <w:rPr>
          <w:rFonts w:ascii="Arial" w:cs="Arial" w:eastAsia="Arial" w:hAnsi="Arial"/>
          <w:sz w:val="22"/>
          <w:szCs w:val="22"/>
          <w:u w:val="single" w:color="auto"/>
          <w:color w:val="auto"/>
        </w:rPr>
        <w:t>Appendix 1.2</w:t>
      </w:r>
      <w:r>
        <w:rPr>
          <w:rFonts w:ascii="Arial" w:cs="Arial" w:eastAsia="Arial" w:hAnsi="Arial"/>
          <w:sz w:val="22"/>
          <w:szCs w:val="22"/>
          <w:color w:val="auto"/>
        </w:rPr>
        <w:t xml:space="preserve"> are identified as Non-Solicited Lives or Solicited Lives.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Procedures Manual</w:t>
      </w:r>
      <w:r>
        <w:rPr>
          <w:rFonts w:ascii="Arial" w:cs="Arial" w:eastAsia="Arial" w:hAnsi="Arial"/>
          <w:sz w:val="21"/>
          <w:szCs w:val="21"/>
          <w:color w:val="auto"/>
        </w:rPr>
        <w:t xml:space="preserve">” means that certain Procedures Manual, as contained on the Identified CD-ROM delivered from the Insurer to the Company on the date hereof, as the same may be updated in accordance with </w:t>
      </w:r>
      <w:r>
        <w:rPr>
          <w:rFonts w:ascii="Arial" w:cs="Arial" w:eastAsia="Arial" w:hAnsi="Arial"/>
          <w:sz w:val="21"/>
          <w:szCs w:val="21"/>
          <w:u w:val="single" w:color="auto"/>
          <w:color w:val="auto"/>
        </w:rPr>
        <w:t>Section 2.20</w:t>
      </w:r>
      <w:r>
        <w:rPr>
          <w:rFonts w:ascii="Arial" w:cs="Arial" w:eastAsia="Arial" w:hAnsi="Arial"/>
          <w:sz w:val="21"/>
          <w:szCs w:val="21"/>
          <w:color w:val="auto"/>
        </w:rPr>
        <w:t>.</w:t>
      </w:r>
    </w:p>
    <w:p>
      <w:pPr>
        <w:spacing w:after="0" w:line="3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Projected Parent Liquidity Position</w:t>
      </w:r>
      <w:r>
        <w:rPr>
          <w:rFonts w:ascii="Arial" w:cs="Arial" w:eastAsia="Arial" w:hAnsi="Arial"/>
          <w:sz w:val="22"/>
          <w:szCs w:val="22"/>
          <w:color w:val="auto"/>
        </w:rPr>
        <w:t>” means, as of a date of determination, the projection of the Parent Liquidity Position as of the end of the 2012 calendar year.</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Projected RBC Ratio</w:t>
      </w:r>
      <w:r>
        <w:rPr>
          <w:rFonts w:ascii="Arial" w:cs="Arial" w:eastAsia="Arial" w:hAnsi="Arial"/>
          <w:sz w:val="22"/>
          <w:szCs w:val="22"/>
          <w:color w:val="auto"/>
        </w:rPr>
        <w:t xml:space="preserve">” means, as of a day of determination, the projection of the RBC Ratio as of the end of the 2012 calendar year, as calculated under the method set forth in </w:t>
      </w:r>
      <w:r>
        <w:rPr>
          <w:rFonts w:ascii="Arial" w:cs="Arial" w:eastAsia="Arial" w:hAnsi="Arial"/>
          <w:sz w:val="22"/>
          <w:szCs w:val="22"/>
          <w:u w:val="single" w:color="auto"/>
          <w:color w:val="auto"/>
        </w:rPr>
        <w:t>Appendix 6.6</w:t>
      </w:r>
      <w:r>
        <w:rPr>
          <w:rFonts w:ascii="Arial" w:cs="Arial" w:eastAsia="Arial" w:hAnsi="Arial"/>
          <w:sz w:val="22"/>
          <w:szCs w:val="22"/>
          <w:color w:val="auto"/>
        </w:rPr>
        <w:t>.</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Prudential Disclosure Letter</w:t>
      </w:r>
      <w:r>
        <w:rPr>
          <w:rFonts w:ascii="Arial" w:cs="Arial" w:eastAsia="Arial" w:hAnsi="Arial"/>
          <w:sz w:val="22"/>
          <w:szCs w:val="22"/>
          <w:color w:val="auto"/>
        </w:rPr>
        <w:t>” means the disclosure letter as delivered by Insurer Parent and the Insurer to the other Parties immediately prior to the execution of this Agreement.</w:t>
      </w:r>
    </w:p>
    <w:p>
      <w:pPr>
        <w:spacing w:after="0" w:line="39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Prudential's Knowledge</w:t>
      </w:r>
      <w:r>
        <w:rPr>
          <w:rFonts w:ascii="Arial" w:cs="Arial" w:eastAsia="Arial" w:hAnsi="Arial"/>
          <w:sz w:val="19"/>
          <w:szCs w:val="19"/>
          <w:color w:val="auto"/>
        </w:rPr>
        <w:t>” means the actual knowledge of any officer of the Insurer or Insurer Parent that will be responsible for the day to day administration of the Group Annuity Contract or was directly involved in the negotiation of this Agreement or the transactions contemplated hereby, in each case, (</w:t>
      </w:r>
      <w:r>
        <w:rPr>
          <w:rFonts w:ascii="Arial" w:cs="Arial" w:eastAsia="Arial" w:hAnsi="Arial"/>
          <w:sz w:val="19"/>
          <w:szCs w:val="19"/>
          <w:u w:val="single" w:color="auto"/>
          <w:color w:val="auto"/>
        </w:rPr>
        <w:t>a</w:t>
      </w:r>
      <w:r>
        <w:rPr>
          <w:rFonts w:ascii="Arial" w:cs="Arial" w:eastAsia="Arial" w:hAnsi="Arial"/>
          <w:sz w:val="19"/>
          <w:szCs w:val="19"/>
          <w:color w:val="auto"/>
        </w:rPr>
        <w:t>) after making appropriate inquiry of those people reporting directly to such officer who have substantial responsibility for the relevant subject matter, and (</w:t>
      </w:r>
      <w:r>
        <w:rPr>
          <w:rFonts w:ascii="Arial" w:cs="Arial" w:eastAsia="Arial" w:hAnsi="Arial"/>
          <w:sz w:val="19"/>
          <w:szCs w:val="19"/>
          <w:u w:val="single" w:color="auto"/>
          <w:color w:val="auto"/>
        </w:rPr>
        <w:t>b</w:t>
      </w:r>
      <w:r>
        <w:rPr>
          <w:rFonts w:ascii="Arial" w:cs="Arial" w:eastAsia="Arial" w:hAnsi="Arial"/>
          <w:sz w:val="19"/>
          <w:szCs w:val="19"/>
          <w:color w:val="auto"/>
        </w:rPr>
        <w:t>) if none of such officers or people reporting directly to them have substantial responsibility for the subject matter that is the subject of the relevant representation, after making appropriate inquiry of an officer of the Insurer or Insurer Parent that has substantial responsibility for such subject matter.</w:t>
      </w:r>
    </w:p>
    <w:p>
      <w:pPr>
        <w:spacing w:after="0" w:line="3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PTCE</w:t>
      </w:r>
      <w:r>
        <w:rPr>
          <w:rFonts w:ascii="Arial" w:cs="Arial" w:eastAsia="Arial" w:hAnsi="Arial"/>
          <w:sz w:val="22"/>
          <w:szCs w:val="22"/>
          <w:color w:val="auto"/>
        </w:rPr>
        <w:t>” means a prohibited transaction class exemption issued by the U.S. Department of Labor pursuant to ERISA § 408(a).</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Bonds</w:t>
      </w:r>
      <w:r>
        <w:rPr>
          <w:rFonts w:ascii="Arial" w:cs="Arial" w:eastAsia="Arial" w:hAnsi="Arial"/>
          <w:sz w:val="22"/>
          <w:szCs w:val="22"/>
          <w:color w:val="auto"/>
        </w:rPr>
        <w:t xml:space="preserve">” means those asset classes listed under heading “Asset Class” in Table I of the “Public Bonds” section of </w:t>
      </w:r>
      <w:r>
        <w:rPr>
          <w:rFonts w:ascii="Arial" w:cs="Arial" w:eastAsia="Arial" w:hAnsi="Arial"/>
          <w:sz w:val="22"/>
          <w:szCs w:val="22"/>
          <w:u w:val="single" w:color="auto"/>
          <w:color w:val="auto"/>
        </w:rPr>
        <w:t>Appendix 2.6</w:t>
      </w:r>
      <w:r>
        <w:rPr>
          <w:rFonts w:ascii="Arial" w:cs="Arial" w:eastAsia="Arial" w:hAnsi="Arial"/>
          <w:sz w:val="22"/>
          <w:szCs w:val="22"/>
          <w:color w:val="auto"/>
        </w:rPr>
        <w:t xml:space="preserve"> that are (</w:t>
      </w:r>
      <w:r>
        <w:rPr>
          <w:rFonts w:ascii="Arial" w:cs="Arial" w:eastAsia="Arial" w:hAnsi="Arial"/>
          <w:sz w:val="22"/>
          <w:szCs w:val="22"/>
          <w:u w:val="single" w:color="auto"/>
          <w:color w:val="auto"/>
        </w:rPr>
        <w:t>a</w:t>
      </w:r>
      <w:r>
        <w:rPr>
          <w:rFonts w:ascii="Arial" w:cs="Arial" w:eastAsia="Arial" w:hAnsi="Arial"/>
          <w:sz w:val="22"/>
          <w:szCs w:val="22"/>
          <w:color w:val="auto"/>
        </w:rPr>
        <w:t>) registered under the Securities Act of 1933 or (</w:t>
      </w:r>
      <w:r>
        <w:rPr>
          <w:rFonts w:ascii="Arial" w:cs="Arial" w:eastAsia="Arial" w:hAnsi="Arial"/>
          <w:sz w:val="22"/>
          <w:szCs w:val="22"/>
          <w:u w:val="single" w:color="auto"/>
          <w:color w:val="auto"/>
        </w:rPr>
        <w:t>b</w:t>
      </w:r>
      <w:r>
        <w:rPr>
          <w:rFonts w:ascii="Arial" w:cs="Arial" w:eastAsia="Arial" w:hAnsi="Arial"/>
          <w:sz w:val="22"/>
          <w:szCs w:val="22"/>
          <w:color w:val="auto"/>
        </w:rPr>
        <w:t>) (</w:t>
      </w:r>
      <w:r>
        <w:rPr>
          <w:rFonts w:ascii="Arial" w:cs="Arial" w:eastAsia="Arial" w:hAnsi="Arial"/>
          <w:sz w:val="22"/>
          <w:szCs w:val="22"/>
          <w:u w:val="single" w:color="auto"/>
          <w:color w:val="auto"/>
        </w:rPr>
        <w:t>i</w:t>
      </w:r>
      <w:r>
        <w:rPr>
          <w:rFonts w:ascii="Arial" w:cs="Arial" w:eastAsia="Arial" w:hAnsi="Arial"/>
          <w:sz w:val="22"/>
          <w:szCs w:val="22"/>
          <w:color w:val="auto"/>
        </w:rPr>
        <w:t>) traded</w:t>
      </w:r>
    </w:p>
    <w:p>
      <w:pPr>
        <w:sectPr>
          <w:pgSz w:w="11900" w:h="16838" w:orient="portrait"/>
          <w:cols w:equalWidth="0" w:num="1">
            <w:col w:w="11420"/>
          </w:cols>
          <w:pgMar w:left="240" w:top="807" w:right="239" w:bottom="92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807" w:right="239" w:bottom="920" w:gutter="0" w:footer="0" w:header="0"/>
          <w:type w:val="continuous"/>
        </w:sectPr>
      </w:pPr>
    </w:p>
    <w:bookmarkStart w:id="110" w:name="page111"/>
    <w:bookmarkEnd w:id="110"/>
    <w:p>
      <w:pPr>
        <w:jc w:val="both"/>
        <w:spacing w:after="0" w:line="250" w:lineRule="auto"/>
        <w:rPr>
          <w:sz w:val="20"/>
          <w:szCs w:val="20"/>
          <w:color w:val="auto"/>
        </w:rPr>
      </w:pPr>
      <w:r>
        <w:rPr>
          <w:rFonts w:ascii="Arial" w:cs="Arial" w:eastAsia="Arial" w:hAnsi="Arial"/>
          <w:sz w:val="22"/>
          <w:szCs w:val="22"/>
          <w:color w:val="auto"/>
        </w:rPr>
        <w:t>pursuant to the Rule 144A exemption from the Securities Act of 1933 and the regulations issued thereunder and (</w:t>
      </w:r>
      <w:r>
        <w:rPr>
          <w:rFonts w:ascii="Arial" w:cs="Arial" w:eastAsia="Arial" w:hAnsi="Arial"/>
          <w:sz w:val="22"/>
          <w:szCs w:val="22"/>
          <w:u w:val="single" w:color="auto"/>
          <w:color w:val="auto"/>
        </w:rPr>
        <w:t>ii</w:t>
      </w:r>
      <w:r>
        <w:rPr>
          <w:rFonts w:ascii="Arial" w:cs="Arial" w:eastAsia="Arial" w:hAnsi="Arial"/>
          <w:sz w:val="22"/>
          <w:szCs w:val="22"/>
          <w:color w:val="auto"/>
        </w:rPr>
        <w:t>) containing registration rights in favor of the holder of such note or obligation that are effective within one year of the date of transfer, it being understood that Public Bonds may be of any maturity, but do not include preferred stocks, hybrids, convertibles or tax-exempt municipal bonds.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QPAM</w:t>
      </w:r>
      <w:r>
        <w:rPr>
          <w:rFonts w:ascii="Arial" w:cs="Arial" w:eastAsia="Arial" w:hAnsi="Arial"/>
          <w:sz w:val="22"/>
          <w:szCs w:val="22"/>
          <w:color w:val="auto"/>
        </w:rPr>
        <w:t>” means a Qualified Professional Asset Manager within the meaning of the U.S. Department of Labor Prohibited Transaction Class Exemption 84-14.</w:t>
      </w:r>
    </w:p>
    <w:p>
      <w:pPr>
        <w:spacing w:after="0" w:line="391" w:lineRule="exact"/>
        <w:rPr>
          <w:sz w:val="20"/>
          <w:szCs w:val="20"/>
          <w:color w:val="auto"/>
        </w:rPr>
      </w:pPr>
    </w:p>
    <w:p>
      <w:pPr>
        <w:ind w:left="660"/>
        <w:spacing w:after="0"/>
        <w:tabs>
          <w:tab w:leader="none" w:pos="1560" w:val="left"/>
          <w:tab w:leader="none" w:pos="2260" w:val="left"/>
          <w:tab w:leader="none" w:pos="3840" w:val="left"/>
          <w:tab w:leader="none" w:pos="454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RBC</w:t>
      </w:r>
      <w:r>
        <w:rPr>
          <w:rFonts w:ascii="Arial" w:cs="Arial" w:eastAsia="Arial" w:hAnsi="Arial"/>
          <w:sz w:val="22"/>
          <w:szCs w:val="22"/>
          <w:color w:val="auto"/>
        </w:rPr>
        <w:t xml:space="preserve"> [</w:t>
        <w:tab/>
        <w:t>***</w:t>
      </w:r>
      <w:r>
        <w:rPr>
          <w:sz w:val="20"/>
          <w:szCs w:val="20"/>
          <w:color w:val="auto"/>
        </w:rPr>
        <w:tab/>
      </w:r>
      <w:r>
        <w:rPr>
          <w:rFonts w:ascii="Arial" w:cs="Arial" w:eastAsia="Arial" w:hAnsi="Arial"/>
          <w:sz w:val="22"/>
          <w:szCs w:val="22"/>
          <w:color w:val="auto"/>
        </w:rPr>
        <w:t>]” means the “[</w:t>
        <w:tab/>
        <w:t>***</w:t>
      </w:r>
      <w:r>
        <w:rPr>
          <w:sz w:val="20"/>
          <w:szCs w:val="20"/>
          <w:color w:val="auto"/>
        </w:rPr>
        <w:tab/>
      </w:r>
      <w:r>
        <w:rPr>
          <w:rFonts w:ascii="Arial" w:cs="Arial" w:eastAsia="Arial" w:hAnsi="Arial"/>
          <w:sz w:val="19"/>
          <w:szCs w:val="19"/>
          <w:color w:val="auto"/>
        </w:rPr>
        <w:t xml:space="preserve">]” described in </w:t>
      </w:r>
      <w:r>
        <w:rPr>
          <w:rFonts w:ascii="Arial" w:cs="Arial" w:eastAsia="Arial" w:hAnsi="Arial"/>
          <w:sz w:val="19"/>
          <w:szCs w:val="19"/>
          <w:u w:val="single" w:color="auto"/>
          <w:color w:val="auto"/>
        </w:rPr>
        <w:t>Appendix 6.6</w:t>
      </w:r>
      <w:r>
        <w:rPr>
          <w:rFonts w:ascii="Arial" w:cs="Arial" w:eastAsia="Arial" w:hAnsi="Arial"/>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RBC Ratio</w:t>
      </w:r>
      <w:r>
        <w:rPr>
          <w:rFonts w:ascii="Arial" w:cs="Arial" w:eastAsia="Arial" w:hAnsi="Arial"/>
          <w:sz w:val="22"/>
          <w:szCs w:val="22"/>
          <w:color w:val="auto"/>
        </w:rPr>
        <w:t>” means the risk-based capital ratio of the Insurer, which shall be calculated in a manner consistent with the requirements and methodologies prescribed under New Jersey Law, as applied by the Insurer in the ordinary course of its business, consistent with its historic practice.</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80" w:val="left"/>
          <w:tab w:leader="none" w:pos="17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 is defined in Section F of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in respect of any Person that is an entity, such Person's officers, directors, employees, advisors and agents.</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Re-Pricing Offer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Re-Pricing Request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6.6(c)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Base Annuity Premium</w:t>
      </w:r>
      <w:r>
        <w:rPr>
          <w:rFonts w:ascii="Arial" w:cs="Arial" w:eastAsia="Arial" w:hAnsi="Arial"/>
          <w:sz w:val="22"/>
          <w:szCs w:val="22"/>
          <w:color w:val="auto"/>
        </w:rPr>
        <w:t>” means an amount equal to the Non-Solicited Annuity Premium plus the Non-Electing Base Annuity Premium.</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Certification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Preliminary CMA Adjustment</w:t>
      </w:r>
      <w:r>
        <w:rPr>
          <w:rFonts w:ascii="Arial" w:cs="Arial" w:eastAsia="Arial" w:hAnsi="Arial"/>
          <w:sz w:val="22"/>
          <w:szCs w:val="22"/>
          <w:color w:val="auto"/>
        </w:rPr>
        <w:t>” means the adjustment applied to the Revised Preliminary Closing Premium, with respect to the period from the DTFA Pricing Date through the close of business on the day that is two (2) Business Days prior to the Target Closing Date, stated as a percentage and calculated in accordance with the methodology and procedures set forth in Section F of the Procedures Manual.</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Preliminary Closing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2.8(c)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Revised Preliminary</w:t>
      </w:r>
      <w:r>
        <w:rPr>
          <w:rFonts w:ascii="Arial" w:cs="Arial" w:eastAsia="Arial" w:hAnsi="Arial"/>
          <w:sz w:val="19"/>
          <w:szCs w:val="19"/>
          <w:color w:val="auto"/>
        </w:rPr>
        <w:t xml:space="preserve"> [ *** ] </w:t>
      </w:r>
      <w:r>
        <w:rPr>
          <w:rFonts w:ascii="Arial" w:cs="Arial" w:eastAsia="Arial" w:hAnsi="Arial"/>
          <w:sz w:val="19"/>
          <w:szCs w:val="19"/>
          <w:u w:val="single" w:color="auto"/>
          <w:color w:val="auto"/>
        </w:rPr>
        <w:t>Adjustment</w:t>
      </w:r>
      <w:r>
        <w:rPr>
          <w:rFonts w:ascii="Arial" w:cs="Arial" w:eastAsia="Arial" w:hAnsi="Arial"/>
          <w:sz w:val="19"/>
          <w:szCs w:val="19"/>
          <w:color w:val="auto"/>
        </w:rPr>
        <w:t>” means the total dollar price adjustment to the Revised Preliminary Closing Premium, as calculated in accordance with the methodology and procedures set forth in Section I of the Procedures Manual.</w:t>
      </w:r>
    </w:p>
    <w:p>
      <w:pPr>
        <w:spacing w:after="0" w:line="32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Revised Preliminary PFS Adjustment</w:t>
      </w:r>
      <w:r>
        <w:rPr>
          <w:rFonts w:ascii="Arial" w:cs="Arial" w:eastAsia="Arial" w:hAnsi="Arial"/>
          <w:sz w:val="19"/>
          <w:szCs w:val="19"/>
          <w:color w:val="auto"/>
        </w:rPr>
        <w:t>” means the adjustment to the Revised Preliminary Closing Premium stated as a percentage and calculated in accordance with the methodology and procedures set forth in Section H of the Procedures Manual.</w:t>
      </w:r>
    </w:p>
    <w:p>
      <w:pPr>
        <w:spacing w:after="0" w:line="3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Preliminary SCA Adjustment</w:t>
      </w:r>
      <w:r>
        <w:rPr>
          <w:rFonts w:ascii="Arial" w:cs="Arial" w:eastAsia="Arial" w:hAnsi="Arial"/>
          <w:sz w:val="22"/>
          <w:szCs w:val="22"/>
          <w:color w:val="auto"/>
        </w:rPr>
        <w:t>” means the adjustment applied to the Revised Preliminary Closing Premium, with respect to the period from the DTFA Pricing Date through the close of business on the day that is two (2) Business Days prior to the Target Closing Date, stated as a percentage and calculated in accordance with the methodology and procedures set forth in Section G of the Procedures Manual.</w:t>
      </w:r>
    </w:p>
    <w:p>
      <w:pPr>
        <w:sectPr>
          <w:pgSz w:w="11900" w:h="16838" w:orient="portrait"/>
          <w:cols w:equalWidth="0" w:num="1">
            <w:col w:w="11420"/>
          </w:cols>
          <w:pgMar w:left="240" w:top="807" w:right="239" w:bottom="88" w:gutter="0" w:footer="0" w:header="0"/>
        </w:sectPr>
      </w:pP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080" w:val="left"/>
          <w:tab w:leader="none" w:pos="17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 is defined in Section F of the Procedures Manual.</w:t>
      </w:r>
    </w:p>
    <w:p>
      <w:pPr>
        <w:sectPr>
          <w:pgSz w:w="11900" w:h="16838" w:orient="portrait"/>
          <w:cols w:equalWidth="0" w:num="1">
            <w:col w:w="11420"/>
          </w:cols>
          <w:pgMar w:left="240" w:top="807" w:right="239" w:bottom="88"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125" w:right="1440" w:bottom="1440" w:gutter="0" w:footer="0" w:header="0"/>
        </w:sectPr>
      </w:pPr>
    </w:p>
    <w:bookmarkStart w:id="112" w:name="page113"/>
    <w:bookmarkEnd w:id="112"/>
    <w:p>
      <w:pPr>
        <w:ind w:left="660"/>
        <w:spacing w:after="0"/>
        <w:tabs>
          <w:tab w:leader="none" w:pos="1080" w:val="left"/>
          <w:tab w:leader="none" w:pos="17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 is defined in Section F of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SCA Adjustment</w:t>
      </w:r>
      <w:r>
        <w:rPr>
          <w:rFonts w:ascii="Arial" w:cs="Arial" w:eastAsia="Arial" w:hAnsi="Arial"/>
          <w:sz w:val="22"/>
          <w:szCs w:val="22"/>
          <w:color w:val="auto"/>
        </w:rPr>
        <w:t>” means, as of the dates as provided in this Agreement, the adjustment that would be applied to the Closing Final Premium if the Closing were to occur on such date, with respect to the period from the DTFA Pricing Date through the close of business on the last Business Day prior to such date, stated as a percentage and calculated in accordance with the methodology and procedures set forth in Section G of the Procedures Manual</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 ]” is defined in the introduction section of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Signing Classification Errors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Single Life Mortality Correction</w:t>
      </w:r>
      <w:r>
        <w:rPr>
          <w:rFonts w:ascii="Arial" w:cs="Arial" w:eastAsia="Arial" w:hAnsi="Arial"/>
          <w:sz w:val="22"/>
          <w:szCs w:val="22"/>
          <w:color w:val="auto"/>
        </w:rPr>
        <w:t>” means the adjustment to the Dry-Run Post-Solicitation Premiums, the Preliminary Post-Solicitation Premium, the Interim Post-Closing Post-Solicitation Premium or the Post-Closing Post-Solicitation Premium, as applicable, as calculated in accordance with the methodologies and procedures set forth in Section B of the Procedures Manual, as a result of a data correction respecting the death of a Covered Life who elected a Single Life Annuity that occurred on or before the Annuity Commencement Date.</w:t>
      </w:r>
    </w:p>
    <w:p>
      <w:pPr>
        <w:spacing w:after="0" w:line="379"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200" w:type="dxa"/>
            <w:vAlign w:val="bottom"/>
            <w:gridSpan w:val="4"/>
          </w:tcPr>
          <w:p>
            <w:pPr>
              <w:spacing w:after="0"/>
              <w:rPr>
                <w:sz w:val="20"/>
                <w:szCs w:val="20"/>
                <w:color w:val="auto"/>
              </w:rPr>
            </w:pPr>
            <w:r>
              <w:rPr>
                <w:rFonts w:ascii="Arial" w:cs="Arial" w:eastAsia="Arial" w:hAnsi="Arial"/>
                <w:sz w:val="22"/>
                <w:szCs w:val="22"/>
                <w:color w:val="auto"/>
                <w:w w:val="93"/>
              </w:rPr>
              <w:t>“Solicited Adjusted Annuity Premium” means [</w:t>
            </w:r>
          </w:p>
        </w:tc>
        <w:tc>
          <w:tcPr>
            <w:tcW w:w="7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5480" w:type="dxa"/>
            <w:vAlign w:val="bottom"/>
            <w:gridSpan w:val="5"/>
          </w:tcPr>
          <w:p>
            <w:pPr>
              <w:ind w:left="180"/>
              <w:spacing w:after="0"/>
              <w:rPr>
                <w:sz w:val="20"/>
                <w:szCs w:val="20"/>
                <w:color w:val="auto"/>
              </w:rPr>
            </w:pPr>
            <w:r>
              <w:rPr>
                <w:rFonts w:ascii="Arial" w:cs="Arial" w:eastAsia="Arial" w:hAnsi="Arial"/>
                <w:sz w:val="22"/>
                <w:szCs w:val="22"/>
                <w:color w:val="auto"/>
                <w:w w:val="87"/>
              </w:rPr>
              <w:t>], as the same may be revised in accordance with Section 2.4.</w:t>
            </w:r>
          </w:p>
        </w:tc>
      </w:tr>
      <w:tr>
        <w:trPr>
          <w:trHeight w:val="20"/>
        </w:trPr>
        <w:tc>
          <w:tcPr>
            <w:tcW w:w="1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9"/>
        </w:trPr>
        <w:tc>
          <w:tcPr>
            <w:tcW w:w="4200" w:type="dxa"/>
            <w:vAlign w:val="bottom"/>
            <w:gridSpan w:val="4"/>
          </w:tcPr>
          <w:p>
            <w:pPr>
              <w:spacing w:after="0"/>
              <w:rPr>
                <w:sz w:val="20"/>
                <w:szCs w:val="20"/>
                <w:color w:val="auto"/>
              </w:rPr>
            </w:pPr>
            <w:r>
              <w:rPr>
                <w:rFonts w:ascii="Arial" w:cs="Arial" w:eastAsia="Arial" w:hAnsi="Arial"/>
                <w:sz w:val="22"/>
                <w:szCs w:val="22"/>
                <w:color w:val="auto"/>
              </w:rPr>
              <w:t>“Solicited Annuity Premium” means [   ***</w:t>
            </w:r>
          </w:p>
        </w:tc>
        <w:tc>
          <w:tcPr>
            <w:tcW w:w="6200" w:type="dxa"/>
            <w:vAlign w:val="bottom"/>
            <w:gridSpan w:val="6"/>
          </w:tcPr>
          <w:p>
            <w:pPr>
              <w:ind w:left="60"/>
              <w:spacing w:after="0"/>
              <w:rPr>
                <w:sz w:val="20"/>
                <w:szCs w:val="20"/>
                <w:color w:val="auto"/>
              </w:rPr>
            </w:pPr>
            <w:r>
              <w:rPr>
                <w:rFonts w:ascii="Arial" w:cs="Arial" w:eastAsia="Arial" w:hAnsi="Arial"/>
                <w:sz w:val="22"/>
                <w:szCs w:val="22"/>
                <w:color w:val="auto"/>
              </w:rPr>
              <w:t>], as the same may be revised in accordance with Section 2.4.</w:t>
            </w:r>
          </w:p>
        </w:tc>
      </w:tr>
      <w:tr>
        <w:trPr>
          <w:trHeight w:val="20"/>
        </w:trPr>
        <w:tc>
          <w:tcPr>
            <w:tcW w:w="1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Electing Lives</w:t>
      </w:r>
      <w:r>
        <w:rPr>
          <w:rFonts w:ascii="Arial" w:cs="Arial" w:eastAsia="Arial" w:hAnsi="Arial"/>
          <w:sz w:val="22"/>
          <w:szCs w:val="22"/>
          <w:color w:val="auto"/>
        </w:rPr>
        <w:t>” means the Solicited Lives who make a Lump-Sum Election.</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Lives</w:t>
      </w:r>
      <w:r>
        <w:rPr>
          <w:rFonts w:ascii="Arial" w:cs="Arial" w:eastAsia="Arial" w:hAnsi="Arial"/>
          <w:sz w:val="22"/>
          <w:szCs w:val="22"/>
          <w:color w:val="auto"/>
        </w:rPr>
        <w:t>” means those Priced Lives who will be offered the Lump-Sum Election in connection with the Lump-Sum Solicitation, it being understood that, as the context may require, a Priced Life shall be considered a Solicited Life with respect to the portion of his or her benefit that is eligible for a Lump-Sum Solicitation.</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Non-Electing Lives</w:t>
      </w:r>
      <w:r>
        <w:rPr>
          <w:rFonts w:ascii="Arial" w:cs="Arial" w:eastAsia="Arial" w:hAnsi="Arial"/>
          <w:sz w:val="22"/>
          <w:szCs w:val="22"/>
          <w:color w:val="auto"/>
        </w:rPr>
        <w:t>” means those Solicited Lives who do not make a Lump-Sum Election.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Termination</w:t>
      </w:r>
      <w:r>
        <w:rPr>
          <w:rFonts w:ascii="Arial" w:cs="Arial" w:eastAsia="Arial" w:hAnsi="Arial"/>
          <w:sz w:val="22"/>
          <w:szCs w:val="22"/>
          <w:color w:val="auto"/>
        </w:rPr>
        <w:t>” means a termination described in ERISA § 4041(b).</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Basis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Reserves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Person with respect to which the subject Person owns, directly or indirectly, at least 50% of the outstanding equity interests, voting rights or profits interests or otherwise has the right to control or direct the business affairs of such Person (whether by board representation or otherwise).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Closing Date</w:t>
      </w:r>
      <w:r>
        <w:rPr>
          <w:rFonts w:ascii="Arial" w:cs="Arial" w:eastAsia="Arial" w:hAnsi="Arial"/>
          <w:sz w:val="22"/>
          <w:szCs w:val="22"/>
          <w:color w:val="auto"/>
        </w:rPr>
        <w:t>” means (</w:t>
      </w:r>
      <w:r>
        <w:rPr>
          <w:rFonts w:ascii="Arial" w:cs="Arial" w:eastAsia="Arial" w:hAnsi="Arial"/>
          <w:sz w:val="22"/>
          <w:szCs w:val="22"/>
          <w:u w:val="single" w:color="auto"/>
          <w:color w:val="auto"/>
        </w:rPr>
        <w:t>i</w:t>
      </w:r>
      <w:r>
        <w:rPr>
          <w:rFonts w:ascii="Arial" w:cs="Arial" w:eastAsia="Arial" w:hAnsi="Arial"/>
          <w:sz w:val="22"/>
          <w:szCs w:val="22"/>
          <w:color w:val="auto"/>
        </w:rPr>
        <w:t>) if the Form 500 has been filed with the PBGC on or prior to August 31, 2012: November 1, 2012; (</w:t>
      </w:r>
      <w:r>
        <w:rPr>
          <w:rFonts w:ascii="Arial" w:cs="Arial" w:eastAsia="Arial" w:hAnsi="Arial"/>
          <w:sz w:val="22"/>
          <w:szCs w:val="22"/>
          <w:u w:val="single" w:color="auto"/>
          <w:color w:val="auto"/>
        </w:rPr>
        <w:t>ii</w:t>
      </w:r>
      <w:r>
        <w:rPr>
          <w:rFonts w:ascii="Arial" w:cs="Arial" w:eastAsia="Arial" w:hAnsi="Arial"/>
          <w:sz w:val="22"/>
          <w:szCs w:val="22"/>
          <w:color w:val="auto"/>
        </w:rPr>
        <w:t>) if the Form 500 has been filed with the PBGC after August 31, 2012 and prior to October 1, 2012: December 3, 2012; or (</w:t>
      </w:r>
      <w:r>
        <w:rPr>
          <w:rFonts w:ascii="Arial" w:cs="Arial" w:eastAsia="Arial" w:hAnsi="Arial"/>
          <w:sz w:val="22"/>
          <w:szCs w:val="22"/>
          <w:u w:val="single" w:color="auto"/>
          <w:color w:val="auto"/>
        </w:rPr>
        <w:t>iii</w:t>
      </w:r>
      <w:r>
        <w:rPr>
          <w:rFonts w:ascii="Arial" w:cs="Arial" w:eastAsia="Arial" w:hAnsi="Arial"/>
          <w:sz w:val="22"/>
          <w:szCs w:val="22"/>
          <w:color w:val="auto"/>
        </w:rPr>
        <w:t>) otherwise such other date on or prior to the Outside</w:t>
      </w:r>
    </w:p>
    <w:p>
      <w:pPr>
        <w:sectPr>
          <w:pgSz w:w="11900" w:h="16838" w:orient="portrait"/>
          <w:cols w:equalWidth="0" w:num="1">
            <w:col w:w="11420"/>
          </w:cols>
          <w:pgMar w:left="240" w:top="807" w:right="239" w:bottom="217"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807" w:right="239" w:bottom="217" w:gutter="0" w:footer="0" w:header="0"/>
          <w:type w:val="continuous"/>
        </w:sectPr>
      </w:pPr>
    </w:p>
    <w:bookmarkStart w:id="113" w:name="page114"/>
    <w:bookmarkEnd w:id="113"/>
    <w:p>
      <w:pPr>
        <w:spacing w:after="0"/>
        <w:rPr>
          <w:sz w:val="20"/>
          <w:szCs w:val="20"/>
          <w:color w:val="auto"/>
        </w:rPr>
      </w:pPr>
      <w:r>
        <w:rPr>
          <w:rFonts w:ascii="Arial" w:cs="Arial" w:eastAsia="Arial" w:hAnsi="Arial"/>
          <w:sz w:val="22"/>
          <w:szCs w:val="22"/>
          <w:color w:val="auto"/>
        </w:rPr>
        <w:t>Date, that the Insurer, the Company and the Independent Fiduciary may mutually agree.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Closing Date Adjustment</w:t>
      </w:r>
      <w:r>
        <w:rPr>
          <w:rFonts w:ascii="Arial" w:cs="Arial" w:eastAsia="Arial" w:hAnsi="Arial"/>
          <w:sz w:val="22"/>
          <w:szCs w:val="22"/>
          <w:color w:val="auto"/>
        </w:rPr>
        <w:t>” means the adjustment to the Dry-Run Closing Premiums, the Preliminary Closing Premium and the Revised Preliminary Closing Premium, stated as a percentage and calculated in accordance with the methodology and procedures set forth in Section E of the Procedures Manual.</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Qualified</w:t>
      </w:r>
      <w:r>
        <w:rPr>
          <w:rFonts w:ascii="Arial" w:cs="Arial" w:eastAsia="Arial" w:hAnsi="Arial"/>
          <w:sz w:val="22"/>
          <w:szCs w:val="22"/>
          <w:color w:val="auto"/>
        </w:rPr>
        <w:t>” means qualified by the Code for preferential tax treatment under Code §§ 401(a) and 501(a).</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Position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TCF</w:t>
      </w:r>
      <w:r>
        <w:rPr>
          <w:rFonts w:ascii="Arial" w:cs="Arial" w:eastAsia="Arial" w:hAnsi="Arial"/>
          <w:sz w:val="19"/>
          <w:szCs w:val="19"/>
          <w:color w:val="auto"/>
        </w:rPr>
        <w:t xml:space="preserve">” is an amount that is payable in accordance with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is defined in Section J of the Procedures Manual.</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w:t>
      </w:r>
      <w:r>
        <w:rPr>
          <w:rFonts w:ascii="Arial" w:cs="Arial" w:eastAsia="Arial" w:hAnsi="Arial"/>
          <w:sz w:val="22"/>
          <w:szCs w:val="22"/>
          <w:color w:val="auto"/>
        </w:rPr>
        <w:t>” means the transaction contemplated to close on the Closing Date by this Agreement.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Announcements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MAC</w:t>
      </w:r>
      <w:r>
        <w:rPr>
          <w:rFonts w:ascii="Arial" w:cs="Arial" w:eastAsia="Arial" w:hAnsi="Arial"/>
          <w:sz w:val="22"/>
          <w:szCs w:val="22"/>
          <w:color w:val="auto"/>
        </w:rPr>
        <w:t>” means the occurrence of any fact, circumstance, change, development, condition or event subsequent to the DTFA Execution Date that, individually or in the aggregate, would or would reasonably be expected to result in the Liquidity Requirement of the Transaction exceeding the Liquidity Cap.</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Assets</w:t>
      </w:r>
      <w:r>
        <w:rPr>
          <w:rFonts w:ascii="Arial" w:cs="Arial" w:eastAsia="Arial" w:hAnsi="Arial"/>
          <w:sz w:val="22"/>
          <w:szCs w:val="22"/>
          <w:color w:val="auto"/>
        </w:rPr>
        <w:t>” means the assets included in the Final Plan Portfolio, and any Transferred Liabilities associated with those assets.</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Assets Schedule</w:t>
      </w:r>
      <w:r>
        <w:rPr>
          <w:rFonts w:ascii="Arial" w:cs="Arial" w:eastAsia="Arial" w:hAnsi="Arial"/>
          <w:sz w:val="22"/>
          <w:szCs w:val="22"/>
          <w:color w:val="auto"/>
        </w:rPr>
        <w:t xml:space="preserve">” means the statement of Transferred Assets in the form of the Schedule of Transferred Assets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produced in accordance with </w:t>
      </w:r>
      <w:r>
        <w:rPr>
          <w:rFonts w:ascii="Arial" w:cs="Arial" w:eastAsia="Arial" w:hAnsi="Arial"/>
          <w:sz w:val="22"/>
          <w:szCs w:val="22"/>
          <w:u w:val="single" w:color="auto"/>
          <w:color w:val="auto"/>
        </w:rPr>
        <w:t>Section 2.9(a)</w:t>
      </w:r>
      <w:r>
        <w:rPr>
          <w:rFonts w:ascii="Arial" w:cs="Arial" w:eastAsia="Arial" w:hAnsi="Arial"/>
          <w:sz w:val="22"/>
          <w:szCs w:val="22"/>
          <w:color w:val="auto"/>
        </w:rPr>
        <w:t xml:space="preserve"> and updated in accordance with </w:t>
      </w:r>
      <w:r>
        <w:rPr>
          <w:rFonts w:ascii="Arial" w:cs="Arial" w:eastAsia="Arial" w:hAnsi="Arial"/>
          <w:sz w:val="22"/>
          <w:szCs w:val="22"/>
          <w:u w:val="single" w:color="auto"/>
          <w:color w:val="auto"/>
        </w:rPr>
        <w:t>Section 2.10(b)(iii)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2.11(c)(iii)</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Liabilities</w:t>
      </w:r>
      <w:r>
        <w:rPr>
          <w:rFonts w:ascii="Arial" w:cs="Arial" w:eastAsia="Arial" w:hAnsi="Arial"/>
          <w:sz w:val="22"/>
          <w:szCs w:val="22"/>
          <w:color w:val="auto"/>
        </w:rPr>
        <w:t xml:space="preserve">” means any and all expenses, obligations and other Liabilities relating to the ownership of any Transferred Asset, including [ *** ]. [ *** ] are set forth on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Uncovered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9.2(c)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Interpretation</w:t>
      </w:r>
      <w:r>
        <w:rPr>
          <w:rFonts w:ascii="Arial" w:cs="Arial" w:eastAsia="Arial" w:hAnsi="Arial"/>
          <w:sz w:val="22"/>
          <w:szCs w:val="22"/>
          <w:color w:val="auto"/>
        </w:rPr>
        <w:t>.</w:t>
      </w:r>
    </w:p>
    <w:p>
      <w:pPr>
        <w:spacing w:after="0" w:line="260" w:lineRule="exact"/>
        <w:rPr>
          <w:sz w:val="20"/>
          <w:szCs w:val="20"/>
          <w:color w:val="auto"/>
        </w:rPr>
      </w:pPr>
    </w:p>
    <w:p>
      <w:pPr>
        <w:ind w:firstLine="656"/>
        <w:spacing w:after="0" w:line="343" w:lineRule="auto"/>
        <w:tabs>
          <w:tab w:leader="none" w:pos="1536" w:val="left"/>
        </w:tabs>
        <w:numPr>
          <w:ilvl w:val="0"/>
          <w:numId w:val="46"/>
        </w:numPr>
        <w:rPr>
          <w:rFonts w:ascii="Arial" w:cs="Arial" w:eastAsia="Arial" w:hAnsi="Arial"/>
          <w:sz w:val="19"/>
          <w:szCs w:val="19"/>
          <w:color w:val="auto"/>
        </w:rPr>
      </w:pPr>
      <w:r>
        <w:rPr>
          <w:rFonts w:ascii="Arial" w:cs="Arial" w:eastAsia="Arial" w:hAnsi="Arial"/>
          <w:sz w:val="19"/>
          <w:szCs w:val="19"/>
          <w:color w:val="auto"/>
        </w:rPr>
        <w:t>Whenever the words “include,” “includes” or “including” are used in this Agreement they shall be deemed to be followed by the words “without limitation.” The use of “or” is not intended to be exclusive unless expressly indicated otherwise.</w:t>
      </w:r>
    </w:p>
    <w:p>
      <w:pPr>
        <w:spacing w:after="0" w:line="145"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46"/>
        </w:numPr>
        <w:rPr>
          <w:rFonts w:ascii="Arial" w:cs="Arial" w:eastAsia="Arial" w:hAnsi="Arial"/>
          <w:sz w:val="22"/>
          <w:szCs w:val="22"/>
          <w:color w:val="auto"/>
        </w:rPr>
      </w:pPr>
      <w:r>
        <w:rPr>
          <w:rFonts w:ascii="Arial" w:cs="Arial" w:eastAsia="Arial" w:hAnsi="Arial"/>
          <w:sz w:val="22"/>
          <w:szCs w:val="22"/>
          <w:color w:val="auto"/>
        </w:rPr>
        <w:t>Words denoting any gender shall include all genders. The meanings given to terms defined herein shall be equally applicable to both singular and plural forms of such terms. Where a word or phrase is defined herein, each of its other grammatical forms shall have a corresponding meaning.</w:t>
      </w:r>
    </w:p>
    <w:p>
      <w:pPr>
        <w:spacing w:after="0" w:line="226" w:lineRule="exact"/>
        <w:rPr>
          <w:rFonts w:ascii="Arial" w:cs="Arial" w:eastAsia="Arial" w:hAnsi="Arial"/>
          <w:sz w:val="22"/>
          <w:szCs w:val="22"/>
          <w:color w:val="auto"/>
        </w:rPr>
      </w:pPr>
    </w:p>
    <w:p>
      <w:pPr>
        <w:ind w:left="1540" w:hanging="884"/>
        <w:spacing w:after="0"/>
        <w:tabs>
          <w:tab w:leader="none" w:pos="15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Appendices, Exhibits and Disclosure Letters to this Agreement, the Procedures Manual</w:t>
      </w:r>
    </w:p>
    <w:p>
      <w:pPr>
        <w:sectPr>
          <w:pgSz w:w="11900" w:h="16838" w:orient="portrait"/>
          <w:cols w:equalWidth="0" w:num="1">
            <w:col w:w="11420"/>
          </w:cols>
          <w:pgMar w:left="240" w:top="807"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07" w:right="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9"/>
          <w:szCs w:val="19"/>
          <w:color w:val="auto"/>
        </w:rPr>
        <w:t>and the Identified CD-ROM are incorporated by reference and made a part of this Agreement as if set forth fully in this Agreement.</w:t>
      </w:r>
    </w:p>
    <w:p>
      <w:pPr>
        <w:spacing w:after="0" w:line="295" w:lineRule="exact"/>
        <w:rPr>
          <w:sz w:val="20"/>
          <w:szCs w:val="20"/>
          <w:color w:val="auto"/>
        </w:rPr>
      </w:pPr>
    </w:p>
    <w:p>
      <w:pPr>
        <w:ind w:firstLine="656"/>
        <w:spacing w:after="0" w:line="263" w:lineRule="auto"/>
        <w:tabs>
          <w:tab w:leader="none" w:pos="1549"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reference to any party to this Agreement or any other agreement or document shall include such party's successors and permitted assigns.</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reference to any Law or to any provision of any Law shall include any amendment thereto, any modification or re-enactment thereof, any Law substituted therefor and all regulations and statutory instruments issued thereunder or pursuant thereto.</w:t>
      </w:r>
    </w:p>
    <w:p>
      <w:pPr>
        <w:spacing w:after="0" w:line="226" w:lineRule="exact"/>
        <w:rPr>
          <w:rFonts w:ascii="Arial" w:cs="Arial" w:eastAsia="Arial" w:hAnsi="Arial"/>
          <w:sz w:val="22"/>
          <w:szCs w:val="22"/>
          <w:color w:val="auto"/>
        </w:rPr>
      </w:pPr>
    </w:p>
    <w:p>
      <w:pPr>
        <w:ind w:firstLine="656"/>
        <w:spacing w:after="0" w:line="263" w:lineRule="auto"/>
        <w:tabs>
          <w:tab w:leader="none" w:pos="1512" w:val="left"/>
        </w:tabs>
        <w:numPr>
          <w:ilvl w:val="0"/>
          <w:numId w:val="47"/>
        </w:numPr>
        <w:rPr>
          <w:rFonts w:ascii="Arial" w:cs="Arial" w:eastAsia="Arial" w:hAnsi="Arial"/>
          <w:sz w:val="22"/>
          <w:szCs w:val="22"/>
          <w:color w:val="auto"/>
        </w:rPr>
      </w:pPr>
      <w:r>
        <w:rPr>
          <w:rFonts w:ascii="Arial" w:cs="Arial" w:eastAsia="Arial" w:hAnsi="Arial"/>
          <w:sz w:val="22"/>
          <w:szCs w:val="22"/>
          <w:color w:val="auto"/>
        </w:rPr>
        <w:t>All references to “$” and dollars shall refer to United States currency. All references to the word “days” shall refer to calendar days unless otherwise specified in a particular case.</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All references to any financial or accounting terms shall be defined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as to Insurer's accounting, the accounting terms shall be in accordance with relevant state insurance statutory accounting principles (including applicable permitted practices).</w:t>
      </w:r>
    </w:p>
    <w:p>
      <w:pPr>
        <w:spacing w:after="0" w:line="226"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47"/>
        </w:numPr>
        <w:rPr>
          <w:rFonts w:ascii="Arial" w:cs="Arial" w:eastAsia="Arial" w:hAnsi="Arial"/>
          <w:sz w:val="22"/>
          <w:szCs w:val="22"/>
          <w:color w:val="auto"/>
        </w:rPr>
      </w:pPr>
      <w:r>
        <w:rPr>
          <w:rFonts w:ascii="Arial" w:cs="Arial" w:eastAsia="Arial" w:hAnsi="Arial"/>
          <w:sz w:val="22"/>
          <w:szCs w:val="22"/>
          <w:color w:val="auto"/>
        </w:rPr>
        <w:t>Reference to any agreement (including this Agreement), document or instrument means such agreement, document or instrument as amended or modified and in effect from time to time in accordance with the terms thereof and, if applicable, the terms hereof.</w:t>
      </w:r>
    </w:p>
    <w:p>
      <w:pPr>
        <w:spacing w:after="0" w:line="226" w:lineRule="exact"/>
        <w:rPr>
          <w:rFonts w:ascii="Arial" w:cs="Arial" w:eastAsia="Arial" w:hAnsi="Arial"/>
          <w:sz w:val="22"/>
          <w:szCs w:val="22"/>
          <w:color w:val="auto"/>
        </w:rPr>
      </w:pPr>
    </w:p>
    <w:p>
      <w:pPr>
        <w:jc w:val="both"/>
        <w:ind w:firstLine="656"/>
        <w:spacing w:after="0" w:line="253" w:lineRule="auto"/>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and Section, Appendix, Exhibit, Schedule and Letter references are to this Agreement unless otherwise specified.</w:t>
      </w:r>
    </w:p>
    <w:p>
      <w:pPr>
        <w:spacing w:after="0" w:line="226" w:lineRule="exact"/>
        <w:rPr>
          <w:rFonts w:ascii="Arial" w:cs="Arial" w:eastAsia="Arial" w:hAnsi="Arial"/>
          <w:sz w:val="22"/>
          <w:szCs w:val="22"/>
          <w:color w:val="auto"/>
        </w:rPr>
      </w:pPr>
    </w:p>
    <w:p>
      <w:pPr>
        <w:jc w:val="both"/>
        <w:ind w:firstLine="656"/>
        <w:spacing w:after="0" w:line="248" w:lineRule="auto"/>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Parties each hereby acknowledge that (</w:t>
      </w:r>
      <w:r>
        <w:rPr>
          <w:rFonts w:ascii="Arial" w:cs="Arial" w:eastAsia="Arial" w:hAnsi="Arial"/>
          <w:sz w:val="22"/>
          <w:szCs w:val="22"/>
          <w:u w:val="single" w:color="auto"/>
          <w:color w:val="auto"/>
        </w:rPr>
        <w:t>i</w:t>
      </w:r>
      <w:r>
        <w:rPr>
          <w:rFonts w:ascii="Arial" w:cs="Arial" w:eastAsia="Arial" w:hAnsi="Arial"/>
          <w:sz w:val="22"/>
          <w:szCs w:val="22"/>
          <w:color w:val="auto"/>
        </w:rPr>
        <w:t>) the Parties jointly and equally participated in the drafting of this Agreement and all other agreements contemplated hereby, (</w:t>
      </w:r>
      <w:r>
        <w:rPr>
          <w:rFonts w:ascii="Arial" w:cs="Arial" w:eastAsia="Arial" w:hAnsi="Arial"/>
          <w:sz w:val="22"/>
          <w:szCs w:val="22"/>
          <w:u w:val="single" w:color="auto"/>
          <w:color w:val="auto"/>
        </w:rPr>
        <w:t>ii</w:t>
      </w:r>
      <w:r>
        <w:rPr>
          <w:rFonts w:ascii="Arial" w:cs="Arial" w:eastAsia="Arial" w:hAnsi="Arial"/>
          <w:sz w:val="22"/>
          <w:szCs w:val="22"/>
          <w:color w:val="auto"/>
        </w:rPr>
        <w:t>) the Parties have each been adequately represented and advised by legal counsel with respect to this Agreement and the transactions contemplated hereby, and (</w:t>
      </w:r>
      <w:r>
        <w:rPr>
          <w:rFonts w:ascii="Arial" w:cs="Arial" w:eastAsia="Arial" w:hAnsi="Arial"/>
          <w:sz w:val="22"/>
          <w:szCs w:val="22"/>
          <w:u w:val="single" w:color="auto"/>
          <w:color w:val="auto"/>
        </w:rPr>
        <w:t>iii</w:t>
      </w:r>
      <w:r>
        <w:rPr>
          <w:rFonts w:ascii="Arial" w:cs="Arial" w:eastAsia="Arial" w:hAnsi="Arial"/>
          <w:sz w:val="22"/>
          <w:szCs w:val="22"/>
          <w:color w:val="auto"/>
        </w:rPr>
        <w:t>) no presumption shall be made that any provision of this Agreement shall be construed against any Party by reason of such role in the drafting of this Agreement and any other agreement contemplated hereby.</w:t>
      </w:r>
    </w:p>
    <w:p>
      <w:pPr>
        <w:spacing w:after="0" w:line="232" w:lineRule="exact"/>
        <w:rPr>
          <w:rFonts w:ascii="Arial" w:cs="Arial" w:eastAsia="Arial" w:hAnsi="Arial"/>
          <w:sz w:val="22"/>
          <w:szCs w:val="22"/>
          <w:color w:val="auto"/>
        </w:rPr>
      </w:pPr>
    </w:p>
    <w:p>
      <w:pPr>
        <w:jc w:val="both"/>
        <w:ind w:firstLine="656"/>
        <w:spacing w:after="0" w:line="271" w:lineRule="auto"/>
        <w:tabs>
          <w:tab w:leader="none" w:pos="1549"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The Table of Contents and the headings of the Articles and Sections herein are inserted for convenience of reference only and are not intended to be a part of, or to affect the meaning or interpretation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1.2(k)</w:t>
      </w:r>
      <w:r>
        <w:rPr>
          <w:rFonts w:ascii="Arial" w:cs="Arial" w:eastAsia="Arial" w:hAnsi="Arial"/>
          <w:sz w:val="21"/>
          <w:szCs w:val="21"/>
          <w:color w:val="auto"/>
        </w:rPr>
        <w:t xml:space="preserve"> shall not apply to the Table of Contents and the headings in Procedures Manual.</w:t>
      </w:r>
    </w:p>
    <w:p>
      <w:pPr>
        <w:spacing w:after="0" w:line="208" w:lineRule="exact"/>
        <w:rPr>
          <w:rFonts w:ascii="Arial" w:cs="Arial" w:eastAsia="Arial" w:hAnsi="Arial"/>
          <w:sz w:val="21"/>
          <w:szCs w:val="21"/>
          <w:color w:val="auto"/>
        </w:rPr>
      </w:pPr>
    </w:p>
    <w:p>
      <w:pPr>
        <w:jc w:val="both"/>
        <w:ind w:firstLine="656"/>
        <w:spacing w:after="0" w:line="253" w:lineRule="auto"/>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there is any conflict between this Agreement (excluding the Procedures Manual and the Identified CD-ROM) and the Procedures Manual or the Identified CD-Rom, this Agreement (excluding the Procedures Manual and the Identified CD-ROM) shall control and govern in all respects.</w:t>
      </w:r>
    </w:p>
    <w:p>
      <w:pPr>
        <w:spacing w:after="0" w:line="226" w:lineRule="exact"/>
        <w:rPr>
          <w:rFonts w:ascii="Arial" w:cs="Arial" w:eastAsia="Arial" w:hAnsi="Arial"/>
          <w:sz w:val="22"/>
          <w:szCs w:val="22"/>
          <w:color w:val="auto"/>
        </w:rPr>
      </w:pPr>
    </w:p>
    <w:p>
      <w:pPr>
        <w:jc w:val="both"/>
        <w:ind w:firstLine="656"/>
        <w:spacing w:after="0" w:line="294" w:lineRule="auto"/>
        <w:tabs>
          <w:tab w:leader="none" w:pos="1608" w:val="left"/>
        </w:tabs>
        <w:numPr>
          <w:ilvl w:val="0"/>
          <w:numId w:val="47"/>
        </w:numPr>
        <w:rPr>
          <w:rFonts w:ascii="Arial" w:cs="Arial" w:eastAsia="Arial" w:hAnsi="Arial"/>
          <w:sz w:val="19"/>
          <w:szCs w:val="19"/>
          <w:color w:val="auto"/>
        </w:rPr>
      </w:pPr>
      <w:r>
        <w:rPr>
          <w:rFonts w:ascii="Arial" w:cs="Arial" w:eastAsia="Arial" w:hAnsi="Arial"/>
          <w:sz w:val="19"/>
          <w:szCs w:val="19"/>
          <w:color w:val="auto"/>
        </w:rPr>
        <w:t>All capitalized terms not defined in the Procedures Manual, any Disclosure Letter or any Appendix will have the meanings ascribed to them in this Agreement. The representations and warranties of the Company, the Independent Fiduciary, the Insurer and the Insurer Parent in this Agreement are made and given, and the covenants are agreed to, subject to the disclosures and exceptions set forth in their respective Disclosure Letters. The disclosure of any matter in any section of a Disclosure Letter shall be a disclosure for all purposes of this Agreement and all other sections of such Disclosure Letter to which such matter relates to the extent that the applicability of such matter to such other section of the Disclosure Letter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1" w:right="239" w:bottom="1440" w:gutter="0" w:footer="0" w:header="0"/>
        </w:sectPr>
      </w:pPr>
    </w:p>
    <w:bookmarkStart w:id="115" w:name="page116"/>
    <w:bookmarkEnd w:id="115"/>
    <w:p>
      <w:pPr>
        <w:jc w:val="both"/>
        <w:spacing w:after="0" w:line="288" w:lineRule="auto"/>
        <w:rPr>
          <w:sz w:val="20"/>
          <w:szCs w:val="20"/>
          <w:color w:val="auto"/>
        </w:rPr>
      </w:pPr>
      <w:r>
        <w:rPr>
          <w:rFonts w:ascii="Arial" w:cs="Arial" w:eastAsia="Arial" w:hAnsi="Arial"/>
          <w:sz w:val="19"/>
          <w:szCs w:val="19"/>
          <w:color w:val="auto"/>
        </w:rPr>
        <w:t>reasonably apparent on its face. The Disclosure Letters have been arranged in sections corresponding to the sections and paragraphs of this Agreement for the convenience of the Parties. The listing of any matter by the Company, the Independent Fiduciary or the Insurer in its Disclosure Letter shall expressly not constitute an admission by such Party, or to otherwise imply, that any such matter is material, is required to be disclosed under this Agreement or falls within relevant minimum thresholds or materiality standards set forth in this Agreement. No disclosure in a Disclosure Letter relating to any possible breach or violation of any contract or Law will be construed as an admission or indication that any such breach or violation exists or has actually occurred. In no event will the listing by the Company, the Independent Fiduciary or the Insurer of any matter in its Disclosure Letter expand the scope of such Party's representations, warranties or covenants set forth in this Agreement. All attachments to the Disclosure Letter are incorporated by reference into the Disclosure Letter in which they are directly or indirectly referenced. The information contained in the Disclosure Letter is in all events provided subject to the applicable Confidentiality Agreement.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OF SINGLE PREMIUM GROUP ANNUITY CONTRACT</w:t>
      </w:r>
    </w:p>
    <w:p>
      <w:pPr>
        <w:spacing w:after="0" w:line="236" w:lineRule="exact"/>
        <w:rPr>
          <w:sz w:val="20"/>
          <w:szCs w:val="20"/>
          <w:color w:val="auto"/>
        </w:rPr>
      </w:pPr>
    </w:p>
    <w:p>
      <w:pPr>
        <w:ind w:left="660" w:right="4740" w:hanging="652"/>
        <w:spacing w:after="0" w:line="476" w:lineRule="auto"/>
        <w:tabs>
          <w:tab w:leader="none" w:pos="40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Group Annuity Contract Issuance and Final Plan Portfolio Transfer </w:t>
      </w: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Closing</w:t>
      </w:r>
      <w:r>
        <w:rPr>
          <w:rFonts w:ascii="Arial" w:cs="Arial" w:eastAsia="Arial" w:hAnsi="Arial"/>
          <w:sz w:val="22"/>
          <w:szCs w:val="22"/>
          <w:color w:val="auto"/>
        </w:rPr>
        <w:t>.</w:t>
      </w:r>
    </w:p>
    <w:p>
      <w:pPr>
        <w:spacing w:after="0" w:line="1" w:lineRule="exact"/>
        <w:rPr>
          <w:rFonts w:ascii="Arial" w:cs="Arial" w:eastAsia="Arial" w:hAnsi="Arial"/>
          <w:sz w:val="22"/>
          <w:szCs w:val="22"/>
          <w:b w:val="1"/>
          <w:bCs w:val="1"/>
          <w:color w:val="auto"/>
        </w:rPr>
      </w:pPr>
    </w:p>
    <w:p>
      <w:pPr>
        <w:jc w:val="both"/>
        <w:ind w:firstLine="656"/>
        <w:spacing w:after="0" w:line="258" w:lineRule="auto"/>
        <w:tabs>
          <w:tab w:leader="none" w:pos="1536" w:val="left"/>
        </w:tabs>
        <w:numPr>
          <w:ilvl w:val="1"/>
          <w:numId w:val="48"/>
        </w:numPr>
        <w:rPr>
          <w:rFonts w:ascii="Arial" w:cs="Arial" w:eastAsia="Arial" w:hAnsi="Arial"/>
          <w:sz w:val="21"/>
          <w:szCs w:val="21"/>
          <w:color w:val="auto"/>
        </w:rPr>
      </w:pPr>
      <w:r>
        <w:rPr>
          <w:rFonts w:ascii="Arial" w:cs="Arial" w:eastAsia="Arial" w:hAnsi="Arial"/>
          <w:sz w:val="21"/>
          <w:szCs w:val="21"/>
          <w:color w:val="auto"/>
        </w:rPr>
        <w:t>At the Closing (</w:t>
      </w:r>
      <w:r>
        <w:rPr>
          <w:rFonts w:ascii="Arial" w:cs="Arial" w:eastAsia="Arial" w:hAnsi="Arial"/>
          <w:sz w:val="21"/>
          <w:szCs w:val="21"/>
          <w:u w:val="single" w:color="auto"/>
          <w:color w:val="auto"/>
        </w:rPr>
        <w:t>i</w:t>
      </w:r>
      <w:r>
        <w:rPr>
          <w:rFonts w:ascii="Arial" w:cs="Arial" w:eastAsia="Arial" w:hAnsi="Arial"/>
          <w:sz w:val="21"/>
          <w:szCs w:val="21"/>
          <w:color w:val="auto"/>
        </w:rPr>
        <w:t>) the Insurer shall issue to the Plan and deliver to the Plan Trustee the Group Annuity Contract (the “</w:t>
      </w:r>
      <w:r>
        <w:rPr>
          <w:rFonts w:ascii="Arial" w:cs="Arial" w:eastAsia="Arial" w:hAnsi="Arial"/>
          <w:sz w:val="21"/>
          <w:szCs w:val="21"/>
          <w:u w:val="single" w:color="auto"/>
          <w:color w:val="auto"/>
        </w:rPr>
        <w:t>Group Annuity Contract Issuance</w:t>
      </w:r>
      <w:r>
        <w:rPr>
          <w:rFonts w:ascii="Arial" w:cs="Arial" w:eastAsia="Arial" w:hAnsi="Arial"/>
          <w:sz w:val="21"/>
          <w:szCs w:val="21"/>
          <w:color w:val="auto"/>
        </w:rPr>
        <w:t>”); (</w:t>
      </w:r>
      <w:r>
        <w:rPr>
          <w:rFonts w:ascii="Arial" w:cs="Arial" w:eastAsia="Arial" w:hAnsi="Arial"/>
          <w:sz w:val="21"/>
          <w:szCs w:val="21"/>
          <w:u w:val="single" w:color="auto"/>
          <w:color w:val="auto"/>
        </w:rPr>
        <w:t>ii</w:t>
      </w:r>
      <w:r>
        <w:rPr>
          <w:rFonts w:ascii="Arial" w:cs="Arial" w:eastAsia="Arial" w:hAnsi="Arial"/>
          <w:sz w:val="21"/>
          <w:szCs w:val="21"/>
          <w:color w:val="auto"/>
        </w:rPr>
        <w:t>) the Independent Fiduciary shall irrevocably direct the Plan Trustee to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assign, transfer and deliver to the Insurer the Transferred Assets as set forth on the Final Asset Statement (other than the assets of Contract 300 Portfolio P listed on the Final Asset Statement) in accordance with the procedures set forth in </w:t>
      </w:r>
      <w:r>
        <w:rPr>
          <w:rFonts w:ascii="Arial" w:cs="Arial" w:eastAsia="Arial" w:hAnsi="Arial"/>
          <w:sz w:val="21"/>
          <w:szCs w:val="21"/>
          <w:u w:val="single" w:color="auto"/>
          <w:color w:val="auto"/>
        </w:rPr>
        <w:t>Appendix 2.1-A</w:t>
      </w:r>
      <w:r>
        <w:rPr>
          <w:rFonts w:ascii="Arial" w:cs="Arial" w:eastAsia="Arial" w:hAnsi="Arial"/>
          <w:sz w:val="21"/>
          <w:szCs w:val="21"/>
          <w:color w:val="auto"/>
        </w:rPr>
        <w:t>, in an amount up to the Closing Final Premium and (</w:t>
      </w:r>
      <w:r>
        <w:rPr>
          <w:rFonts w:ascii="Arial" w:cs="Arial" w:eastAsia="Arial" w:hAnsi="Arial"/>
          <w:sz w:val="21"/>
          <w:szCs w:val="21"/>
          <w:u w:val="single" w:color="auto"/>
          <w:color w:val="auto"/>
        </w:rPr>
        <w:t>B</w:t>
      </w:r>
      <w:r>
        <w:rPr>
          <w:rFonts w:ascii="Arial" w:cs="Arial" w:eastAsia="Arial" w:hAnsi="Arial"/>
          <w:sz w:val="21"/>
          <w:szCs w:val="21"/>
          <w:color w:val="auto"/>
        </w:rPr>
        <w:t>) pay to the Insurer an amount of Cash (the “</w:t>
      </w:r>
      <w:r>
        <w:rPr>
          <w:rFonts w:ascii="Arial" w:cs="Arial" w:eastAsia="Arial" w:hAnsi="Arial"/>
          <w:sz w:val="21"/>
          <w:szCs w:val="21"/>
          <w:u w:val="single" w:color="auto"/>
          <w:color w:val="auto"/>
        </w:rPr>
        <w:t>Cash Closing Payment</w:t>
      </w:r>
      <w:r>
        <w:rPr>
          <w:rFonts w:ascii="Arial" w:cs="Arial" w:eastAsia="Arial" w:hAnsi="Arial"/>
          <w:sz w:val="21"/>
          <w:szCs w:val="21"/>
          <w:color w:val="auto"/>
        </w:rPr>
        <w:t>”) equal to the excess, if any, of the Closing Final Premium over the aggregate Final Pre-Closing Asset Valuation of the assets in the Final Plan Portfolio (collectively, the “</w:t>
      </w:r>
      <w:r>
        <w:rPr>
          <w:rFonts w:ascii="Arial" w:cs="Arial" w:eastAsia="Arial" w:hAnsi="Arial"/>
          <w:sz w:val="21"/>
          <w:szCs w:val="21"/>
          <w:u w:val="single" w:color="auto"/>
          <w:color w:val="auto"/>
        </w:rPr>
        <w:t>Closing Asset Transfers</w:t>
      </w:r>
      <w:r>
        <w:rPr>
          <w:rFonts w:ascii="Arial" w:cs="Arial" w:eastAsia="Arial" w:hAnsi="Arial"/>
          <w:sz w:val="21"/>
          <w:szCs w:val="21"/>
          <w:color w:val="auto"/>
        </w:rPr>
        <w:t>”); and (</w:t>
      </w:r>
      <w:r>
        <w:rPr>
          <w:rFonts w:ascii="Arial" w:cs="Arial" w:eastAsia="Arial" w:hAnsi="Arial"/>
          <w:sz w:val="21"/>
          <w:szCs w:val="21"/>
          <w:u w:val="single" w:color="auto"/>
          <w:color w:val="auto"/>
        </w:rPr>
        <w:t>iii</w:t>
      </w:r>
      <w:r>
        <w:rPr>
          <w:rFonts w:ascii="Arial" w:cs="Arial" w:eastAsia="Arial" w:hAnsi="Arial"/>
          <w:sz w:val="21"/>
          <w:szCs w:val="21"/>
          <w:color w:val="auto"/>
        </w:rPr>
        <w:t>) Insurer Parent, together with the Company, shall issue a Joint Written Direction to the Escrow Agent directing the Escrow Agent to transfer all cash and other assets held in the Escrow Account to an account designated by the Company. As of the Closing Date, the Insurer shall, pursuant to the terms of the Group Annuity Contract, unconditionally and irrevocably guarantee the full payment of all Annuity Payments as set forth in the Group Annuity Contract in respect of each Covered Life, Contingent Life and any applicable Beneficiary, and will assume all investment risk associated with the Final Plan Portfolio.</w:t>
      </w:r>
    </w:p>
    <w:p>
      <w:pPr>
        <w:spacing w:after="0" w:line="220" w:lineRule="exact"/>
        <w:rPr>
          <w:rFonts w:ascii="Arial" w:cs="Arial" w:eastAsia="Arial" w:hAnsi="Arial"/>
          <w:sz w:val="21"/>
          <w:szCs w:val="21"/>
          <w:color w:val="auto"/>
        </w:rPr>
      </w:pPr>
    </w:p>
    <w:p>
      <w:pPr>
        <w:jc w:val="both"/>
        <w:ind w:firstLine="656"/>
        <w:spacing w:after="0" w:line="288" w:lineRule="auto"/>
        <w:tabs>
          <w:tab w:leader="none" w:pos="1549"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On the terms and subject to the conditions set forth in this Agreement, the consummation of the Group Annuity Contract Issuance, issuance of the Joint Written Direction referenced in </w:t>
      </w:r>
      <w:r>
        <w:rPr>
          <w:rFonts w:ascii="Arial" w:cs="Arial" w:eastAsia="Arial" w:hAnsi="Arial"/>
          <w:sz w:val="19"/>
          <w:szCs w:val="19"/>
          <w:u w:val="single" w:color="auto"/>
          <w:color w:val="auto"/>
        </w:rPr>
        <w:t>Section 2.1(a)(iii)</w:t>
      </w:r>
      <w:r>
        <w:rPr>
          <w:rFonts w:ascii="Arial" w:cs="Arial" w:eastAsia="Arial" w:hAnsi="Arial"/>
          <w:sz w:val="19"/>
          <w:szCs w:val="19"/>
          <w:color w:val="auto"/>
        </w:rPr>
        <w:t>, and the Closing Asset Transfers (the “</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at the offices of Jones Day located at 222 East 41st Street, New York, NY 10017-6702 (or such other location as will be mutually agreed upon by the Company and the Insurer) on (</w:t>
      </w:r>
      <w:r>
        <w:rPr>
          <w:rFonts w:ascii="Arial" w:cs="Arial" w:eastAsia="Arial" w:hAnsi="Arial"/>
          <w:sz w:val="19"/>
          <w:szCs w:val="19"/>
          <w:u w:val="single" w:color="auto"/>
          <w:color w:val="auto"/>
        </w:rPr>
        <w:t>i</w:t>
      </w:r>
      <w:r>
        <w:rPr>
          <w:rFonts w:ascii="Arial" w:cs="Arial" w:eastAsia="Arial" w:hAnsi="Arial"/>
          <w:sz w:val="19"/>
          <w:szCs w:val="19"/>
          <w:color w:val="auto"/>
        </w:rPr>
        <w:t xml:space="preserve">) November 1, 2012, if at least three Business Days prior to November 1, 2012, all of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have been satisfied or waived (other than (</w:t>
      </w:r>
      <w:r>
        <w:rPr>
          <w:rFonts w:ascii="Arial" w:cs="Arial" w:eastAsia="Arial" w:hAnsi="Arial"/>
          <w:sz w:val="19"/>
          <w:szCs w:val="19"/>
          <w:u w:val="single" w:color="auto"/>
          <w:color w:val="auto"/>
        </w:rPr>
        <w:t>a</w:t>
      </w:r>
      <w:r>
        <w:rPr>
          <w:rFonts w:ascii="Arial" w:cs="Arial" w:eastAsia="Arial" w:hAnsi="Arial"/>
          <w:sz w:val="19"/>
          <w:szCs w:val="19"/>
          <w:color w:val="auto"/>
        </w:rPr>
        <w:t>) conditions that by their nature or pursuant to this Agreement are to be satisfied at or immediately prior to the Closing, but subject to the satisfaction or, where permitted, waiver of those conditions, or (</w:t>
      </w:r>
      <w:r>
        <w:rPr>
          <w:rFonts w:ascii="Arial" w:cs="Arial" w:eastAsia="Arial" w:hAnsi="Arial"/>
          <w:sz w:val="19"/>
          <w:szCs w:val="19"/>
          <w:u w:val="single" w:color="auto"/>
          <w:color w:val="auto"/>
        </w:rPr>
        <w:t>b</w:t>
      </w:r>
      <w:r>
        <w:rPr>
          <w:rFonts w:ascii="Arial" w:cs="Arial" w:eastAsia="Arial" w:hAnsi="Arial"/>
          <w:sz w:val="19"/>
          <w:szCs w:val="19"/>
          <w:color w:val="auto"/>
        </w:rPr>
        <w:t>) conditions with respect to the conclusion of the PBGC Review Period, which must conclude at or any time prior to Closing),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December 3, 2012, if at least one Business Day prior to December 3, 2012, all of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have been satisfied or waived (other than (</w:t>
      </w:r>
      <w:r>
        <w:rPr>
          <w:rFonts w:ascii="Arial" w:cs="Arial" w:eastAsia="Arial" w:hAnsi="Arial"/>
          <w:sz w:val="19"/>
          <w:szCs w:val="19"/>
          <w:u w:val="single" w:color="auto"/>
          <w:color w:val="auto"/>
        </w:rPr>
        <w:t>a</w:t>
      </w:r>
      <w:r>
        <w:rPr>
          <w:rFonts w:ascii="Arial" w:cs="Arial" w:eastAsia="Arial" w:hAnsi="Arial"/>
          <w:sz w:val="19"/>
          <w:szCs w:val="19"/>
          <w:color w:val="auto"/>
        </w:rPr>
        <w:t>) conditions that by their nature or pursuant to this Agreement are to be satisfied at or immediately prior to the Closing, but subject to the satisfaction or, where permitted, waiver of those conditions, or (</w:t>
      </w:r>
      <w:r>
        <w:rPr>
          <w:rFonts w:ascii="Arial" w:cs="Arial" w:eastAsia="Arial" w:hAnsi="Arial"/>
          <w:sz w:val="19"/>
          <w:szCs w:val="19"/>
          <w:u w:val="single" w:color="auto"/>
          <w:color w:val="auto"/>
        </w:rPr>
        <w:t>b</w:t>
      </w:r>
      <w:r>
        <w:rPr>
          <w:rFonts w:ascii="Arial" w:cs="Arial" w:eastAsia="Arial" w:hAnsi="Arial"/>
          <w:sz w:val="19"/>
          <w:szCs w:val="19"/>
          <w:color w:val="auto"/>
        </w:rPr>
        <w:t>) conditions with respect to the conclusion of the PBGC Review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116" w:name="page117"/>
    <w:bookmarkEnd w:id="116"/>
    <w:p>
      <w:pPr>
        <w:jc w:val="both"/>
        <w:spacing w:after="0" w:line="261" w:lineRule="auto"/>
        <w:rPr>
          <w:sz w:val="20"/>
          <w:szCs w:val="20"/>
          <w:color w:val="auto"/>
        </w:rPr>
      </w:pPr>
      <w:r>
        <w:rPr>
          <w:rFonts w:ascii="Arial" w:cs="Arial" w:eastAsia="Arial" w:hAnsi="Arial"/>
          <w:sz w:val="21"/>
          <w:szCs w:val="21"/>
          <w:color w:val="auto"/>
        </w:rPr>
        <w:t>Period, which must conclude at or any time prior to Closing) or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if the Closing has not occurred on or prior to December 3, 2012, three (3) Business Days following the first date that all of the conditions set forth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have been satisfied or waived (other than (</w:t>
      </w:r>
      <w:r>
        <w:rPr>
          <w:rFonts w:ascii="Arial" w:cs="Arial" w:eastAsia="Arial" w:hAnsi="Arial"/>
          <w:sz w:val="21"/>
          <w:szCs w:val="21"/>
          <w:u w:val="single" w:color="auto"/>
          <w:color w:val="auto"/>
        </w:rPr>
        <w:t>a</w:t>
      </w:r>
      <w:r>
        <w:rPr>
          <w:rFonts w:ascii="Arial" w:cs="Arial" w:eastAsia="Arial" w:hAnsi="Arial"/>
          <w:sz w:val="21"/>
          <w:szCs w:val="21"/>
          <w:color w:val="auto"/>
        </w:rPr>
        <w:t>) conditions that by their nature or pursuant to this Agreement are to be satisfied at or immediately prior to the Closing, but subject to the satisfaction or, where permitted, waiver of those conditions, or (</w:t>
      </w:r>
      <w:r>
        <w:rPr>
          <w:rFonts w:ascii="Arial" w:cs="Arial" w:eastAsia="Arial" w:hAnsi="Arial"/>
          <w:sz w:val="21"/>
          <w:szCs w:val="21"/>
          <w:u w:val="single" w:color="auto"/>
          <w:color w:val="auto"/>
        </w:rPr>
        <w:t>b</w:t>
      </w:r>
      <w:r>
        <w:rPr>
          <w:rFonts w:ascii="Arial" w:cs="Arial" w:eastAsia="Arial" w:hAnsi="Arial"/>
          <w:sz w:val="21"/>
          <w:szCs w:val="21"/>
          <w:color w:val="auto"/>
        </w:rPr>
        <w:t>) conditions with respect to the conclusion of the PBGC Review Period, which must conclude at or any time prior to Closing). The date on which the Closing occurs is referred to in this Agreement as the “</w:t>
      </w: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Deliveries at Closing</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312" w:lineRule="auto"/>
        <w:tabs>
          <w:tab w:leader="none" w:pos="1123" w:val="left"/>
        </w:tabs>
        <w:numPr>
          <w:ilvl w:val="0"/>
          <w:numId w:val="49"/>
        </w:numPr>
        <w:rPr>
          <w:rFonts w:ascii="Arial" w:cs="Arial" w:eastAsia="Arial" w:hAnsi="Arial"/>
          <w:sz w:val="19"/>
          <w:szCs w:val="19"/>
          <w:color w:val="auto"/>
        </w:rPr>
      </w:pPr>
      <w:r>
        <w:rPr>
          <w:rFonts w:ascii="Arial" w:cs="Arial" w:eastAsia="Arial" w:hAnsi="Arial"/>
          <w:sz w:val="19"/>
          <w:szCs w:val="19"/>
          <w:color w:val="auto"/>
        </w:rPr>
        <w:t>At the Closing, (</w:t>
      </w:r>
      <w:r>
        <w:rPr>
          <w:rFonts w:ascii="Arial" w:cs="Arial" w:eastAsia="Arial" w:hAnsi="Arial"/>
          <w:sz w:val="19"/>
          <w:szCs w:val="19"/>
          <w:u w:val="single" w:color="auto"/>
          <w:color w:val="auto"/>
        </w:rPr>
        <w:t>i</w:t>
      </w:r>
      <w:r>
        <w:rPr>
          <w:rFonts w:ascii="Arial" w:cs="Arial" w:eastAsia="Arial" w:hAnsi="Arial"/>
          <w:sz w:val="19"/>
          <w:szCs w:val="19"/>
          <w:color w:val="auto"/>
        </w:rPr>
        <w:t>) with respect to the items set forth in clauses (i), (ii), (iii), (iv), (v) and (vii) below, the Independent Fiduciary shall or shall direct the Plan Trustee, as applicable, to deliver to the Insurer, with a copy to the Company and (</w:t>
      </w:r>
      <w:r>
        <w:rPr>
          <w:rFonts w:ascii="Arial" w:cs="Arial" w:eastAsia="Arial" w:hAnsi="Arial"/>
          <w:sz w:val="19"/>
          <w:szCs w:val="19"/>
          <w:u w:val="single" w:color="auto"/>
          <w:color w:val="auto"/>
        </w:rPr>
        <w:t>ii</w:t>
      </w:r>
      <w:r>
        <w:rPr>
          <w:rFonts w:ascii="Arial" w:cs="Arial" w:eastAsia="Arial" w:hAnsi="Arial"/>
          <w:sz w:val="19"/>
          <w:szCs w:val="19"/>
          <w:color w:val="auto"/>
        </w:rPr>
        <w:t>) with respect to the items set forth in clauses (vi) and (viii) below, the Company shall deliver to the Insurer:</w:t>
      </w:r>
    </w:p>
    <w:p>
      <w:pPr>
        <w:spacing w:after="0" w:line="174" w:lineRule="exact"/>
        <w:rPr>
          <w:rFonts w:ascii="Arial" w:cs="Arial" w:eastAsia="Arial" w:hAnsi="Arial"/>
          <w:sz w:val="19"/>
          <w:szCs w:val="19"/>
          <w:color w:val="auto"/>
        </w:rPr>
      </w:pPr>
    </w:p>
    <w:p>
      <w:pPr>
        <w:ind w:left="660" w:firstLine="645"/>
        <w:spacing w:after="0" w:line="343" w:lineRule="auto"/>
        <w:tabs>
          <w:tab w:leader="none" w:pos="2160"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a certificate, dated as of the Closing Date, signed by an officer of the Independent Fiduciary certifying as to the satisfaction of the conditions specified in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8.3(b)</w:t>
      </w:r>
      <w:r>
        <w:rPr>
          <w:rFonts w:ascii="Arial" w:cs="Arial" w:eastAsia="Arial" w:hAnsi="Arial"/>
          <w:sz w:val="19"/>
          <w:szCs w:val="19"/>
          <w:color w:val="auto"/>
        </w:rPr>
        <w:t xml:space="preserve"> each as to the Independent Fiduciary;</w:t>
      </w:r>
    </w:p>
    <w:p>
      <w:pPr>
        <w:spacing w:after="0" w:line="145" w:lineRule="exact"/>
        <w:rPr>
          <w:rFonts w:ascii="Arial" w:cs="Arial" w:eastAsia="Arial" w:hAnsi="Arial"/>
          <w:sz w:val="19"/>
          <w:szCs w:val="19"/>
          <w:color w:val="auto"/>
        </w:rPr>
      </w:pPr>
    </w:p>
    <w:p>
      <w:pPr>
        <w:ind w:left="2220" w:hanging="915"/>
        <w:spacing w:after="0"/>
        <w:tabs>
          <w:tab w:leader="none" w:pos="22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Bill of Sale (including all schedules thereto), duly executed by the Plan Trustee;</w:t>
      </w:r>
    </w:p>
    <w:p>
      <w:pPr>
        <w:sectPr>
          <w:pgSz w:w="11900" w:h="16838" w:orient="portrait"/>
          <w:cols w:equalWidth="0" w:num="1">
            <w:col w:w="11420"/>
          </w:cols>
          <w:pgMar w:left="240" w:top="591" w:right="239" w:bottom="1440" w:gutter="0" w:footer="0" w:header="0"/>
        </w:sect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 Transfer Documentation and [</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 Transfer Documentation, duly executed by the</w:t>
      </w:r>
    </w:p>
    <w:p>
      <w:pPr>
        <w:spacing w:after="0" w:line="56" w:lineRule="exact"/>
        <w:rPr>
          <w:sz w:val="20"/>
          <w:szCs w:val="20"/>
          <w:color w:val="auto"/>
        </w:rPr>
      </w:pPr>
    </w:p>
    <w:p>
      <w:pPr>
        <w:sectPr>
          <w:pgSz w:w="11900" w:h="16838" w:orient="portrait"/>
          <w:cols w:equalWidth="0" w:num="6">
            <w:col w:w="1620" w:space="660"/>
            <w:col w:w="60" w:space="320"/>
            <w:col w:w="320" w:space="440"/>
            <w:col w:w="2760" w:space="300"/>
            <w:col w:w="320" w:space="440"/>
            <w:col w:w="4180"/>
          </w:cols>
          <w:pgMar w:left="240" w:top="591" w:right="23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Plan Trustee;</w:t>
      </w:r>
    </w:p>
    <w:p>
      <w:pPr>
        <w:sectPr>
          <w:pgSz w:w="11900" w:h="16838" w:orient="portrait"/>
          <w:cols w:equalWidth="0" w:num="1">
            <w:col w:w="11420"/>
          </w:cols>
          <w:pgMar w:left="240" w:top="591" w:right="239" w:bottom="1440" w:gutter="0" w:footer="0" w:header="0"/>
          <w:type w:val="continuous"/>
        </w:sectPr>
      </w:pPr>
    </w:p>
    <w:p>
      <w:pPr>
        <w:spacing w:after="0" w:line="277" w:lineRule="exact"/>
        <w:rPr>
          <w:sz w:val="20"/>
          <w:szCs w:val="20"/>
          <w:color w:val="auto"/>
        </w:rPr>
      </w:pPr>
    </w:p>
    <w:p>
      <w:pPr>
        <w:ind w:left="2260" w:hanging="955"/>
        <w:spacing w:after="0"/>
        <w:tabs>
          <w:tab w:leader="none" w:pos="22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written acknowledgement of the receipt of the Group Annuity Contract signed by the Plan Trustee;</w:t>
      </w:r>
    </w:p>
    <w:p>
      <w:pPr>
        <w:spacing w:after="0" w:line="294" w:lineRule="exact"/>
        <w:rPr>
          <w:rFonts w:ascii="Arial" w:cs="Arial" w:eastAsia="Arial" w:hAnsi="Arial"/>
          <w:sz w:val="19"/>
          <w:szCs w:val="19"/>
          <w:color w:val="auto"/>
        </w:rPr>
      </w:pPr>
    </w:p>
    <w:p>
      <w:pPr>
        <w:ind w:left="2200" w:hanging="895"/>
        <w:spacing w:after="0"/>
        <w:tabs>
          <w:tab w:leader="none" w:pos="22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Group Annuity Contract (including all exhibits and attachments thereto), duly executed by the Plan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42" w:lineRule="exact"/>
        <w:rPr>
          <w:rFonts w:ascii="Arial" w:cs="Arial" w:eastAsia="Arial" w:hAnsi="Arial"/>
          <w:sz w:val="19"/>
          <w:szCs w:val="19"/>
          <w:color w:val="auto"/>
        </w:rPr>
      </w:pPr>
    </w:p>
    <w:p>
      <w:pPr>
        <w:jc w:val="both"/>
        <w:ind w:left="660" w:firstLine="645"/>
        <w:spacing w:after="0" w:line="253" w:lineRule="auto"/>
        <w:tabs>
          <w:tab w:leader="none" w:pos="2268"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a certificate, dated as of the Closing Date, signed by a duly authorized officer of the Company certifying as to the satisfaction of the conditions specified in </w:t>
      </w:r>
      <w:r>
        <w:rPr>
          <w:rFonts w:ascii="Arial" w:cs="Arial" w:eastAsia="Arial" w:hAnsi="Arial"/>
          <w:sz w:val="22"/>
          <w:szCs w:val="22"/>
          <w:u w:val="single" w:color="auto"/>
          <w:color w:val="auto"/>
        </w:rPr>
        <w:t>Section 8.3(a)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8.3(b)</w:t>
      </w:r>
      <w:r>
        <w:rPr>
          <w:rFonts w:ascii="Arial" w:cs="Arial" w:eastAsia="Arial" w:hAnsi="Arial"/>
          <w:sz w:val="22"/>
          <w:szCs w:val="22"/>
          <w:color w:val="auto"/>
        </w:rPr>
        <w:t xml:space="preserve">, in each case, as to the Company, and </w:t>
      </w:r>
      <w:r>
        <w:rPr>
          <w:rFonts w:ascii="Arial" w:cs="Arial" w:eastAsia="Arial" w:hAnsi="Arial"/>
          <w:sz w:val="22"/>
          <w:szCs w:val="22"/>
          <w:u w:val="single" w:color="auto"/>
          <w:color w:val="auto"/>
        </w:rPr>
        <w:t>Section 8.3(c)</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left="660" w:firstLine="645"/>
        <w:spacing w:after="0" w:line="253" w:lineRule="auto"/>
        <w:tabs>
          <w:tab w:leader="none" w:pos="2329"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the Plan Trustee Agreement, duly executed by the Independent Fiduciary and the Plan Trustee (or evidence of any alternative arrangements as shall have been agreed by the Insurer and the Company pursuant to the last sentence of </w:t>
      </w:r>
      <w:r>
        <w:rPr>
          <w:rFonts w:ascii="Arial" w:cs="Arial" w:eastAsia="Arial" w:hAnsi="Arial"/>
          <w:sz w:val="22"/>
          <w:szCs w:val="22"/>
          <w:u w:val="single" w:color="auto"/>
          <w:color w:val="auto"/>
        </w:rPr>
        <w:t>Section 6.3(b)</w:t>
      </w:r>
      <w:r>
        <w:rPr>
          <w:rFonts w:ascii="Arial" w:cs="Arial" w:eastAsia="Arial" w:hAnsi="Arial"/>
          <w:sz w:val="22"/>
          <w:szCs w:val="22"/>
          <w:color w:val="auto"/>
        </w:rPr>
        <w:t>); and</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720" w:type="dxa"/>
            <w:vAlign w:val="bottom"/>
            <w:gridSpan w:val="3"/>
          </w:tcPr>
          <w:p>
            <w:pPr>
              <w:jc w:val="center"/>
              <w:spacing w:after="0"/>
              <w:rPr>
                <w:sz w:val="20"/>
                <w:szCs w:val="20"/>
                <w:color w:val="auto"/>
              </w:rPr>
            </w:pPr>
            <w:r>
              <w:rPr>
                <w:rFonts w:ascii="Arial" w:cs="Arial" w:eastAsia="Arial" w:hAnsi="Arial"/>
                <w:sz w:val="22"/>
                <w:szCs w:val="22"/>
                <w:color w:val="auto"/>
              </w:rPr>
              <w:t>(viii)</w:t>
            </w:r>
          </w:p>
        </w:tc>
        <w:tc>
          <w:tcPr>
            <w:tcW w:w="1760" w:type="dxa"/>
            <w:vAlign w:val="bottom"/>
          </w:tcPr>
          <w:p>
            <w:pPr>
              <w:spacing w:after="0"/>
              <w:rPr>
                <w:sz w:val="20"/>
                <w:szCs w:val="20"/>
                <w:color w:val="auto"/>
              </w:rPr>
            </w:pPr>
            <w:r>
              <w:rPr>
                <w:rFonts w:ascii="Arial" w:cs="Arial" w:eastAsia="Arial" w:hAnsi="Arial"/>
                <w:sz w:val="22"/>
                <w:szCs w:val="22"/>
                <w:color w:val="auto"/>
              </w:rPr>
              <w:t>an instruction to [</w:t>
            </w:r>
          </w:p>
        </w:tc>
        <w:tc>
          <w:tcPr>
            <w:tcW w:w="7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6540" w:type="dxa"/>
            <w:vAlign w:val="bottom"/>
          </w:tcPr>
          <w:p>
            <w:pPr>
              <w:ind w:left="240"/>
              <w:spacing w:after="0"/>
              <w:rPr>
                <w:sz w:val="20"/>
                <w:szCs w:val="20"/>
                <w:color w:val="auto"/>
              </w:rPr>
            </w:pPr>
            <w:r>
              <w:rPr>
                <w:rFonts w:ascii="Arial" w:cs="Arial" w:eastAsia="Arial" w:hAnsi="Arial"/>
                <w:sz w:val="22"/>
                <w:szCs w:val="22"/>
                <w:color w:val="auto"/>
                <w:w w:val="91"/>
              </w:rPr>
              <w:t>], duly executed by the Plan Investment Fiduciary, in the form attached</w:t>
            </w:r>
          </w:p>
        </w:tc>
      </w:tr>
      <w:tr>
        <w:trPr>
          <w:trHeight w:val="224"/>
        </w:trPr>
        <w:tc>
          <w:tcPr>
            <w:tcW w:w="1720" w:type="dxa"/>
            <w:vAlign w:val="bottom"/>
            <w:gridSpan w:val="3"/>
          </w:tcPr>
          <w:p>
            <w:pPr>
              <w:jc w:val="center"/>
              <w:spacing w:after="0" w:line="224" w:lineRule="exact"/>
              <w:rPr>
                <w:sz w:val="20"/>
                <w:szCs w:val="20"/>
                <w:color w:val="auto"/>
              </w:rPr>
            </w:pPr>
            <w:r>
              <w:rPr>
                <w:rFonts w:ascii="Arial" w:cs="Arial" w:eastAsia="Arial" w:hAnsi="Arial"/>
                <w:sz w:val="22"/>
                <w:szCs w:val="22"/>
                <w:color w:val="auto"/>
                <w:w w:val="89"/>
              </w:rPr>
              <w:t>hereto as Exhibit D.</w:t>
            </w:r>
          </w:p>
        </w:tc>
        <w:tc>
          <w:tcPr>
            <w:tcW w:w="1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spacing w:after="0" w:line="276" w:lineRule="exact"/>
        <w:rPr>
          <w:sz w:val="20"/>
          <w:szCs w:val="20"/>
          <w:color w:val="auto"/>
        </w:rPr>
      </w:pPr>
    </w:p>
    <w:p>
      <w:pPr>
        <w:ind w:firstLine="656"/>
        <w:spacing w:after="0" w:line="263" w:lineRule="auto"/>
        <w:tabs>
          <w:tab w:leader="none" w:pos="1104" w:val="left"/>
        </w:tabs>
        <w:numPr>
          <w:ilvl w:val="0"/>
          <w:numId w:val="51"/>
        </w:numPr>
        <w:rPr>
          <w:rFonts w:ascii="Arial" w:cs="Arial" w:eastAsia="Arial" w:hAnsi="Arial"/>
          <w:sz w:val="22"/>
          <w:szCs w:val="22"/>
          <w:color w:val="auto"/>
        </w:rPr>
      </w:pPr>
      <w:r>
        <w:rPr>
          <w:rFonts w:ascii="Arial" w:cs="Arial" w:eastAsia="Arial" w:hAnsi="Arial"/>
          <w:sz w:val="22"/>
          <w:szCs w:val="22"/>
          <w:color w:val="auto"/>
        </w:rPr>
        <w:t>At the Closing, the Insurer will deliver to the Plan Trustee, with a copy to the Independent Fiduciary and the Company, the following duly executed documents and other items:</w:t>
      </w:r>
    </w:p>
    <w:p>
      <w:pPr>
        <w:spacing w:after="0" w:line="215" w:lineRule="exact"/>
        <w:rPr>
          <w:rFonts w:ascii="Arial" w:cs="Arial" w:eastAsia="Arial" w:hAnsi="Arial"/>
          <w:sz w:val="22"/>
          <w:szCs w:val="22"/>
          <w:color w:val="auto"/>
        </w:rPr>
      </w:pPr>
    </w:p>
    <w:p>
      <w:pPr>
        <w:ind w:left="1720" w:hanging="415"/>
        <w:spacing w:after="0"/>
        <w:tabs>
          <w:tab w:leader="none" w:pos="17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Group Annuity Contract (including all exhibits and attachments thereto), duly executed by the Insurer;</w:t>
      </w:r>
    </w:p>
    <w:p>
      <w:pPr>
        <w:spacing w:after="0" w:line="294" w:lineRule="exact"/>
        <w:rPr>
          <w:rFonts w:ascii="Arial" w:cs="Arial" w:eastAsia="Arial" w:hAnsi="Arial"/>
          <w:sz w:val="19"/>
          <w:szCs w:val="19"/>
          <w:color w:val="auto"/>
        </w:rPr>
      </w:pPr>
    </w:p>
    <w:p>
      <w:pPr>
        <w:ind w:left="1780" w:hanging="475"/>
        <w:spacing w:after="0"/>
        <w:tabs>
          <w:tab w:leader="none" w:pos="178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Bill of Sale, duly executed by the Insurer;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1" w:right="239" w:bottom="1440" w:gutter="0" w:footer="0" w:header="0"/>
          <w:type w:val="continuous"/>
        </w:sectPr>
      </w:pPr>
    </w:p>
    <w:bookmarkStart w:id="117" w:name="page118"/>
    <w:bookmarkEnd w:id="117"/>
    <w:p>
      <w:pPr>
        <w:ind w:left="130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 Transfer Documentation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 Transfer Documentation, duly executed by the</w:t>
      </w:r>
    </w:p>
    <w:p>
      <w:pPr>
        <w:spacing w:after="0" w:line="56" w:lineRule="exact"/>
        <w:rPr>
          <w:sz w:val="20"/>
          <w:szCs w:val="20"/>
          <w:color w:val="auto"/>
        </w:rPr>
      </w:pPr>
    </w:p>
    <w:p>
      <w:pPr>
        <w:sectPr>
          <w:pgSz w:w="11900" w:h="16838" w:orient="portrait"/>
          <w:cols w:equalWidth="0" w:num="6">
            <w:col w:w="1620" w:space="300"/>
            <w:col w:w="60" w:space="360"/>
            <w:col w:w="340" w:space="500"/>
            <w:col w:w="2800" w:space="360"/>
            <w:col w:w="320" w:space="500"/>
            <w:col w:w="4260"/>
          </w:cols>
          <w:pgMar w:left="240" w:top="591" w:right="239" w:bottom="1440" w:gutter="0" w:footer="0" w:header="0"/>
        </w:sectPr>
      </w:pPr>
    </w:p>
    <w:p>
      <w:pPr>
        <w:ind w:left="660"/>
        <w:spacing w:after="0"/>
        <w:rPr>
          <w:sz w:val="20"/>
          <w:szCs w:val="20"/>
          <w:color w:val="auto"/>
        </w:rPr>
      </w:pPr>
      <w:r>
        <w:rPr>
          <w:rFonts w:ascii="Arial" w:cs="Arial" w:eastAsia="Arial" w:hAnsi="Arial"/>
          <w:sz w:val="19"/>
          <w:szCs w:val="19"/>
          <w:color w:val="auto"/>
        </w:rPr>
        <w:t>Insurer;</w:t>
      </w:r>
    </w:p>
    <w:p>
      <w:pPr>
        <w:sectPr>
          <w:pgSz w:w="11900" w:h="16838" w:orient="portrait"/>
          <w:cols w:equalWidth="0" w:num="1">
            <w:col w:w="11420"/>
          </w:cols>
          <w:pgMar w:left="240" w:top="591" w:right="239" w:bottom="1440" w:gutter="0" w:footer="0" w:header="0"/>
          <w:type w:val="continuous"/>
        </w:sectPr>
      </w:pPr>
    </w:p>
    <w:p>
      <w:pPr>
        <w:spacing w:after="0" w:line="277" w:lineRule="exact"/>
        <w:rPr>
          <w:sz w:val="20"/>
          <w:szCs w:val="20"/>
          <w:color w:val="auto"/>
        </w:rPr>
      </w:pPr>
    </w:p>
    <w:p>
      <w:pPr>
        <w:jc w:val="both"/>
        <w:ind w:left="660" w:firstLine="645"/>
        <w:spacing w:after="0" w:line="253" w:lineRule="auto"/>
        <w:tabs>
          <w:tab w:leader="none" w:pos="191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certificate, dated as of the Closing Date, signed by a duly authorized officer of the Insurer certifying that Contract 300 Portfolio P remains in the Guaranteed Separate Account and that the assets in Contract 300 Portfolio P are part of the consideration for the Group Annuity Contract;</w:t>
      </w:r>
    </w:p>
    <w:p>
      <w:pPr>
        <w:spacing w:after="0" w:line="226" w:lineRule="exact"/>
        <w:rPr>
          <w:rFonts w:ascii="Arial" w:cs="Arial" w:eastAsia="Arial" w:hAnsi="Arial"/>
          <w:sz w:val="22"/>
          <w:szCs w:val="22"/>
          <w:color w:val="auto"/>
        </w:rPr>
      </w:pPr>
    </w:p>
    <w:p>
      <w:pPr>
        <w:ind w:left="1780" w:hanging="475"/>
        <w:spacing w:after="0"/>
        <w:tabs>
          <w:tab w:leader="none" w:pos="17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evidence of Governmental Approvals set forth in </w:t>
      </w:r>
      <w:r>
        <w:rPr>
          <w:rFonts w:ascii="Arial" w:cs="Arial" w:eastAsia="Arial" w:hAnsi="Arial"/>
          <w:sz w:val="22"/>
          <w:szCs w:val="22"/>
          <w:u w:val="single" w:color="auto"/>
          <w:color w:val="auto"/>
        </w:rPr>
        <w:t>Appendix 8.2(d)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firstLine="645"/>
        <w:spacing w:after="0" w:line="343" w:lineRule="auto"/>
        <w:tabs>
          <w:tab w:leader="none" w:pos="1839"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a certificate, dated as of the Closing Date, signed by a duly authorized officer of the Insurer certifying as to the satisfaction of the conditions specified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8.2(c)</w:t>
      </w:r>
      <w:r>
        <w:rPr>
          <w:rFonts w:ascii="Arial" w:cs="Arial" w:eastAsia="Arial" w:hAnsi="Arial"/>
          <w:sz w:val="19"/>
          <w:szCs w:val="19"/>
          <w:color w:val="auto"/>
        </w:rPr>
        <w:t>, in each case, as to the Insurer; and</w:t>
      </w:r>
    </w:p>
    <w:p>
      <w:pPr>
        <w:spacing w:after="0" w:line="145" w:lineRule="exact"/>
        <w:rPr>
          <w:rFonts w:ascii="Arial" w:cs="Arial" w:eastAsia="Arial" w:hAnsi="Arial"/>
          <w:sz w:val="19"/>
          <w:szCs w:val="19"/>
          <w:color w:val="auto"/>
        </w:rPr>
      </w:pPr>
    </w:p>
    <w:p>
      <w:pPr>
        <w:ind w:left="660" w:right="20" w:firstLine="645"/>
        <w:spacing w:after="0" w:line="343" w:lineRule="auto"/>
        <w:tabs>
          <w:tab w:leader="none" w:pos="1979"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Plan Trustee Agreement, duly executed by the Insurer (or evidence of any alternative arrangements as shall have been agreed by the Insurer and the Company pursuant to the last sentence of </w:t>
      </w:r>
      <w:r>
        <w:rPr>
          <w:rFonts w:ascii="Arial" w:cs="Arial" w:eastAsia="Arial" w:hAnsi="Arial"/>
          <w:sz w:val="19"/>
          <w:szCs w:val="19"/>
          <w:u w:val="single" w:color="auto"/>
          <w:color w:val="auto"/>
        </w:rPr>
        <w:t>Section 6.3(b)</w:t>
      </w:r>
      <w:r>
        <w:rPr>
          <w:rFonts w:ascii="Arial" w:cs="Arial" w:eastAsia="Arial" w:hAnsi="Arial"/>
          <w:sz w:val="19"/>
          <w:szCs w:val="19"/>
          <w:color w:val="auto"/>
        </w:rPr>
        <w:t>).</w:t>
      </w:r>
    </w:p>
    <w:p>
      <w:pPr>
        <w:spacing w:after="0" w:line="10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Final Plan Portfolio and Contract 300 Portfolio P</w:t>
      </w:r>
      <w:r>
        <w:rPr>
          <w:rFonts w:ascii="Arial" w:cs="Arial" w:eastAsia="Arial" w:hAnsi="Arial"/>
          <w:sz w:val="19"/>
          <w:szCs w:val="19"/>
          <w:color w:val="auto"/>
        </w:rPr>
        <w:t>.</w:t>
      </w:r>
    </w:p>
    <w:p>
      <w:pPr>
        <w:spacing w:after="0" w:line="260" w:lineRule="exact"/>
        <w:rPr>
          <w:sz w:val="20"/>
          <w:szCs w:val="20"/>
          <w:color w:val="auto"/>
        </w:rPr>
      </w:pPr>
    </w:p>
    <w:p>
      <w:pPr>
        <w:ind w:left="1120" w:hanging="464"/>
        <w:spacing w:after="0"/>
        <w:tabs>
          <w:tab w:leader="none" w:pos="11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Prior to the Closing, the Insurer will cause Contract 300 Portfolio P to remain in the Guaranteed Separate Account.</w:t>
      </w:r>
    </w:p>
    <w:p>
      <w:pPr>
        <w:spacing w:after="0" w:line="94" w:lineRule="exact"/>
        <w:rPr>
          <w:rFonts w:ascii="Arial" w:cs="Arial" w:eastAsia="Arial" w:hAnsi="Arial"/>
          <w:sz w:val="19"/>
          <w:szCs w:val="19"/>
          <w:color w:val="auto"/>
        </w:rPr>
      </w:pPr>
    </w:p>
    <w:p>
      <w:pPr>
        <w:ind w:left="1180" w:hanging="524"/>
        <w:spacing w:after="0"/>
        <w:tabs>
          <w:tab w:leader="none" w:pos="11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Upon the Group Annuity Contract Issuance, the Insurer may allocate to the General Account an amount of the Final</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Plan Portfolio not greater than the lesser of (i) [ *** ], and the Insurer will allocate the balance of the Final Plan Portfolio to the Guaranteed Separate Account.</w:t>
      </w:r>
    </w:p>
    <w:p>
      <w:pPr>
        <w:spacing w:after="0" w:line="21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(c)</w:t>
        <w:tab/>
        <w:t xml:space="preserve">For purposes of this </w:t>
      </w:r>
      <w:r>
        <w:rPr>
          <w:rFonts w:ascii="Arial" w:cs="Arial" w:eastAsia="Arial" w:hAnsi="Arial"/>
          <w:sz w:val="22"/>
          <w:szCs w:val="22"/>
          <w:u w:val="single" w:color="auto"/>
          <w:color w:val="auto"/>
        </w:rPr>
        <w:t>Section 2.3</w:t>
      </w:r>
      <w:r>
        <w:rPr>
          <w:rFonts w:ascii="Arial" w:cs="Arial" w:eastAsia="Arial" w:hAnsi="Arial"/>
          <w:sz w:val="22"/>
          <w:szCs w:val="22"/>
          <w:color w:val="auto"/>
        </w:rPr>
        <w:t>, the following definitions shall apply:</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Non-Separate Account Amount</w:t>
      </w:r>
      <w:r>
        <w:rPr>
          <w:rFonts w:ascii="Arial" w:cs="Arial" w:eastAsia="Arial" w:hAnsi="Arial"/>
          <w:sz w:val="22"/>
          <w:szCs w:val="22"/>
          <w:color w:val="auto"/>
        </w:rPr>
        <w:t>” equals the [ *** ] as of the Closing Date minus the greater of (a) or (b), where (</w:t>
      </w:r>
      <w:r>
        <w:rPr>
          <w:rFonts w:ascii="Arial" w:cs="Arial" w:eastAsia="Arial" w:hAnsi="Arial"/>
          <w:sz w:val="22"/>
          <w:szCs w:val="22"/>
          <w:u w:val="single" w:color="auto"/>
          <w:color w:val="auto"/>
        </w:rPr>
        <w:t>a</w:t>
      </w:r>
      <w:r>
        <w:rPr>
          <w:rFonts w:ascii="Arial" w:cs="Arial" w:eastAsia="Arial" w:hAnsi="Arial"/>
          <w:sz w:val="22"/>
          <w:szCs w:val="22"/>
          <w:color w:val="auto"/>
        </w:rPr>
        <w:t>) equals the Closing Final Premium [ *** ],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equals zero;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in no event may the Non-Separate Account Amount be less than zero</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Reserve</w:t>
      </w:r>
      <w:r>
        <w:rPr>
          <w:rFonts w:ascii="Arial" w:cs="Arial" w:eastAsia="Arial" w:hAnsi="Arial"/>
          <w:sz w:val="22"/>
          <w:szCs w:val="22"/>
          <w:color w:val="auto"/>
        </w:rPr>
        <w:t>” means the amount of statutory reserves established by the Insurer as of the Closing Date, with respect to the liabilities covered by the Group Annuity Contract, in accordance with statutory accounting principles prescribed or permitted by New Jersey Law.</w:t>
      </w:r>
    </w:p>
    <w:p>
      <w:pPr>
        <w:spacing w:after="0" w:line="186" w:lineRule="exact"/>
        <w:rPr>
          <w:sz w:val="20"/>
          <w:szCs w:val="20"/>
          <w:color w:val="auto"/>
        </w:rPr>
      </w:pPr>
    </w:p>
    <w:p>
      <w:pPr>
        <w:ind w:right="20" w:firstLine="656"/>
        <w:spacing w:after="0" w:line="287" w:lineRule="auto"/>
        <w:tabs>
          <w:tab w:leader="none" w:pos="1263"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allocation of assets (including Contract 300 Portfolio P) between the General Account and the Guaranteed Separate Account following the Closing Date shall be governed by the terms of the Group Annuity Contract.</w:t>
      </w:r>
    </w:p>
    <w:p>
      <w:pPr>
        <w:spacing w:after="0" w:line="145" w:lineRule="exact"/>
        <w:rPr>
          <w:rFonts w:ascii="Arial" w:cs="Arial" w:eastAsia="Arial" w:hAnsi="Arial"/>
          <w:sz w:val="21"/>
          <w:szCs w:val="21"/>
          <w:color w:val="auto"/>
        </w:rPr>
      </w:pPr>
    </w:p>
    <w:p>
      <w:pPr>
        <w:ind w:left="380" w:hanging="372"/>
        <w:spacing w:after="0"/>
        <w:tabs>
          <w:tab w:leader="none" w:pos="38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Calculation of Closing Final Premium</w:t>
      </w:r>
    </w:p>
    <w:p>
      <w:pPr>
        <w:spacing w:after="0" w:line="23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Calculation of Base Annuity Premium and Solicited Adjusted Annuity Premium</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47" w:lineRule="auto"/>
        <w:tabs>
          <w:tab w:leader="none" w:pos="1131"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Base Annuity Premium</w:t>
      </w:r>
      <w:r>
        <w:rPr>
          <w:rFonts w:ascii="Arial" w:cs="Arial" w:eastAsia="Arial" w:hAnsi="Arial"/>
          <w:sz w:val="22"/>
          <w:szCs w:val="22"/>
          <w:color w:val="auto"/>
        </w:rPr>
        <w:t>. The Solicited Annuity Premium, the Non-Solicited Annuity Premium, and the resulting Base Annuity Premium as of the DTFA Pricing Date, as calculated by the Insurer, initially do not give effect to any correction of Classification Errors. The definitive life-by-life list provided by the Insurer or any of its Affiliates containing information (excluding any information regarding monthly benefit amounts) with respect to each Non-Solicited Life and each Solicited Life (together with any other life-by-life information which may subsequently be provided by the Insurer or any of its Affiliates to the Independent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1" w:right="239" w:bottom="1440" w:gutter="0" w:footer="0" w:header="0"/>
          <w:type w:val="continuous"/>
        </w:sectPr>
      </w:pPr>
    </w:p>
    <w:bookmarkStart w:id="118" w:name="page119"/>
    <w:bookmarkEnd w:id="118"/>
    <w:p>
      <w:pPr>
        <w:jc w:val="both"/>
        <w:spacing w:after="0" w:line="286" w:lineRule="auto"/>
        <w:rPr>
          <w:sz w:val="20"/>
          <w:szCs w:val="20"/>
          <w:color w:val="auto"/>
        </w:rPr>
      </w:pPr>
      <w:r>
        <w:rPr>
          <w:rFonts w:ascii="Arial" w:cs="Arial" w:eastAsia="Arial" w:hAnsi="Arial"/>
          <w:sz w:val="19"/>
          <w:szCs w:val="19"/>
          <w:color w:val="auto"/>
        </w:rPr>
        <w:t>Third Party to complete the calculations required by this Agreement, the “</w:t>
      </w:r>
      <w:r>
        <w:rPr>
          <w:rFonts w:ascii="Arial" w:cs="Arial" w:eastAsia="Arial" w:hAnsi="Arial"/>
          <w:sz w:val="19"/>
          <w:szCs w:val="19"/>
          <w:u w:val="single" w:color="auto"/>
          <w:color w:val="auto"/>
        </w:rPr>
        <w:t>Insurer Provided Life-by-Life Information</w:t>
      </w:r>
      <w:r>
        <w:rPr>
          <w:rFonts w:ascii="Arial" w:cs="Arial" w:eastAsia="Arial" w:hAnsi="Arial"/>
          <w:sz w:val="19"/>
          <w:szCs w:val="19"/>
          <w:color w:val="auto"/>
        </w:rPr>
        <w:t xml:space="preserve">”) was provided to the Independent Third Party on May 29, 2012. The Independent Third Party has been directed to certify to the Company that (i) the Priced Lives referenced in </w:t>
      </w:r>
      <w:r>
        <w:rPr>
          <w:rFonts w:ascii="Arial" w:cs="Arial" w:eastAsia="Arial" w:hAnsi="Arial"/>
          <w:sz w:val="19"/>
          <w:szCs w:val="19"/>
          <w:u w:val="single" w:color="auto"/>
          <w:color w:val="auto"/>
        </w:rPr>
        <w:t>Appendix 1.2</w:t>
      </w:r>
      <w:r>
        <w:rPr>
          <w:rFonts w:ascii="Arial" w:cs="Arial" w:eastAsia="Arial" w:hAnsi="Arial"/>
          <w:sz w:val="19"/>
          <w:szCs w:val="19"/>
          <w:color w:val="auto"/>
        </w:rPr>
        <w:t xml:space="preserve"> are the same as the lives (by numeric identifier, excluding any letter identifiers) set forth on the Participant Premium Calculations Tab, which shall be completed in accordance with the [ *** ] process,</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 xml:space="preserve">(ii) the Solicited Annuity Premium is equal to [ *** ] the Non-Solicited Annuity Premium is equal to [ *** ] (such certification, including the matters described in </w:t>
      </w:r>
      <w:r>
        <w:rPr>
          <w:rFonts w:ascii="Arial" w:cs="Arial" w:eastAsia="Arial" w:hAnsi="Arial"/>
          <w:sz w:val="21"/>
          <w:szCs w:val="21"/>
          <w:u w:val="single" w:color="auto"/>
          <w:color w:val="auto"/>
        </w:rPr>
        <w:t>Section 2.4(b)</w:t>
      </w:r>
      <w:r>
        <w:rPr>
          <w:rFonts w:ascii="Arial" w:cs="Arial" w:eastAsia="Arial" w:hAnsi="Arial"/>
          <w:sz w:val="21"/>
          <w:szCs w:val="21"/>
          <w:color w:val="auto"/>
        </w:rPr>
        <w:t>, below, the “</w:t>
      </w:r>
      <w:r>
        <w:rPr>
          <w:rFonts w:ascii="Arial" w:cs="Arial" w:eastAsia="Arial" w:hAnsi="Arial"/>
          <w:sz w:val="21"/>
          <w:szCs w:val="21"/>
          <w:u w:val="single" w:color="auto"/>
          <w:color w:val="auto"/>
        </w:rPr>
        <w:t>Initial Certification</w:t>
      </w:r>
      <w:r>
        <w:rPr>
          <w:rFonts w:ascii="Arial" w:cs="Arial" w:eastAsia="Arial" w:hAnsi="Arial"/>
          <w:sz w:val="21"/>
          <w:szCs w:val="21"/>
          <w:color w:val="auto"/>
        </w:rPr>
        <w:t xml:space="preserve">”). The Independent Third Party will be directed to deliver this Initial Certification as soon as practicable following the DTFA Execution Date, and in no event later than 5 Business Days following the DTFA Execution Date. If the Independent Third Party does not, within such five (5) Business Day time period, certify the Non-Solicited Annuity Premium or the Solicited Annuity Premium calculated by the Insurer, then the Insurer shall so notify the Company and advise the Company of the reasons thereof, if known, and for a period of five (5) Business Days, seek to reasonably cooperate with the Independent Third Party to identify the reasons for the failure to certify and seek to resolve all items causing such failure to certify, and following the resolution of any such items the Insurer shall inform the Company within five (5) Business Days thereafter and the Insurer and the Company shall jointly direct the Independent Third Party to provide the certification contemplated by this </w:t>
      </w:r>
      <w:r>
        <w:rPr>
          <w:rFonts w:ascii="Arial" w:cs="Arial" w:eastAsia="Arial" w:hAnsi="Arial"/>
          <w:sz w:val="21"/>
          <w:szCs w:val="21"/>
          <w:u w:val="single" w:color="auto"/>
          <w:color w:val="auto"/>
        </w:rPr>
        <w:t>Section 2.4(a)</w:t>
      </w:r>
      <w:r>
        <w:rPr>
          <w:rFonts w:ascii="Arial" w:cs="Arial" w:eastAsia="Arial" w:hAnsi="Arial"/>
          <w:sz w:val="21"/>
          <w:szCs w:val="21"/>
          <w:color w:val="auto"/>
        </w:rPr>
        <w:t>.</w:t>
      </w:r>
    </w:p>
    <w:p>
      <w:pPr>
        <w:spacing w:after="0" w:line="229" w:lineRule="exact"/>
        <w:rPr>
          <w:sz w:val="20"/>
          <w:szCs w:val="20"/>
          <w:color w:val="auto"/>
        </w:rPr>
      </w:pPr>
    </w:p>
    <w:p>
      <w:pPr>
        <w:jc w:val="both"/>
        <w:ind w:firstLine="656"/>
        <w:spacing w:after="0" w:line="291" w:lineRule="auto"/>
        <w:tabs>
          <w:tab w:leader="none" w:pos="123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Solicited Adjusted Annuity Premium</w:t>
      </w:r>
      <w:r>
        <w:rPr>
          <w:rFonts w:ascii="Arial" w:cs="Arial" w:eastAsia="Arial" w:hAnsi="Arial"/>
          <w:sz w:val="19"/>
          <w:szCs w:val="19"/>
          <w:color w:val="auto"/>
        </w:rPr>
        <w:t>. The Solicited Adjusted Annuity Premium as of the DTFA Pricing Date as calculated by the Insurer, initially does not give effect to any correction of the Signing Classification Errors. The Independent Third</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Party has been directed to certify to the Company that, in accordance with Section A of the Procedures Manual, the Solicited</w:t>
      </w:r>
    </w:p>
    <w:p>
      <w:pPr>
        <w:spacing w:after="0" w:line="240"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Adjusted Annuity Premium is equal to the sum of the aggregate solicited annuity premium after applying [ *** ], as set forth on the Participant Premium Calculation Tab, which shall be completed in accordance with [ *** ]. The Independent Third</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Party will be directed to deliver this certification as soon as practicable following the DTFA Execution Date, and in no event later than five (5) Business Days following DTFA Execution Date. If the Independent Third Party does not, within such five (5) Business Day time period, certify the Solicited Adjusted Annuity Premium calculated by the Insurer, then the Insurer shall so notify the Company and advise the Company of the reasons thereof, if known, and for a period of five (5) Business Days, seek to reasonably cooperate with the Independent Third Party to identify the reasons for the failure to certify and seek to resolve all items causing such failure to certify, and following the resolution of any such items the Insurer shall inform the Company within five (5) Business Days thereafter and the Insurer and the Company shall jointly direct the Independent Third Party to provide the certification contemplated by this </w:t>
      </w:r>
      <w:r>
        <w:rPr>
          <w:rFonts w:ascii="Arial" w:cs="Arial" w:eastAsia="Arial" w:hAnsi="Arial"/>
          <w:sz w:val="21"/>
          <w:szCs w:val="21"/>
          <w:u w:val="single" w:color="auto"/>
          <w:color w:val="auto"/>
        </w:rPr>
        <w:t>Section 2.4(b)</w:t>
      </w:r>
      <w:r>
        <w:rPr>
          <w:rFonts w:ascii="Arial" w:cs="Arial" w:eastAsia="Arial" w:hAnsi="Arial"/>
          <w:sz w:val="21"/>
          <w:szCs w:val="21"/>
          <w:color w:val="auto"/>
        </w:rPr>
        <w:t>.</w:t>
      </w:r>
    </w:p>
    <w:p>
      <w:pPr>
        <w:spacing w:after="0" w:line="223" w:lineRule="exact"/>
        <w:rPr>
          <w:sz w:val="20"/>
          <w:szCs w:val="20"/>
          <w:color w:val="auto"/>
        </w:rPr>
      </w:pPr>
    </w:p>
    <w:p>
      <w:pPr>
        <w:jc w:val="both"/>
        <w:ind w:firstLine="656"/>
        <w:spacing w:after="0" w:line="285" w:lineRule="auto"/>
        <w:tabs>
          <w:tab w:leader="none" w:pos="1212"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Signing Classification Errors</w:t>
      </w:r>
      <w:r>
        <w:rPr>
          <w:rFonts w:ascii="Arial" w:cs="Arial" w:eastAsia="Arial" w:hAnsi="Arial"/>
          <w:sz w:val="19"/>
          <w:szCs w:val="19"/>
          <w:color w:val="auto"/>
        </w:rPr>
        <w:t>. On or prior to the date that is the later of (x) thirty (30) days following the DTFA Execution Date or (y) 14 days after the delivery by the Company to the Insurer of a revised list of Priced Lives, indicating whether each such Priced Life is a Solicited Life or a Non-Solicited Life correcting for the Classification Errors indentified prior to the DTFA Execution Date (the “</w:t>
      </w:r>
      <w:r>
        <w:rPr>
          <w:rFonts w:ascii="Arial" w:cs="Arial" w:eastAsia="Arial" w:hAnsi="Arial"/>
          <w:sz w:val="19"/>
          <w:szCs w:val="19"/>
          <w:u w:val="single" w:color="auto"/>
          <w:color w:val="auto"/>
        </w:rPr>
        <w:t>Signing Classification Errors</w:t>
      </w:r>
      <w:r>
        <w:rPr>
          <w:rFonts w:ascii="Arial" w:cs="Arial" w:eastAsia="Arial" w:hAnsi="Arial"/>
          <w:sz w:val="19"/>
          <w:szCs w:val="19"/>
          <w:color w:val="auto"/>
        </w:rPr>
        <w:t>”), the Insurer shall deliver to the Company and to the Independent Third Party an updated Identified CD-ROM and a revised calculation of the Solicited Annuity Premium, the Non-Solicited Annuity Premium (and the resulting Base Annuity Premium), and the Solicited Adjusted Annuity Premium, in each case as of the DTFA</w:t>
      </w:r>
    </w:p>
    <w:p>
      <w:pPr>
        <w:spacing w:after="0"/>
        <w:rPr>
          <w:rFonts w:ascii="Arial" w:cs="Arial" w:eastAsia="Arial" w:hAnsi="Arial"/>
          <w:sz w:val="19"/>
          <w:szCs w:val="19"/>
          <w:color w:val="auto"/>
        </w:rPr>
      </w:pPr>
      <w:r>
        <w:rPr>
          <w:rFonts w:ascii="Arial" w:cs="Arial" w:eastAsia="Arial" w:hAnsi="Arial"/>
          <w:sz w:val="19"/>
          <w:szCs w:val="19"/>
          <w:color w:val="auto"/>
        </w:rPr>
        <w:t>Pricing Date. The Insurer shall calculate the Solicited Annuity Premium, the Non-Solicited Annuity Premium (and the resulting</w:t>
      </w:r>
    </w:p>
    <w:p>
      <w:pPr>
        <w:spacing w:after="0" w:line="239"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Base Annuity Premium), and the Solicited Adjusted Annuity Premium in accordance with the methodologies, [ *** ] (including methodologies relating to [ *** ]), that were applied by the Insurer in calculating the original Non-Solicited</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Annuity Premium, the Solicited Annuity Premium, and the Solicited Adjusted Annuity Premium, as applicable. Such revised calculations shall be made solely to give effect to the correction of the Signing Classification Errors (which for the avoidance of doubt shall be only as to the lives set forth in </w:t>
      </w:r>
      <w:r>
        <w:rPr>
          <w:rFonts w:ascii="Arial" w:cs="Arial" w:eastAsia="Arial" w:hAnsi="Arial"/>
          <w:sz w:val="22"/>
          <w:szCs w:val="22"/>
          <w:u w:val="single" w:color="auto"/>
          <w:color w:val="auto"/>
        </w:rPr>
        <w:t>Section 2.4(a)</w:t>
      </w:r>
      <w:r>
        <w:rPr>
          <w:rFonts w:ascii="Arial" w:cs="Arial" w:eastAsia="Arial" w:hAnsi="Arial"/>
          <w:sz w:val="22"/>
          <w:szCs w:val="22"/>
          <w:color w:val="auto"/>
        </w:rPr>
        <w:t xml:space="preserve"> of the Company Disclosure Letter). The Company and the Insurer shall jointly direct the Independent Third Party to, within five (5)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1" w:right="239" w:bottom="1440" w:gutter="0" w:footer="0" w:header="0"/>
        </w:sectPr>
      </w:pPr>
    </w:p>
    <w:bookmarkStart w:id="119" w:name="page120"/>
    <w:bookmarkEnd w:id="119"/>
    <w:p>
      <w:pPr>
        <w:jc w:val="both"/>
        <w:spacing w:after="0" w:line="291" w:lineRule="auto"/>
        <w:rPr>
          <w:sz w:val="20"/>
          <w:szCs w:val="20"/>
          <w:color w:val="auto"/>
        </w:rPr>
      </w:pPr>
      <w:r>
        <w:rPr>
          <w:rFonts w:ascii="Arial" w:cs="Arial" w:eastAsia="Arial" w:hAnsi="Arial"/>
          <w:sz w:val="19"/>
          <w:szCs w:val="19"/>
          <w:color w:val="auto"/>
        </w:rPr>
        <w:t>Business Days of delivery of such revised calculations, certify to the Company and the Insurer (such certification, the “</w:t>
      </w:r>
      <w:r>
        <w:rPr>
          <w:rFonts w:ascii="Arial" w:cs="Arial" w:eastAsia="Arial" w:hAnsi="Arial"/>
          <w:sz w:val="19"/>
          <w:szCs w:val="19"/>
          <w:u w:val="single" w:color="auto"/>
          <w:color w:val="auto"/>
        </w:rPr>
        <w:t>Revised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Certification</w:t>
      </w:r>
      <w:r>
        <w:rPr>
          <w:rFonts w:ascii="Arial" w:cs="Arial" w:eastAsia="Arial" w:hAnsi="Arial"/>
          <w:sz w:val="19"/>
          <w:szCs w:val="19"/>
          <w:color w:val="auto"/>
        </w:rPr>
        <w:t>”), that (i) such revised calculations were limited to the Signing Classification Errors, and the Solicited Annuity</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Premium, Non-Solicited Annuity Premium and Solicited Adjusted Annuity Premium are the same for all other [ *** ] calculations with respect to Solicited Lives and Non-Solicited Lives not affected by the Signing Classification Errors, (ii) (A) the revised Solicited Annuity Premium and the Non-Solicited Annuity Premium, respectively, on the Summary Version-Vita Premium</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Build-Up Tool, is equal to the sum of the aggregate [ *** ], respectively, set forth on the revised Participant Premium Calculation Tab, which shall be completed in accordance with the [ *** ] and (B) the revised Solicited Adjusted Annuity</w:t>
      </w:r>
    </w:p>
    <w:p>
      <w:pPr>
        <w:spacing w:after="0"/>
        <w:rPr>
          <w:sz w:val="20"/>
          <w:szCs w:val="20"/>
          <w:color w:val="auto"/>
        </w:rPr>
      </w:pPr>
      <w:r>
        <w:rPr>
          <w:rFonts w:ascii="Arial" w:cs="Arial" w:eastAsia="Arial" w:hAnsi="Arial"/>
          <w:sz w:val="19"/>
          <w:szCs w:val="19"/>
          <w:color w:val="auto"/>
        </w:rPr>
        <w:t>Premium on the Summary Version-Vita Premium Build-Up Tool is equal to the sum of the aggregate solicited annuity premium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spacing w:after="0"/>
              <w:rPr>
                <w:sz w:val="20"/>
                <w:szCs w:val="20"/>
                <w:color w:val="auto"/>
              </w:rPr>
            </w:pPr>
            <w:r>
              <w:rPr>
                <w:rFonts w:ascii="Arial" w:cs="Arial" w:eastAsia="Arial" w:hAnsi="Arial"/>
                <w:sz w:val="22"/>
                <w:szCs w:val="22"/>
                <w:color w:val="auto"/>
              </w:rPr>
              <w:t>after applying the [   ***</w:t>
            </w:r>
          </w:p>
        </w:tc>
        <w:tc>
          <w:tcPr>
            <w:tcW w:w="8940" w:type="dxa"/>
            <w:vAlign w:val="bottom"/>
            <w:gridSpan w:val="7"/>
          </w:tcPr>
          <w:p>
            <w:pPr>
              <w:jc w:val="right"/>
              <w:spacing w:after="0"/>
              <w:rPr>
                <w:sz w:val="20"/>
                <w:szCs w:val="20"/>
                <w:color w:val="auto"/>
              </w:rPr>
            </w:pPr>
            <w:r>
              <w:rPr>
                <w:rFonts w:ascii="Arial" w:cs="Arial" w:eastAsia="Arial" w:hAnsi="Arial"/>
                <w:sz w:val="22"/>
                <w:szCs w:val="22"/>
                <w:color w:val="auto"/>
                <w:w w:val="92"/>
              </w:rPr>
              <w:t>], as set forth on the revised Participant Premium Calculation Tab for each Solicited Life which shall</w:t>
            </w:r>
          </w:p>
        </w:tc>
      </w:tr>
      <w:tr>
        <w:trPr>
          <w:trHeight w:val="257"/>
        </w:trPr>
        <w:tc>
          <w:tcPr>
            <w:tcW w:w="3280" w:type="dxa"/>
            <w:vAlign w:val="bottom"/>
            <w:gridSpan w:val="2"/>
          </w:tcPr>
          <w:p>
            <w:pPr>
              <w:spacing w:after="0"/>
              <w:rPr>
                <w:sz w:val="20"/>
                <w:szCs w:val="20"/>
                <w:color w:val="auto"/>
              </w:rPr>
            </w:pPr>
            <w:r>
              <w:rPr>
                <w:rFonts w:ascii="Arial" w:cs="Arial" w:eastAsia="Arial" w:hAnsi="Arial"/>
                <w:sz w:val="22"/>
                <w:szCs w:val="22"/>
                <w:color w:val="auto"/>
                <w:w w:val="98"/>
              </w:rPr>
              <w:t>be completed in accordance with [</w:t>
            </w:r>
          </w:p>
        </w:tc>
        <w:tc>
          <w:tcPr>
            <w:tcW w:w="8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2620" w:type="dxa"/>
            <w:vAlign w:val="bottom"/>
          </w:tcPr>
          <w:p>
            <w:pPr>
              <w:ind w:left="260"/>
              <w:spacing w:after="0"/>
              <w:rPr>
                <w:sz w:val="20"/>
                <w:szCs w:val="20"/>
                <w:color w:val="auto"/>
              </w:rPr>
            </w:pPr>
            <w:r>
              <w:rPr>
                <w:rFonts w:ascii="Arial" w:cs="Arial" w:eastAsia="Arial" w:hAnsi="Arial"/>
                <w:sz w:val="22"/>
                <w:szCs w:val="22"/>
                <w:color w:val="auto"/>
              </w:rPr>
              <w:t>], and (iii) the average [</w:t>
            </w:r>
          </w:p>
        </w:tc>
        <w:tc>
          <w:tcPr>
            <w:tcW w:w="78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940" w:type="dxa"/>
            <w:vAlign w:val="bottom"/>
            <w:gridSpan w:val="3"/>
          </w:tcPr>
          <w:p>
            <w:pPr>
              <w:jc w:val="right"/>
              <w:spacing w:after="0"/>
              <w:rPr>
                <w:sz w:val="20"/>
                <w:szCs w:val="20"/>
                <w:color w:val="auto"/>
              </w:rPr>
            </w:pPr>
            <w:r>
              <w:rPr>
                <w:rFonts w:ascii="Arial" w:cs="Arial" w:eastAsia="Arial" w:hAnsi="Arial"/>
                <w:sz w:val="22"/>
                <w:szCs w:val="22"/>
                <w:color w:val="auto"/>
              </w:rPr>
              <w:t>] for lives who are affected by a Signing</w:t>
            </w:r>
          </w:p>
        </w:tc>
      </w:tr>
      <w:tr>
        <w:trPr>
          <w:trHeight w:val="275"/>
        </w:trPr>
        <w:tc>
          <w:tcPr>
            <w:tcW w:w="9860" w:type="dxa"/>
            <w:vAlign w:val="bottom"/>
            <w:gridSpan w:val="6"/>
          </w:tcPr>
          <w:p>
            <w:pPr>
              <w:spacing w:after="0"/>
              <w:rPr>
                <w:sz w:val="20"/>
                <w:szCs w:val="20"/>
                <w:color w:val="auto"/>
              </w:rPr>
            </w:pPr>
            <w:r>
              <w:rPr>
                <w:rFonts w:ascii="Arial" w:cs="Arial" w:eastAsia="Arial" w:hAnsi="Arial"/>
                <w:sz w:val="22"/>
                <w:szCs w:val="22"/>
                <w:color w:val="auto"/>
                <w:w w:val="96"/>
              </w:rPr>
              <w:t>Classification Error and have become Solicited Lives as a result of such Signing Classification Error will [</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 If the</w:t>
            </w:r>
          </w:p>
        </w:tc>
      </w:tr>
    </w:tbl>
    <w:p>
      <w:pPr>
        <w:jc w:val="both"/>
        <w:spacing w:after="0" w:line="256" w:lineRule="auto"/>
        <w:rPr>
          <w:sz w:val="20"/>
          <w:szCs w:val="20"/>
          <w:color w:val="auto"/>
        </w:rPr>
      </w:pPr>
      <w:r>
        <w:rPr>
          <w:rFonts w:ascii="Arial" w:cs="Arial" w:eastAsia="Arial" w:hAnsi="Arial"/>
          <w:sz w:val="21"/>
          <w:szCs w:val="21"/>
          <w:color w:val="auto"/>
        </w:rPr>
        <w:t xml:space="preserve">Independent Third Party does not, within such 5 Business Day time period, make such certifications, then the Insurer shall so notify the Company and advise the Company of the reasons thereof, if known, and for a period of five (5) Business Days, seek to reasonably cooperate with the Independent Third Party to identify the reasons for the failure to certify and seek to resolve all items causing such failure to certify, and following the resolution of any such items the Insurer shall inform the Company within five (5) Business Days thereafter and the Insurer and the Company shall jointly direct the Independent Third Party to provide the certification contemplated by this </w:t>
      </w:r>
      <w:r>
        <w:rPr>
          <w:rFonts w:ascii="Arial" w:cs="Arial" w:eastAsia="Arial" w:hAnsi="Arial"/>
          <w:sz w:val="21"/>
          <w:szCs w:val="21"/>
          <w:u w:val="single" w:color="auto"/>
          <w:color w:val="auto"/>
        </w:rPr>
        <w:t>Section 2.4(c)</w:t>
      </w:r>
      <w:r>
        <w:rPr>
          <w:rFonts w:ascii="Arial" w:cs="Arial" w:eastAsia="Arial" w:hAnsi="Arial"/>
          <w:sz w:val="21"/>
          <w:szCs w:val="21"/>
          <w:color w:val="auto"/>
        </w:rPr>
        <w:t xml:space="preserve">. Following the calculations in this </w:t>
      </w:r>
      <w:r>
        <w:rPr>
          <w:rFonts w:ascii="Arial" w:cs="Arial" w:eastAsia="Arial" w:hAnsi="Arial"/>
          <w:sz w:val="21"/>
          <w:szCs w:val="21"/>
          <w:u w:val="single" w:color="auto"/>
          <w:color w:val="auto"/>
        </w:rPr>
        <w:t>Sections 2.4(c)</w:t>
      </w:r>
      <w:r>
        <w:rPr>
          <w:rFonts w:ascii="Arial" w:cs="Arial" w:eastAsia="Arial" w:hAnsi="Arial"/>
          <w:sz w:val="21"/>
          <w:szCs w:val="21"/>
          <w:color w:val="auto"/>
        </w:rPr>
        <w:t>, the revised Solicited Annuity Premium, the Non-Solicited Annuity Premium (and the resulting Base Annuity Premium), and the Solicited Adjusted Annuity Premium shall replace the previous calculations of the Solicited Annuity Premium, the Non-Solicited Annuity Premium, the Solicited Adjusted Annuity Premium, as applicable.</w:t>
      </w:r>
    </w:p>
    <w:p>
      <w:pPr>
        <w:spacing w:after="0" w:line="230" w:lineRule="exact"/>
        <w:rPr>
          <w:sz w:val="20"/>
          <w:szCs w:val="20"/>
          <w:color w:val="auto"/>
        </w:rPr>
      </w:pPr>
    </w:p>
    <w:p>
      <w:pPr>
        <w:jc w:val="both"/>
        <w:ind w:firstLine="656"/>
        <w:spacing w:after="0" w:line="285" w:lineRule="auto"/>
        <w:tabs>
          <w:tab w:leader="none" w:pos="111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Additional Classification Errors</w:t>
      </w:r>
      <w:r>
        <w:rPr>
          <w:rFonts w:ascii="Arial" w:cs="Arial" w:eastAsia="Arial" w:hAnsi="Arial"/>
          <w:sz w:val="19"/>
          <w:szCs w:val="19"/>
          <w:color w:val="auto"/>
        </w:rPr>
        <w:t>. If any Additional Classification Errors are reported to the Insurer, the Insurer shall, in connection with the calculation of whichever of the Dry-Run Post-Solicitation Premium, Preliminary Post-Solicitation Premium, Interim Post-Closing Post-Solicitation Premium or Post-Closing Post-Solicitation Premium is to be next calculated by the Insurer pursuant to this Agreement, deliver to the Company and to the Independent Third Party a calculation of the resulting Additional Classification Error Correction. The Insurer shall calculate such Additional Classification Error Correction in accordance with the</w:t>
      </w:r>
    </w:p>
    <w:p>
      <w:pPr>
        <w:spacing w:after="0" w:line="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methodologies, [ *** ] (including methodologies relating to [ *** ]), that were applied by the Insurer in calculating the original Non-Solicited Annuity Premium, the Solicited Annuity Premium, and the Solicited Adjusted Annuity Premium, as applicable. In connection with the calculations described in the preceding sentence, the Insurer shall also deliver to the Independent Third Party the data inputs in respect of such Additional Classification Errors that are required to populate the “Average</w:t>
      </w:r>
    </w:p>
    <w:p>
      <w:pPr>
        <w:spacing w:after="0" w:line="3" w:lineRule="exact"/>
        <w:rPr>
          <w:sz w:val="20"/>
          <w:szCs w:val="20"/>
          <w:color w:val="auto"/>
        </w:rPr>
      </w:pPr>
    </w:p>
    <w:p>
      <w:pPr>
        <w:jc w:val="both"/>
        <w:spacing w:after="0" w:line="507" w:lineRule="auto"/>
        <w:rPr>
          <w:sz w:val="20"/>
          <w:szCs w:val="20"/>
          <w:color w:val="auto"/>
        </w:rPr>
      </w:pPr>
      <w:r>
        <w:rPr>
          <w:rFonts w:ascii="Arial" w:cs="Arial" w:eastAsia="Arial" w:hAnsi="Arial"/>
          <w:sz w:val="19"/>
          <w:szCs w:val="19"/>
          <w:color w:val="auto"/>
        </w:rPr>
        <w:t>Incremental [ *** ] Charge for lives with increases in Solicited Base and Adjusted Annuity Premiums due to Classification changes or benefit increases” table set forth in the Post-Solicitation Premium Tab. The Company and the Insurer shall jointly direct the Independent Third Party to, within five (5) Business Days of delivery of such revised calculations, certify to the Company and the Insurer that the average [ *** ] within each [ *** ] for lives who are affected by a Signing Classification Error, an Additional Classification Error and have become Solicited Lives as a result of such Signing Classification Error 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Classification Error, or who were affected by a Benefit Amount Correction, will not be greater than [ *** ] multiplied by the average [ *** ] for all Solicited Lives in [ *** ].</w:t>
      </w:r>
    </w:p>
    <w:p>
      <w:pPr>
        <w:spacing w:after="0" w:line="215" w:lineRule="exact"/>
        <w:rPr>
          <w:sz w:val="20"/>
          <w:szCs w:val="20"/>
          <w:color w:val="auto"/>
        </w:rPr>
      </w:pPr>
    </w:p>
    <w:p>
      <w:pPr>
        <w:jc w:val="both"/>
        <w:ind w:firstLine="656"/>
        <w:spacing w:after="0" w:line="250" w:lineRule="auto"/>
        <w:tabs>
          <w:tab w:leader="none" w:pos="126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Benefit Amount Corrections</w:t>
      </w:r>
      <w:r>
        <w:rPr>
          <w:rFonts w:ascii="Arial" w:cs="Arial" w:eastAsia="Arial" w:hAnsi="Arial"/>
          <w:sz w:val="22"/>
          <w:szCs w:val="22"/>
          <w:color w:val="auto"/>
        </w:rPr>
        <w:t>. If any Benefit Amount Increases are reported to the Insurer, the Insurer shall, in connection with the calculation of whichever of the Dry-Run Post-Solicitation Premium, Preliminary Post-Solicitation Premium, Interim Post-Closing Post-Solicitation Premium or Post-Closing Post-Solicitation Premium is to be next calculated by the Insurer pursuant to this Agreement, deliver to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1" w:right="23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Company and to the Independent Third Party a calculation of the resulting Benefit Amount Correction. The Insurer shall calculate</w:t>
      </w:r>
    </w:p>
    <w:p>
      <w:pPr>
        <w:spacing w:after="0" w:line="56" w:lineRule="exact"/>
        <w:rPr>
          <w:sz w:val="20"/>
          <w:szCs w:val="20"/>
          <w:color w:val="auto"/>
        </w:rPr>
      </w:pPr>
    </w:p>
    <w:p>
      <w:pPr>
        <w:spacing w:after="0"/>
        <w:tabs>
          <w:tab w:leader="none" w:pos="6820" w:val="left"/>
          <w:tab w:leader="none" w:pos="7640" w:val="left"/>
        </w:tabs>
        <w:rPr>
          <w:sz w:val="20"/>
          <w:szCs w:val="20"/>
          <w:color w:val="auto"/>
        </w:rPr>
      </w:pPr>
      <w:r>
        <w:rPr>
          <w:rFonts w:ascii="Arial" w:cs="Arial" w:eastAsia="Arial" w:hAnsi="Arial"/>
          <w:sz w:val="22"/>
          <w:szCs w:val="22"/>
          <w:color w:val="auto"/>
        </w:rPr>
        <w:t>such Benefit Amount Correction in accordance with the methodologies,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(including methodologies relating to [</w:t>
      </w:r>
    </w:p>
    <w:p>
      <w:pPr>
        <w:spacing w:after="0" w:line="4" w:lineRule="exact"/>
        <w:rPr>
          <w:sz w:val="20"/>
          <w:szCs w:val="20"/>
          <w:color w:val="auto"/>
        </w:rPr>
      </w:pPr>
    </w:p>
    <w:p>
      <w:pPr>
        <w:jc w:val="both"/>
        <w:ind w:firstLine="8"/>
        <w:spacing w:after="0" w:line="281" w:lineRule="auto"/>
        <w:tabs>
          <w:tab w:leader="none" w:pos="887" w:val="left"/>
        </w:tabs>
        <w:numPr>
          <w:ilvl w:val="0"/>
          <w:numId w:val="61"/>
        </w:numPr>
        <w:rPr>
          <w:rFonts w:ascii="Arial" w:cs="Arial" w:eastAsia="Arial" w:hAnsi="Arial"/>
          <w:sz w:val="19"/>
          <w:szCs w:val="19"/>
          <w:color w:val="auto"/>
        </w:rPr>
      </w:pPr>
      <w:r>
        <w:rPr>
          <w:rFonts w:ascii="Arial" w:cs="Arial" w:eastAsia="Arial" w:hAnsi="Arial"/>
          <w:sz w:val="19"/>
          <w:szCs w:val="19"/>
          <w:color w:val="auto"/>
        </w:rPr>
        <w:t>]), that were applied by the Insurer in calculating the original Non-Solicited Annuity Premium, the Solicited Annuity Premium, and the Solicited Adjusted Annuity Premium, as applicable. In connection with the calculations described in the preceding sentence, the Insurer shall also deliver to the Independent Third Party the data inputs in respect of such Benefit Amount</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Increases that are required to populate the “Average Incremental [ *** ] for lives with increases in Solicited Base and Adjusted Annuity Premiums due to Classification changes or benefit increases” table set forth in the Post-Solicitation Premium Spreadsheet. The Company and the Insurer shall jointly direct the Independent Third Party to, within five (5) Business Days of</w:t>
      </w:r>
    </w:p>
    <w:p>
      <w:pPr>
        <w:spacing w:after="0" w:line="2" w:lineRule="exact"/>
        <w:rPr>
          <w:sz w:val="20"/>
          <w:szCs w:val="20"/>
          <w:color w:val="auto"/>
        </w:rPr>
      </w:pPr>
    </w:p>
    <w:p>
      <w:pPr>
        <w:spacing w:after="0"/>
        <w:tabs>
          <w:tab w:leader="none" w:pos="8600" w:val="left"/>
          <w:tab w:leader="none" w:pos="9360" w:val="left"/>
          <w:tab w:leader="none" w:pos="10940" w:val="left"/>
        </w:tabs>
        <w:rPr>
          <w:sz w:val="20"/>
          <w:szCs w:val="20"/>
          <w:color w:val="auto"/>
        </w:rPr>
      </w:pPr>
      <w:r>
        <w:rPr>
          <w:rFonts w:ascii="Arial" w:cs="Arial" w:eastAsia="Arial" w:hAnsi="Arial"/>
          <w:sz w:val="21"/>
          <w:szCs w:val="21"/>
          <w:color w:val="auto"/>
        </w:rPr>
        <w:t>delivery of such revised calculations, certify to the Company and the Insurer that the average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within each [</w:t>
        <w:tab/>
        <w:t>***</w:t>
      </w:r>
    </w:p>
    <w:p>
      <w:pPr>
        <w:spacing w:after="0" w:line="4" w:lineRule="exact"/>
        <w:rPr>
          <w:sz w:val="20"/>
          <w:szCs w:val="20"/>
          <w:color w:val="auto"/>
        </w:rPr>
      </w:pPr>
    </w:p>
    <w:p>
      <w:pPr>
        <w:jc w:val="both"/>
        <w:ind w:firstLine="226"/>
        <w:spacing w:after="0" w:line="281" w:lineRule="auto"/>
        <w:tabs>
          <w:tab w:leader="none" w:pos="345" w:val="left"/>
        </w:tabs>
        <w:numPr>
          <w:ilvl w:val="0"/>
          <w:numId w:val="62"/>
        </w:numPr>
        <w:rPr>
          <w:rFonts w:ascii="Arial" w:cs="Arial" w:eastAsia="Arial" w:hAnsi="Arial"/>
          <w:sz w:val="19"/>
          <w:szCs w:val="19"/>
          <w:color w:val="auto"/>
        </w:rPr>
      </w:pPr>
      <w:r>
        <w:rPr>
          <w:rFonts w:ascii="Arial" w:cs="Arial" w:eastAsia="Arial" w:hAnsi="Arial"/>
          <w:sz w:val="19"/>
          <w:szCs w:val="19"/>
          <w:color w:val="auto"/>
        </w:rPr>
        <w:t>for lives who are affected by a Signing Classification Error, an Additional Classification Error and have become Solicited Lives as a result of such Signing Classification Error or Additional Classification Error, or who were affected by a Benefit Amount</w:t>
      </w:r>
    </w:p>
    <w:p>
      <w:pPr>
        <w:spacing w:after="0" w:line="2" w:lineRule="exact"/>
        <w:rPr>
          <w:sz w:val="20"/>
          <w:szCs w:val="20"/>
          <w:color w:val="auto"/>
        </w:rPr>
      </w:pPr>
    </w:p>
    <w:p>
      <w:pPr>
        <w:spacing w:after="0"/>
        <w:tabs>
          <w:tab w:leader="none" w:pos="3420" w:val="left"/>
          <w:tab w:leader="none" w:pos="4120" w:val="left"/>
          <w:tab w:leader="none" w:pos="7020" w:val="left"/>
          <w:tab w:leader="none" w:pos="7720" w:val="left"/>
          <w:tab w:leader="none" w:pos="10140" w:val="left"/>
          <w:tab w:leader="none" w:pos="10840" w:val="left"/>
        </w:tabs>
        <w:rPr>
          <w:sz w:val="20"/>
          <w:szCs w:val="20"/>
          <w:color w:val="auto"/>
        </w:rPr>
      </w:pPr>
      <w:r>
        <w:rPr>
          <w:rFonts w:ascii="Arial" w:cs="Arial" w:eastAsia="Arial" w:hAnsi="Arial"/>
          <w:sz w:val="22"/>
          <w:szCs w:val="22"/>
          <w:color w:val="auto"/>
        </w:rPr>
        <w:t>Correction, will not be greater than [</w:t>
        <w:tab/>
        <w:t>***</w:t>
      </w:r>
      <w:r>
        <w:rPr>
          <w:sz w:val="20"/>
          <w:szCs w:val="20"/>
          <w:color w:val="auto"/>
        </w:rPr>
        <w:tab/>
      </w:r>
      <w:r>
        <w:rPr>
          <w:rFonts w:ascii="Arial" w:cs="Arial" w:eastAsia="Arial" w:hAnsi="Arial"/>
          <w:sz w:val="22"/>
          <w:szCs w:val="22"/>
          <w:color w:val="auto"/>
        </w:rPr>
        <w:t>]% multiplied by the average [</w:t>
        <w:tab/>
        <w:t>***</w:t>
      </w:r>
      <w:r>
        <w:rPr>
          <w:sz w:val="20"/>
          <w:szCs w:val="20"/>
          <w:color w:val="auto"/>
        </w:rPr>
        <w:tab/>
      </w:r>
      <w:r>
        <w:rPr>
          <w:rFonts w:ascii="Arial" w:cs="Arial" w:eastAsia="Arial" w:hAnsi="Arial"/>
          <w:sz w:val="22"/>
          <w:szCs w:val="22"/>
          <w:color w:val="auto"/>
        </w:rPr>
        <w:t>] for all Solicited Lives [</w:t>
        <w:tab/>
        <w:t>***</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Calculation of Revised Base Annuity Premium</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88" w:lineRule="auto"/>
        <w:tabs>
          <w:tab w:leader="none" w:pos="1131"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Lump-Sum Election Data</w:t>
      </w:r>
      <w:r>
        <w:rPr>
          <w:rFonts w:ascii="Arial" w:cs="Arial" w:eastAsia="Arial" w:hAnsi="Arial"/>
          <w:sz w:val="19"/>
          <w:szCs w:val="19"/>
          <w:color w:val="auto"/>
        </w:rPr>
        <w:t>. On or prior to the date that is three (3) Business Days following the end of the Lump-Sum Election Period, the Company shall deliver to the Insurer and the Independent Third Party a statement setting forth a life-by-life list of each Solicited Life who made a Lump-Sum Election and each Solicited Life who did not make a Lump-Sum Election and any</w:t>
      </w:r>
    </w:p>
    <w:p>
      <w:pPr>
        <w:spacing w:after="0" w:line="1" w:lineRule="exact"/>
        <w:rPr>
          <w:sz w:val="20"/>
          <w:szCs w:val="20"/>
          <w:color w:val="auto"/>
        </w:rPr>
      </w:pPr>
    </w:p>
    <w:p>
      <w:pPr>
        <w:spacing w:after="0"/>
        <w:tabs>
          <w:tab w:leader="none" w:pos="2000" w:val="left"/>
          <w:tab w:leader="none" w:pos="2700" w:val="left"/>
        </w:tabs>
        <w:rPr>
          <w:sz w:val="20"/>
          <w:szCs w:val="20"/>
          <w:color w:val="auto"/>
        </w:rPr>
      </w:pPr>
      <w:r>
        <w:rPr>
          <w:rFonts w:ascii="Arial" w:cs="Arial" w:eastAsia="Arial" w:hAnsi="Arial"/>
          <w:sz w:val="22"/>
          <w:szCs w:val="22"/>
          <w:color w:val="auto"/>
        </w:rPr>
        <w:t>Solicited Life who [</w:t>
        <w:tab/>
        <w:t>***</w:t>
      </w:r>
      <w:r>
        <w:rPr>
          <w:sz w:val="20"/>
          <w:szCs w:val="20"/>
          <w:color w:val="auto"/>
        </w:rPr>
        <w:tab/>
      </w:r>
      <w:r>
        <w:rPr>
          <w:rFonts w:ascii="Arial" w:cs="Arial" w:eastAsia="Arial" w:hAnsi="Arial"/>
          <w:sz w:val="19"/>
          <w:szCs w:val="19"/>
          <w:color w:val="auto"/>
        </w:rPr>
        <w:t>], together with reasonable supporting documentation (the “</w:t>
      </w:r>
      <w:r>
        <w:rPr>
          <w:rFonts w:ascii="Arial" w:cs="Arial" w:eastAsia="Arial" w:hAnsi="Arial"/>
          <w:sz w:val="19"/>
          <w:szCs w:val="19"/>
          <w:u w:val="single" w:color="auto"/>
          <w:color w:val="auto"/>
        </w:rPr>
        <w:t>Lump-Sum Data</w:t>
      </w:r>
      <w:r>
        <w:rPr>
          <w:rFonts w:ascii="Arial" w:cs="Arial" w:eastAsia="Arial" w:hAnsi="Arial"/>
          <w:sz w:val="19"/>
          <w:szCs w:val="19"/>
          <w:color w:val="auto"/>
        </w:rPr>
        <w:t>”).</w:t>
      </w:r>
    </w:p>
    <w:p>
      <w:pPr>
        <w:spacing w:after="0" w:line="242" w:lineRule="exact"/>
        <w:rPr>
          <w:sz w:val="20"/>
          <w:szCs w:val="20"/>
          <w:color w:val="auto"/>
        </w:rPr>
      </w:pPr>
    </w:p>
    <w:p>
      <w:pPr>
        <w:jc w:val="both"/>
        <w:ind w:firstLine="656"/>
        <w:spacing w:after="0" w:line="286" w:lineRule="auto"/>
        <w:tabs>
          <w:tab w:leader="none" w:pos="1197"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Revised Base Annuity Premium</w:t>
      </w:r>
      <w:r>
        <w:rPr>
          <w:rFonts w:ascii="Arial" w:cs="Arial" w:eastAsia="Arial" w:hAnsi="Arial"/>
          <w:sz w:val="19"/>
          <w:szCs w:val="19"/>
          <w:color w:val="auto"/>
        </w:rPr>
        <w:t>. Within three (3) Business Days following the receipt of the Lump-Sum Data, the Insurer shall deliver to the Company and to the Independent Third Party a calculation of the Non-Electing Solicited Adjusted Annuity Premium and the Non-Electing Annuity Premium, and the calculation of the Revised Base Annuity Premium, in each case calculated in accordance with Section A of the Procedures Manual. The Insurer shall also deliver to the Company a calculation of</w:t>
      </w:r>
    </w:p>
    <w:p>
      <w:pPr>
        <w:spacing w:after="0" w:line="3" w:lineRule="exact"/>
        <w:rPr>
          <w:sz w:val="20"/>
          <w:szCs w:val="20"/>
          <w:color w:val="auto"/>
        </w:rPr>
      </w:pPr>
    </w:p>
    <w:p>
      <w:pPr>
        <w:jc w:val="both"/>
        <w:spacing w:after="0" w:line="187" w:lineRule="auto"/>
        <w:rPr>
          <w:sz w:val="20"/>
          <w:szCs w:val="20"/>
          <w:color w:val="auto"/>
        </w:rPr>
      </w:pPr>
      <w:r>
        <w:rPr>
          <w:rFonts w:ascii="Arial" w:cs="Arial" w:eastAsia="Arial" w:hAnsi="Arial"/>
          <w:sz w:val="19"/>
          <w:szCs w:val="19"/>
          <w:color w:val="auto"/>
        </w:rPr>
        <w:t>the estimated [ *** ], and the estimated [ *** ] as of such date. The Insurer and the Company shall jointly direct the Independent Third Party to, within 5 Business Days following receipt of such calculations, certify to the Company that (i) the Solicited Lives set forth on the Participant Premium Calculations Tab who did not make a Lump-Sum Election were also designated by the Lump Sum Data as not having made a Lump-Sum Election, and the Solicited Lives set forth on the Participant Premium Calculations Tab who did make a Lump-Sum Election were also designated by the Lump Sum Data as having made a Lump-Sum Election and (ii) the Non-Electing Annuity Premium, as calculated by the Insurer, is equal to the aggregate solicited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adjusted annuity premium for each [ *** ] who did not make a Lump-Sum Election, then multiplied by [ *** ] (as defined in the Procedures Manual) for each [ *** ]. The Independent Third Party shall use its calculation of the Non-Electing</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Annuity Premium as may be revised pursuant to </w:t>
      </w:r>
      <w:r>
        <w:rPr>
          <w:rFonts w:ascii="Arial" w:cs="Arial" w:eastAsia="Arial" w:hAnsi="Arial"/>
          <w:sz w:val="22"/>
          <w:szCs w:val="22"/>
          <w:u w:val="single" w:color="auto"/>
          <w:color w:val="auto"/>
        </w:rPr>
        <w:t>Section 2.5(c)</w:t>
      </w:r>
      <w:r>
        <w:rPr>
          <w:rFonts w:ascii="Arial" w:cs="Arial" w:eastAsia="Arial" w:hAnsi="Arial"/>
          <w:sz w:val="22"/>
          <w:szCs w:val="22"/>
          <w:color w:val="auto"/>
        </w:rPr>
        <w:t xml:space="preserve">, in connection with any future calculations it makes pursuant to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w:t>
      </w:r>
      <w:r>
        <w:rPr>
          <w:rFonts w:ascii="Arial" w:cs="Arial" w:eastAsia="Arial" w:hAnsi="Arial"/>
          <w:sz w:val="22"/>
          <w:szCs w:val="22"/>
          <w:u w:val="single" w:color="auto"/>
          <w:color w:val="auto"/>
        </w:rPr>
        <w:t>2.8</w:t>
      </w:r>
      <w:r>
        <w:rPr>
          <w:rFonts w:ascii="Arial" w:cs="Arial" w:eastAsia="Arial" w:hAnsi="Arial"/>
          <w:sz w:val="22"/>
          <w:szCs w:val="22"/>
          <w:color w:val="auto"/>
        </w:rPr>
        <w:t xml:space="preserve">, </w:t>
      </w:r>
      <w:r>
        <w:rPr>
          <w:rFonts w:ascii="Arial" w:cs="Arial" w:eastAsia="Arial" w:hAnsi="Arial"/>
          <w:sz w:val="22"/>
          <w:szCs w:val="22"/>
          <w:u w:val="single" w:color="auto"/>
          <w:color w:val="auto"/>
        </w:rPr>
        <w:t>2.9</w:t>
      </w:r>
      <w:r>
        <w:rPr>
          <w:rFonts w:ascii="Arial" w:cs="Arial" w:eastAsia="Arial" w:hAnsi="Arial"/>
          <w:sz w:val="22"/>
          <w:szCs w:val="22"/>
          <w:color w:val="auto"/>
        </w:rPr>
        <w:t xml:space="preserve">,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2.11</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85" w:lineRule="auto"/>
        <w:tabs>
          <w:tab w:leader="none" w:pos="1134" w:val="left"/>
        </w:tabs>
        <w:numPr>
          <w:ilvl w:val="1"/>
          <w:numId w:val="65"/>
        </w:numPr>
        <w:rPr>
          <w:rFonts w:ascii="Arial" w:cs="Arial" w:eastAsia="Arial" w:hAnsi="Arial"/>
          <w:sz w:val="19"/>
          <w:szCs w:val="19"/>
          <w:color w:val="auto"/>
        </w:rPr>
      </w:pPr>
      <w:r>
        <w:rPr>
          <w:rFonts w:ascii="Arial" w:cs="Arial" w:eastAsia="Arial" w:hAnsi="Arial"/>
          <w:sz w:val="19"/>
          <w:szCs w:val="19"/>
          <w:color w:val="auto"/>
        </w:rPr>
        <w:t>If the calculations by the Independent Third Party differ from the amounts calculated by the Insurer, the Insurer shall, for a period of five (5) Business Days, seek to reasonably cooperate with the Company and the Independent Third Party to identify the reasons for the difference and seek to resolve all such differences, and shall deliver the revised calculations, if any, to the Company within five (5) Business Days thereafter. In the event the Insurer, the Company and the Independent Third Party do not identify or resolve all such differences, the Company and the Insurer shall jointly direct the Independent Third Party to, within two</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Business Days, make any revisions to the Non-Electing Solicited Adjusted Annuity Premium,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1" w:right="239" w:bottom="1440" w:gutter="0" w:footer="0" w:header="0"/>
        </w:sectPr>
      </w:pPr>
    </w:p>
    <w:bookmarkStart w:id="121" w:name="page122"/>
    <w:bookmarkEnd w:id="121"/>
    <w:p>
      <w:pPr>
        <w:jc w:val="both"/>
        <w:spacing w:after="0" w:line="253" w:lineRule="auto"/>
        <w:rPr>
          <w:sz w:val="20"/>
          <w:szCs w:val="20"/>
          <w:color w:val="auto"/>
        </w:rPr>
      </w:pPr>
      <w:r>
        <w:rPr>
          <w:rFonts w:ascii="Arial" w:cs="Arial" w:eastAsia="Arial" w:hAnsi="Arial"/>
          <w:sz w:val="22"/>
          <w:szCs w:val="22"/>
          <w:color w:val="auto"/>
        </w:rPr>
        <w:t>Non-Electing Annuity Premium, and Revised Base Annuity Premium that were agreed upon by the Company and the Insurer and restate the Non-Electing Solicited Adjusted Annuity Premium, Non-Electing Annuity Premium, and Revised Base Annuity Premium, and provide the Company and the Insurer with such revised calculations.</w:t>
      </w:r>
    </w:p>
    <w:p>
      <w:pPr>
        <w:spacing w:after="0" w:line="226" w:lineRule="exact"/>
        <w:rPr>
          <w:sz w:val="20"/>
          <w:szCs w:val="20"/>
          <w:color w:val="auto"/>
        </w:rPr>
      </w:pPr>
    </w:p>
    <w:p>
      <w:pPr>
        <w:jc w:val="both"/>
        <w:ind w:firstLine="656"/>
        <w:spacing w:after="0" w:line="291" w:lineRule="auto"/>
        <w:tabs>
          <w:tab w:leader="none" w:pos="1219" w:val="left"/>
        </w:tabs>
        <w:numPr>
          <w:ilvl w:val="0"/>
          <w:numId w:val="67"/>
        </w:numPr>
        <w:rPr>
          <w:rFonts w:ascii="Arial" w:cs="Arial" w:eastAsia="Arial" w:hAnsi="Arial"/>
          <w:sz w:val="19"/>
          <w:szCs w:val="19"/>
          <w:color w:val="auto"/>
        </w:rPr>
      </w:pPr>
      <w:r>
        <w:rPr>
          <w:rFonts w:ascii="Arial" w:cs="Arial" w:eastAsia="Arial" w:hAnsi="Arial"/>
          <w:sz w:val="19"/>
          <w:szCs w:val="19"/>
          <w:color w:val="auto"/>
        </w:rPr>
        <w:t>As soon as practicable after July 20, 2012, the Company will provide to the Insurer a statement setting forth the Company's good faith estimate of a life-by-life list of each Solicited Life who made a Lump-Sum Election and each Solicited Life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who did not make a Lump-Sum Election and any Solicited Life [ *** ](the “</w:t>
      </w:r>
      <w:r>
        <w:rPr>
          <w:rFonts w:ascii="Arial" w:cs="Arial" w:eastAsia="Arial" w:hAnsi="Arial"/>
          <w:sz w:val="22"/>
          <w:szCs w:val="22"/>
          <w:u w:val="single" w:color="auto"/>
          <w:color w:val="auto"/>
        </w:rPr>
        <w:t>Estimated Lump-Sum Data</w:t>
      </w:r>
      <w:r>
        <w:rPr>
          <w:rFonts w:ascii="Arial" w:cs="Arial" w:eastAsia="Arial" w:hAnsi="Arial"/>
          <w:sz w:val="22"/>
          <w:szCs w:val="22"/>
          <w:color w:val="auto"/>
        </w:rPr>
        <w:t>”). As soon as practicable after the receipt of the Estimated Lump-Sum Data, the Insurer will provide to the Company its good faith estimate of the [ *** ] as of date of delivery of the Estimated Lump-Sum Data.</w:t>
      </w:r>
    </w:p>
    <w:p>
      <w:pPr>
        <w:spacing w:after="0" w:line="234" w:lineRule="exact"/>
        <w:rPr>
          <w:sz w:val="20"/>
          <w:szCs w:val="20"/>
          <w:color w:val="auto"/>
        </w:rPr>
      </w:pPr>
    </w:p>
    <w:p>
      <w:pPr>
        <w:ind w:left="1120" w:hanging="464"/>
        <w:spacing w:after="0"/>
        <w:tabs>
          <w:tab w:leader="none" w:pos="112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Dry-Run Post-Solicitation Premium; Preliminary Post-Solicitation Premium</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645"/>
        <w:spacing w:after="0" w:line="288" w:lineRule="auto"/>
        <w:tabs>
          <w:tab w:leader="none" w:pos="2160"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 connection with the calculation of each Dry-Run Closing Premium, the Insurer shall deliver to the Company a calculation of such Dry-Run Post-Solicitation Premium. The “</w:t>
      </w:r>
      <w:r>
        <w:rPr>
          <w:rFonts w:ascii="Arial" w:cs="Arial" w:eastAsia="Arial" w:hAnsi="Arial"/>
          <w:sz w:val="19"/>
          <w:szCs w:val="19"/>
          <w:u w:val="single" w:color="auto"/>
          <w:color w:val="auto"/>
        </w:rPr>
        <w:t>Dry-Run Post-Solicitation Premium</w:t>
      </w:r>
      <w:r>
        <w:rPr>
          <w:rFonts w:ascii="Arial" w:cs="Arial" w:eastAsia="Arial" w:hAnsi="Arial"/>
          <w:sz w:val="19"/>
          <w:szCs w:val="19"/>
          <w:color w:val="auto"/>
        </w:rPr>
        <w:t>” shall be an amount, calculated by the Insurer, equal to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Non-Solicited Annuity Premium,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the Non-Electing Annuity</w:t>
      </w:r>
    </w:p>
    <w:p>
      <w:pPr>
        <w:spacing w:after="0" w:line="1"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 xml:space="preserve">Premium, </w:t>
      </w:r>
      <w:r>
        <w:rPr>
          <w:rFonts w:ascii="Arial" w:cs="Arial" w:eastAsia="Arial" w:hAnsi="Arial"/>
          <w:sz w:val="22"/>
          <w:szCs w:val="22"/>
          <w:i w:val="1"/>
          <w:iCs w:val="1"/>
          <w:color w:val="auto"/>
        </w:rPr>
        <w:t>minus</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the Dry-Run Single Life Mortality Correction </w:t>
      </w:r>
      <w:r>
        <w:rPr>
          <w:rFonts w:ascii="Arial" w:cs="Arial" w:eastAsia="Arial" w:hAnsi="Arial"/>
          <w:sz w:val="22"/>
          <w:szCs w:val="22"/>
          <w:i w:val="1"/>
          <w:iCs w:val="1"/>
          <w:color w:val="auto"/>
        </w:rPr>
        <w:t>plus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the Dry-Run [ *** ], </w:t>
      </w:r>
      <w:r>
        <w:rPr>
          <w:rFonts w:ascii="Arial" w:cs="Arial" w:eastAsia="Arial" w:hAnsi="Arial"/>
          <w:sz w:val="22"/>
          <w:szCs w:val="22"/>
          <w:i w:val="1"/>
          <w:iCs w:val="1"/>
          <w:color w:val="auto"/>
        </w:rPr>
        <w:t>plus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the Dry-Run Additional Classification Error Correction, </w:t>
      </w:r>
      <w:r>
        <w:rPr>
          <w:rFonts w:ascii="Arial" w:cs="Arial" w:eastAsia="Arial" w:hAnsi="Arial"/>
          <w:sz w:val="22"/>
          <w:szCs w:val="22"/>
          <w:i w:val="1"/>
          <w:iCs w:val="1"/>
          <w:color w:val="auto"/>
        </w:rPr>
        <w:t>plus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vi</w:t>
      </w:r>
      <w:r>
        <w:rPr>
          <w:rFonts w:ascii="Arial" w:cs="Arial" w:eastAsia="Arial" w:hAnsi="Arial"/>
          <w:sz w:val="22"/>
          <w:szCs w:val="22"/>
          <w:color w:val="auto"/>
        </w:rPr>
        <w:t>) the Dry-Run Benefit Amount Correction. For the avoidance of doubt, the Dry-Run GAAP Liability Correction, the Dry-Run Additional Classification Error Correction and the Dry-Run Benefit Amount Correction could be negative numbers.</w:t>
      </w:r>
    </w:p>
    <w:p>
      <w:pPr>
        <w:spacing w:after="0" w:line="236" w:lineRule="exact"/>
        <w:rPr>
          <w:sz w:val="20"/>
          <w:szCs w:val="20"/>
          <w:color w:val="auto"/>
        </w:rPr>
      </w:pPr>
    </w:p>
    <w:p>
      <w:pPr>
        <w:jc w:val="both"/>
        <w:ind w:left="660" w:firstLine="645"/>
        <w:spacing w:after="0" w:line="288" w:lineRule="auto"/>
        <w:tabs>
          <w:tab w:leader="none" w:pos="2221" w:val="left"/>
        </w:tabs>
        <w:numPr>
          <w:ilvl w:val="0"/>
          <w:numId w:val="69"/>
        </w:numPr>
        <w:rPr>
          <w:rFonts w:ascii="Arial" w:cs="Arial" w:eastAsia="Arial" w:hAnsi="Arial"/>
          <w:sz w:val="19"/>
          <w:szCs w:val="19"/>
          <w:color w:val="auto"/>
        </w:rPr>
      </w:pPr>
      <w:r>
        <w:rPr>
          <w:rFonts w:ascii="Arial" w:cs="Arial" w:eastAsia="Arial" w:hAnsi="Arial"/>
          <w:sz w:val="19"/>
          <w:szCs w:val="19"/>
          <w:color w:val="auto"/>
        </w:rPr>
        <w:t>On the date that is twenty-three (23) days prior to the Target Closing Date, the Insurer shall deliver to the Company a calculation of the Preliminary Post-Solicitation Premium. The “</w:t>
      </w:r>
      <w:r>
        <w:rPr>
          <w:rFonts w:ascii="Arial" w:cs="Arial" w:eastAsia="Arial" w:hAnsi="Arial"/>
          <w:sz w:val="19"/>
          <w:szCs w:val="19"/>
          <w:u w:val="single" w:color="auto"/>
          <w:color w:val="auto"/>
        </w:rPr>
        <w:t>Preliminary Post-Solicitation Premium</w:t>
      </w:r>
      <w:r>
        <w:rPr>
          <w:rFonts w:ascii="Arial" w:cs="Arial" w:eastAsia="Arial" w:hAnsi="Arial"/>
          <w:sz w:val="19"/>
          <w:szCs w:val="19"/>
          <w:color w:val="auto"/>
        </w:rPr>
        <w:t>” shall be an amount, calculated by the Insurer, equal to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Non-Solicited Annuity Premium,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the Non-Electing Annuity</w:t>
      </w:r>
    </w:p>
    <w:p>
      <w:pPr>
        <w:spacing w:after="0" w:line="1" w:lineRule="exact"/>
        <w:rPr>
          <w:sz w:val="20"/>
          <w:szCs w:val="20"/>
          <w:color w:val="auto"/>
        </w:rPr>
      </w:pPr>
    </w:p>
    <w:p>
      <w:pPr>
        <w:jc w:val="both"/>
        <w:ind w:left="660"/>
        <w:spacing w:after="0" w:line="281" w:lineRule="auto"/>
        <w:rPr>
          <w:sz w:val="20"/>
          <w:szCs w:val="20"/>
          <w:color w:val="auto"/>
        </w:rPr>
      </w:pPr>
      <w:r>
        <w:rPr>
          <w:rFonts w:ascii="Arial" w:cs="Arial" w:eastAsia="Arial" w:hAnsi="Arial"/>
          <w:sz w:val="19"/>
          <w:szCs w:val="19"/>
          <w:color w:val="auto"/>
        </w:rPr>
        <w:t xml:space="preserve">Premium, </w:t>
      </w:r>
      <w:r>
        <w:rPr>
          <w:rFonts w:ascii="Arial" w:cs="Arial" w:eastAsia="Arial" w:hAnsi="Arial"/>
          <w:sz w:val="19"/>
          <w:szCs w:val="19"/>
          <w:i w:val="1"/>
          <w:iCs w:val="1"/>
          <w:color w:val="auto"/>
        </w:rPr>
        <w:t>minus</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Preliminary Single Life Mortality Correction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the Preliminary [ *** ],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the Preliminary Additional Classification Error Correction,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the Preliminary Benefit Amount Correction. In connection with the delivery of the Preliminary Post-Solicitation Premium, the Insurer shall calculate and deliver to the</w:t>
      </w:r>
    </w:p>
    <w:tbl>
      <w:tblPr>
        <w:tblLayout w:type="fixed"/>
        <w:tblInd w:w="660" w:type="dxa"/>
        <w:tblCellMar>
          <w:top w:w="0" w:type="dxa"/>
          <w:left w:w="0" w:type="dxa"/>
          <w:bottom w:w="0" w:type="dxa"/>
          <w:right w:w="0" w:type="dxa"/>
        </w:tblCellMar>
      </w:tblPr>
      <w:tr>
        <w:trPr>
          <w:trHeight w:val="241"/>
        </w:trPr>
        <w:tc>
          <w:tcPr>
            <w:tcW w:w="3420" w:type="dxa"/>
            <w:vAlign w:val="bottom"/>
            <w:gridSpan w:val="6"/>
          </w:tcPr>
          <w:p>
            <w:pPr>
              <w:spacing w:after="0" w:line="241" w:lineRule="exact"/>
              <w:rPr>
                <w:sz w:val="20"/>
                <w:szCs w:val="20"/>
                <w:color w:val="auto"/>
              </w:rPr>
            </w:pPr>
            <w:r>
              <w:rPr>
                <w:rFonts w:ascii="Arial" w:cs="Arial" w:eastAsia="Arial" w:hAnsi="Arial"/>
                <w:sz w:val="22"/>
                <w:szCs w:val="22"/>
                <w:color w:val="auto"/>
              </w:rPr>
              <w:t>Company a calculation of the [   ***</w:t>
            </w:r>
          </w:p>
        </w:tc>
        <w:tc>
          <w:tcPr>
            <w:tcW w:w="200" w:type="dxa"/>
            <w:vAlign w:val="bottom"/>
          </w:tcPr>
          <w:p>
            <w:pPr>
              <w:spacing w:after="0"/>
              <w:rPr>
                <w:sz w:val="20"/>
                <w:szCs w:val="20"/>
                <w:color w:val="auto"/>
              </w:rPr>
            </w:pPr>
          </w:p>
        </w:tc>
        <w:tc>
          <w:tcPr>
            <w:tcW w:w="7140" w:type="dxa"/>
            <w:vAlign w:val="bottom"/>
            <w:gridSpan w:val="4"/>
          </w:tcPr>
          <w:p>
            <w:pPr>
              <w:jc w:val="right"/>
              <w:spacing w:after="0" w:line="241" w:lineRule="exact"/>
              <w:rPr>
                <w:sz w:val="20"/>
                <w:szCs w:val="20"/>
                <w:color w:val="auto"/>
              </w:rPr>
            </w:pPr>
            <w:r>
              <w:rPr>
                <w:rFonts w:ascii="Arial" w:cs="Arial" w:eastAsia="Arial" w:hAnsi="Arial"/>
                <w:sz w:val="22"/>
                <w:szCs w:val="22"/>
                <w:color w:val="auto"/>
                <w:w w:val="90"/>
              </w:rPr>
              <w:t>], calculated as of the date that is thirty (30) days prior to the Target Closing Date</w:t>
            </w:r>
          </w:p>
        </w:tc>
      </w:tr>
      <w:tr>
        <w:trPr>
          <w:trHeight w:val="224"/>
        </w:trPr>
        <w:tc>
          <w:tcPr>
            <w:tcW w:w="640" w:type="dxa"/>
            <w:vAlign w:val="bottom"/>
          </w:tcPr>
          <w:p>
            <w:pPr>
              <w:spacing w:after="0" w:line="224" w:lineRule="exact"/>
              <w:rPr>
                <w:sz w:val="20"/>
                <w:szCs w:val="20"/>
                <w:color w:val="auto"/>
              </w:rPr>
            </w:pPr>
            <w:r>
              <w:rPr>
                <w:rFonts w:ascii="Arial" w:cs="Arial" w:eastAsia="Arial" w:hAnsi="Arial"/>
                <w:sz w:val="22"/>
                <w:szCs w:val="22"/>
                <w:color w:val="auto"/>
              </w:rPr>
              <w:t>(the [</w:t>
            </w:r>
          </w:p>
        </w:tc>
        <w:tc>
          <w:tcPr>
            <w:tcW w:w="860" w:type="dxa"/>
            <w:vAlign w:val="bottom"/>
          </w:tcPr>
          <w:p>
            <w:pPr>
              <w:jc w:val="right"/>
              <w:ind w:right="272"/>
              <w:spacing w:after="0" w:line="224" w:lineRule="exact"/>
              <w:rPr>
                <w:sz w:val="20"/>
                <w:szCs w:val="20"/>
                <w:color w:val="auto"/>
              </w:rPr>
            </w:pPr>
            <w:r>
              <w:rPr>
                <w:rFonts w:ascii="Arial" w:cs="Arial" w:eastAsia="Arial" w:hAnsi="Arial"/>
                <w:sz w:val="22"/>
                <w:szCs w:val="22"/>
                <w:color w:val="auto"/>
              </w:rPr>
              <w:t>***</w:t>
            </w:r>
          </w:p>
        </w:tc>
        <w:tc>
          <w:tcPr>
            <w:tcW w:w="1920" w:type="dxa"/>
            <w:vAlign w:val="bottom"/>
            <w:gridSpan w:val="4"/>
          </w:tcPr>
          <w:p>
            <w:pPr>
              <w:ind w:left="100"/>
              <w:spacing w:after="0" w:line="224" w:lineRule="exact"/>
              <w:rPr>
                <w:sz w:val="20"/>
                <w:szCs w:val="20"/>
                <w:color w:val="auto"/>
              </w:rPr>
            </w:pPr>
            <w:r>
              <w:rPr>
                <w:rFonts w:ascii="Arial" w:cs="Arial" w:eastAsia="Arial" w:hAnsi="Arial"/>
                <w:sz w:val="22"/>
                <w:szCs w:val="22"/>
                <w:color w:val="auto"/>
              </w:rPr>
              <w:t>]); provided that, [</w:t>
            </w:r>
          </w:p>
        </w:tc>
        <w:tc>
          <w:tcPr>
            <w:tcW w:w="860" w:type="dxa"/>
            <w:vAlign w:val="bottom"/>
            <w:gridSpan w:val="2"/>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6480" w:type="dxa"/>
            <w:vAlign w:val="bottom"/>
            <w:gridSpan w:val="3"/>
          </w:tcPr>
          <w:p>
            <w:pPr>
              <w:jc w:val="right"/>
              <w:spacing w:after="0" w:line="224" w:lineRule="exact"/>
              <w:rPr>
                <w:sz w:val="20"/>
                <w:szCs w:val="20"/>
                <w:color w:val="auto"/>
              </w:rPr>
            </w:pPr>
            <w:r>
              <w:rPr>
                <w:rFonts w:ascii="Arial" w:cs="Arial" w:eastAsia="Arial" w:hAnsi="Arial"/>
                <w:sz w:val="22"/>
                <w:szCs w:val="22"/>
                <w:color w:val="auto"/>
                <w:w w:val="92"/>
              </w:rPr>
              <w:t>], for purposes of calculating the Closing PFS Adjustment only, shall not</w:t>
            </w:r>
          </w:p>
        </w:tc>
      </w:tr>
      <w:tr>
        <w:trPr>
          <w:trHeight w:val="20"/>
        </w:trPr>
        <w:tc>
          <w:tcPr>
            <w:tcW w:w="1860" w:type="dxa"/>
            <w:vAlign w:val="bottom"/>
            <w:gridSpan w:val="3"/>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r>
      <w:tr>
        <w:trPr>
          <w:trHeight w:val="269"/>
        </w:trPr>
        <w:tc>
          <w:tcPr>
            <w:tcW w:w="3620" w:type="dxa"/>
            <w:vAlign w:val="bottom"/>
            <w:gridSpan w:val="7"/>
          </w:tcPr>
          <w:p>
            <w:pPr>
              <w:spacing w:after="0"/>
              <w:rPr>
                <w:sz w:val="20"/>
                <w:szCs w:val="20"/>
                <w:color w:val="auto"/>
              </w:rPr>
            </w:pPr>
            <w:r>
              <w:rPr>
                <w:rFonts w:ascii="Arial" w:cs="Arial" w:eastAsia="Arial" w:hAnsi="Arial"/>
                <w:sz w:val="22"/>
                <w:szCs w:val="22"/>
                <w:color w:val="auto"/>
                <w:w w:val="91"/>
              </w:rPr>
              <w:t>exceed the calculation of the estimated [</w:t>
            </w:r>
          </w:p>
        </w:tc>
        <w:tc>
          <w:tcPr>
            <w:tcW w:w="660" w:type="dxa"/>
            <w:vAlign w:val="bottom"/>
          </w:tcPr>
          <w:p>
            <w:pPr>
              <w:jc w:val="right"/>
              <w:spacing w:after="0"/>
              <w:rPr>
                <w:sz w:val="20"/>
                <w:szCs w:val="20"/>
                <w:color w:val="auto"/>
              </w:rPr>
            </w:pPr>
            <w:r>
              <w:rPr>
                <w:rFonts w:ascii="Arial" w:cs="Arial" w:eastAsia="Arial" w:hAnsi="Arial"/>
                <w:sz w:val="22"/>
                <w:szCs w:val="22"/>
                <w:color w:val="auto"/>
              </w:rPr>
              <w:t>***</w:t>
            </w:r>
          </w:p>
        </w:tc>
        <w:tc>
          <w:tcPr>
            <w:tcW w:w="6480" w:type="dxa"/>
            <w:vAlign w:val="bottom"/>
            <w:gridSpan w:val="3"/>
          </w:tcPr>
          <w:p>
            <w:pPr>
              <w:jc w:val="right"/>
              <w:spacing w:after="0"/>
              <w:rPr>
                <w:sz w:val="20"/>
                <w:szCs w:val="20"/>
                <w:color w:val="auto"/>
              </w:rPr>
            </w:pPr>
            <w:r>
              <w:rPr>
                <w:rFonts w:ascii="Arial" w:cs="Arial" w:eastAsia="Arial" w:hAnsi="Arial"/>
                <w:sz w:val="22"/>
                <w:szCs w:val="22"/>
                <w:color w:val="auto"/>
                <w:w w:val="99"/>
              </w:rPr>
              <w:t>] for the most recently delivered calculation of the Dry-Run Closing</w:t>
            </w:r>
          </w:p>
        </w:tc>
      </w:tr>
      <w:tr>
        <w:trPr>
          <w:trHeight w:val="257"/>
        </w:trPr>
        <w:tc>
          <w:tcPr>
            <w:tcW w:w="1500" w:type="dxa"/>
            <w:vAlign w:val="bottom"/>
            <w:gridSpan w:val="2"/>
          </w:tcPr>
          <w:p>
            <w:pPr>
              <w:spacing w:after="0"/>
              <w:rPr>
                <w:sz w:val="20"/>
                <w:szCs w:val="20"/>
                <w:color w:val="auto"/>
              </w:rPr>
            </w:pPr>
            <w:r>
              <w:rPr>
                <w:rFonts w:ascii="Arial" w:cs="Arial" w:eastAsia="Arial" w:hAnsi="Arial"/>
                <w:sz w:val="22"/>
                <w:szCs w:val="22"/>
                <w:color w:val="auto"/>
                <w:w w:val="96"/>
              </w:rPr>
              <w:t>Premium, plus [</w:t>
            </w:r>
          </w:p>
        </w:tc>
        <w:tc>
          <w:tcPr>
            <w:tcW w:w="74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6360" w:type="dxa"/>
            <w:vAlign w:val="bottom"/>
            <w:gridSpan w:val="6"/>
          </w:tcPr>
          <w:p>
            <w:pPr>
              <w:jc w:val="right"/>
              <w:ind w:right="112"/>
              <w:spacing w:after="0"/>
              <w:rPr>
                <w:sz w:val="20"/>
                <w:szCs w:val="20"/>
                <w:color w:val="auto"/>
              </w:rPr>
            </w:pPr>
            <w:r>
              <w:rPr>
                <w:rFonts w:ascii="Arial" w:cs="Arial" w:eastAsia="Arial" w:hAnsi="Arial"/>
                <w:sz w:val="22"/>
                <w:szCs w:val="22"/>
                <w:color w:val="auto"/>
                <w:w w:val="96"/>
              </w:rPr>
              <w:t>], and shall not be less than the calculation of the estimated [   ***</w:t>
            </w:r>
          </w:p>
        </w:tc>
        <w:tc>
          <w:tcPr>
            <w:tcW w:w="2160" w:type="dxa"/>
            <w:vAlign w:val="bottom"/>
          </w:tcPr>
          <w:p>
            <w:pPr>
              <w:jc w:val="right"/>
              <w:spacing w:after="0"/>
              <w:rPr>
                <w:sz w:val="20"/>
                <w:szCs w:val="20"/>
                <w:color w:val="auto"/>
              </w:rPr>
            </w:pPr>
            <w:r>
              <w:rPr>
                <w:rFonts w:ascii="Arial" w:cs="Arial" w:eastAsia="Arial" w:hAnsi="Arial"/>
                <w:sz w:val="22"/>
                <w:szCs w:val="22"/>
                <w:color w:val="auto"/>
              </w:rPr>
              <w:t>] for the most recently</w:t>
            </w:r>
          </w:p>
        </w:tc>
      </w:tr>
      <w:tr>
        <w:trPr>
          <w:trHeight w:val="275"/>
        </w:trPr>
        <w:tc>
          <w:tcPr>
            <w:tcW w:w="6240" w:type="dxa"/>
            <w:vAlign w:val="bottom"/>
            <w:gridSpan w:val="9"/>
          </w:tcPr>
          <w:p>
            <w:pPr>
              <w:spacing w:after="0"/>
              <w:rPr>
                <w:sz w:val="20"/>
                <w:szCs w:val="20"/>
                <w:color w:val="auto"/>
              </w:rPr>
            </w:pPr>
            <w:r>
              <w:rPr>
                <w:rFonts w:ascii="Arial" w:cs="Arial" w:eastAsia="Arial" w:hAnsi="Arial"/>
                <w:sz w:val="22"/>
                <w:szCs w:val="22"/>
                <w:color w:val="auto"/>
                <w:w w:val="96"/>
              </w:rPr>
              <w:t>delivered calculation of the Dry-Run Closing Premium minus [   ***</w:t>
            </w:r>
          </w:p>
        </w:tc>
        <w:tc>
          <w:tcPr>
            <w:tcW w:w="2360" w:type="dxa"/>
            <w:vAlign w:val="bottom"/>
          </w:tcPr>
          <w:p>
            <w:pPr>
              <w:jc w:val="right"/>
              <w:ind w:right="1932"/>
              <w:spacing w:after="0"/>
              <w:rPr>
                <w:sz w:val="20"/>
                <w:szCs w:val="20"/>
                <w:color w:val="auto"/>
              </w:rPr>
            </w:pPr>
            <w:r>
              <w:rPr>
                <w:rFonts w:ascii="Arial" w:cs="Arial" w:eastAsia="Arial" w:hAnsi="Arial"/>
                <w:sz w:val="22"/>
                <w:szCs w:val="22"/>
                <w:color w:val="auto"/>
              </w:rPr>
              <w:t>].</w:t>
            </w:r>
          </w:p>
        </w:tc>
        <w:tc>
          <w:tcPr>
            <w:tcW w:w="2160" w:type="dxa"/>
            <w:vAlign w:val="bottom"/>
          </w:tcPr>
          <w:p>
            <w:pPr>
              <w:spacing w:after="0"/>
              <w:rPr>
                <w:sz w:val="23"/>
                <w:szCs w:val="23"/>
                <w:color w:val="auto"/>
              </w:rPr>
            </w:pPr>
          </w:p>
        </w:tc>
      </w:tr>
    </w:tbl>
    <w:p>
      <w:pPr>
        <w:spacing w:after="0" w:line="239" w:lineRule="exact"/>
        <w:rPr>
          <w:sz w:val="20"/>
          <w:szCs w:val="20"/>
          <w:color w:val="auto"/>
        </w:rPr>
      </w:pPr>
    </w:p>
    <w:p>
      <w:pPr>
        <w:jc w:val="both"/>
        <w:ind w:firstLine="656"/>
        <w:spacing w:after="0" w:line="288" w:lineRule="auto"/>
        <w:tabs>
          <w:tab w:leader="none" w:pos="1126" w:val="left"/>
        </w:tabs>
        <w:numPr>
          <w:ilvl w:val="0"/>
          <w:numId w:val="70"/>
        </w:numPr>
        <w:rPr>
          <w:rFonts w:ascii="Arial" w:cs="Arial" w:eastAsia="Arial" w:hAnsi="Arial"/>
          <w:sz w:val="19"/>
          <w:szCs w:val="19"/>
          <w:color w:val="auto"/>
        </w:rPr>
      </w:pPr>
      <w:r>
        <w:rPr>
          <w:rFonts w:ascii="Arial" w:cs="Arial" w:eastAsia="Arial" w:hAnsi="Arial"/>
          <w:sz w:val="19"/>
          <w:szCs w:val="19"/>
          <w:color w:val="auto"/>
        </w:rPr>
        <w:t>Each Dry-Run Post Solicitation Premium and the Preliminary Post-Solicitation Premium, as well as the [ *** ], shall be reviewed by the Independent Third Party as part of its independent calculation of each Dry-Run Closing Premium, the Preliminary Closing Premium, the Revised Preliminary Closing Premium and the Closing Final Premium, as applicable, it being</w:t>
      </w:r>
    </w:p>
    <w:p>
      <w:pPr>
        <w:spacing w:after="0" w:line="1" w:lineRule="exact"/>
        <w:rPr>
          <w:sz w:val="20"/>
          <w:szCs w:val="20"/>
          <w:color w:val="auto"/>
        </w:rPr>
      </w:pPr>
    </w:p>
    <w:p>
      <w:pPr>
        <w:spacing w:after="0"/>
        <w:tabs>
          <w:tab w:leader="none" w:pos="10960" w:val="left"/>
        </w:tabs>
        <w:rPr>
          <w:sz w:val="20"/>
          <w:szCs w:val="20"/>
          <w:color w:val="auto"/>
        </w:rPr>
      </w:pPr>
      <w:r>
        <w:rPr>
          <w:rFonts w:ascii="Arial" w:cs="Arial" w:eastAsia="Arial" w:hAnsi="Arial"/>
          <w:sz w:val="21"/>
          <w:szCs w:val="21"/>
          <w:color w:val="auto"/>
        </w:rPr>
        <w:t>understood that the Independent Third Party's review of the Preliminary Single Life Mortality Correction, the Preliminary [</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firstLine="265"/>
        <w:spacing w:after="0" w:line="246" w:lineRule="auto"/>
        <w:rPr>
          <w:sz w:val="20"/>
          <w:szCs w:val="20"/>
          <w:color w:val="auto"/>
        </w:rPr>
      </w:pPr>
      <w:r>
        <w:rPr>
          <w:rFonts w:ascii="Arial" w:cs="Arial" w:eastAsia="Arial" w:hAnsi="Arial"/>
          <w:sz w:val="22"/>
          <w:szCs w:val="22"/>
          <w:color w:val="auto"/>
        </w:rPr>
        <w:t>], the Preliminary Additional Classification Error Correction and the Preliminary Benefit Amount Correction will be limited to applying the [ *** ] process set forth in the Procedures Manual.</w:t>
      </w:r>
    </w:p>
    <w:p>
      <w:pPr>
        <w:spacing w:after="0" w:line="200" w:lineRule="exact"/>
        <w:rPr>
          <w:sz w:val="20"/>
          <w:szCs w:val="20"/>
          <w:color w:val="auto"/>
        </w:rPr>
      </w:pPr>
    </w:p>
    <w:p>
      <w:pPr>
        <w:spacing w:after="0" w:line="20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Determination and Valuation of Final Plan Portfolio</w:t>
      </w:r>
      <w:r>
        <w:rPr>
          <w:rFonts w:ascii="Arial" w:cs="Arial" w:eastAsia="Arial" w:hAnsi="Arial"/>
          <w:sz w:val="19"/>
          <w:szCs w:val="19"/>
          <w:color w:val="auto"/>
        </w:rPr>
        <w:t>.</w:t>
      </w:r>
    </w:p>
    <w:p>
      <w:pPr>
        <w:spacing w:after="0" w:line="260" w:lineRule="exact"/>
        <w:rPr>
          <w:sz w:val="20"/>
          <w:szCs w:val="20"/>
          <w:color w:val="auto"/>
        </w:rPr>
      </w:pPr>
    </w:p>
    <w:p>
      <w:pPr>
        <w:ind w:left="1120" w:right="2260" w:hanging="4967"/>
        <w:spacing w:after="0" w:line="446" w:lineRule="auto"/>
        <w:tabs>
          <w:tab w:leader="none" w:pos="1100" w:val="left"/>
        </w:tabs>
        <w:rPr>
          <w:sz w:val="20"/>
          <w:szCs w:val="20"/>
          <w:color w:val="auto"/>
        </w:rPr>
      </w:pPr>
      <w:r>
        <w:rPr>
          <w:rFonts w:ascii="Arial" w:cs="Arial" w:eastAsia="Arial" w:hAnsi="Arial"/>
          <w:sz w:val="22"/>
          <w:szCs w:val="22"/>
          <w:color w:val="auto"/>
        </w:rPr>
        <w:t>(a)</w:t>
        <w:tab/>
        <w:t xml:space="preserve">On [ *** ] (or if the Lump-Sum Data has not been delivered on or prior to the date that </w:t>
      </w:r>
      <w:r>
        <w:rPr>
          <w:rFonts w:ascii="Arial" w:cs="Arial" w:eastAsia="Arial" w:hAnsi="Arial"/>
          <w:sz w:val="18"/>
          <w:szCs w:val="18"/>
          <w:color w:val="auto"/>
        </w:rPr>
        <w:t>27</w:t>
      </w:r>
    </w:p>
    <w:p>
      <w:pPr>
        <w:sectPr>
          <w:pgSz w:w="11900" w:h="16838" w:orient="portrait"/>
          <w:cols w:equalWidth="0" w:num="1">
            <w:col w:w="11420"/>
          </w:cols>
          <w:pgMar w:left="240" w:top="591" w:right="239" w:bottom="1440" w:gutter="0" w:footer="0" w:header="0"/>
        </w:sectPr>
      </w:pPr>
    </w:p>
    <w:bookmarkStart w:id="122" w:name="page123"/>
    <w:bookmarkEnd w:id="122"/>
    <w:p>
      <w:pPr>
        <w:spacing w:after="0" w:line="249" w:lineRule="auto"/>
        <w:rPr>
          <w:sz w:val="20"/>
          <w:szCs w:val="20"/>
          <w:color w:val="auto"/>
        </w:rPr>
      </w:pPr>
      <w:r>
        <w:rPr>
          <w:rFonts w:ascii="Arial" w:cs="Arial" w:eastAsia="Arial" w:hAnsi="Arial"/>
          <w:sz w:val="22"/>
          <w:szCs w:val="22"/>
          <w:color w:val="auto"/>
        </w:rPr>
        <w:t>is [ *** ], as soon as practicable after [ *** ] and the [ *** ] each calendar month thereafter until the earlier to occur of the Closing Date and the termination of this Agreement, and again on dates that are [ *** ] to the Target Closing Date, the Plan Investment Fiduciary shall deliver to the Insurer a statement of each [ *** ], and, if applicable, one or more</w:t>
      </w:r>
    </w:p>
    <w:p>
      <w:pPr>
        <w:spacing w:after="0"/>
        <w:rPr>
          <w:sz w:val="20"/>
          <w:szCs w:val="20"/>
          <w:color w:val="auto"/>
        </w:rPr>
      </w:pPr>
      <w:r>
        <w:rPr>
          <w:rFonts w:ascii="Arial" w:cs="Arial" w:eastAsia="Arial" w:hAnsi="Arial"/>
          <w:sz w:val="19"/>
          <w:szCs w:val="19"/>
          <w:color w:val="auto"/>
        </w:rPr>
        <w:t>Newcos and the assets held therein, that the Plan Trustee intends to transfer to the Insurer at Closing or that are part of Contract 300</w:t>
      </w:r>
    </w:p>
    <w:p>
      <w:pPr>
        <w:spacing w:after="0" w:line="200" w:lineRule="exact"/>
        <w:rPr>
          <w:sz w:val="20"/>
          <w:szCs w:val="20"/>
          <w:color w:val="auto"/>
        </w:rPr>
      </w:pPr>
    </w:p>
    <w:p>
      <w:pPr>
        <w:spacing w:after="0" w:line="257"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Portfolio P that will remain in the Guaranteed Separate Account at the Closing. During the [ *** ] period following the delivery of such statement on the [ *** ] prior to the Target Closing Date, the Insurer and the Company shall cooperate in</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good faith to agree, in writing, upon a final statement in the form of Exhibit C (the “Final Asset Statement”) to be delivered [</w:t>
      </w:r>
    </w:p>
    <w:p>
      <w:pPr>
        <w:spacing w:after="0" w:line="15" w:lineRule="exact"/>
        <w:rPr>
          <w:sz w:val="20"/>
          <w:szCs w:val="20"/>
          <w:color w:val="auto"/>
        </w:rPr>
      </w:pPr>
    </w:p>
    <w:p>
      <w:pPr>
        <w:spacing w:after="0" w:line="892" w:lineRule="auto"/>
        <w:rPr>
          <w:sz w:val="20"/>
          <w:szCs w:val="20"/>
          <w:color w:val="auto"/>
        </w:rPr>
      </w:pPr>
      <w:r>
        <w:rPr>
          <w:rFonts w:ascii="Arial" w:cs="Arial" w:eastAsia="Arial" w:hAnsi="Arial"/>
          <w:sz w:val="21"/>
          <w:szCs w:val="21"/>
          <w:color w:val="auto"/>
        </w:rPr>
        <w:t>*** ] prior to the Target Closing Date, listing each [ *** ], Newco and the assets held therein, that the Plan Trustee intends to transfer to the Insurer at the Closing or that are part of Contract 300 Portfolio P that will remain in the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Separate Account at the Closing; provided, that the Insurer may only [ *** ] that constitute an [ *** ] under clauses (i)-(iv), (viii) or (ix)-(xi) of the definition of [ *** ].</w:t>
      </w:r>
    </w:p>
    <w:p>
      <w:pPr>
        <w:spacing w:after="0" w:line="215" w:lineRule="exact"/>
        <w:rPr>
          <w:sz w:val="20"/>
          <w:szCs w:val="20"/>
          <w:color w:val="auto"/>
        </w:rPr>
      </w:pPr>
    </w:p>
    <w:p>
      <w:pPr>
        <w:ind w:left="1120" w:hanging="464"/>
        <w:spacing w:after="0"/>
        <w:tabs>
          <w:tab w:leader="none" w:pos="11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On each date identified in </w:t>
      </w:r>
      <w:r>
        <w:rPr>
          <w:rFonts w:ascii="Arial" w:cs="Arial" w:eastAsia="Arial" w:hAnsi="Arial"/>
          <w:sz w:val="22"/>
          <w:szCs w:val="22"/>
          <w:u w:val="single" w:color="auto"/>
          <w:color w:val="auto"/>
        </w:rPr>
        <w:t>Section 2.6(a)</w:t>
      </w:r>
      <w:r>
        <w:rPr>
          <w:rFonts w:ascii="Arial" w:cs="Arial" w:eastAsia="Arial" w:hAnsi="Arial"/>
          <w:sz w:val="22"/>
          <w:szCs w:val="22"/>
          <w:color w:val="auto"/>
        </w:rPr>
        <w:t xml:space="preserve"> above,</w:t>
      </w:r>
    </w:p>
    <w:p>
      <w:pPr>
        <w:spacing w:after="0" w:line="260" w:lineRule="exact"/>
        <w:rPr>
          <w:rFonts w:ascii="Arial" w:cs="Arial" w:eastAsia="Arial" w:hAnsi="Arial"/>
          <w:sz w:val="22"/>
          <w:szCs w:val="22"/>
          <w:color w:val="auto"/>
        </w:rPr>
      </w:pPr>
    </w:p>
    <w:p>
      <w:pPr>
        <w:ind w:left="1880" w:hanging="575"/>
        <w:spacing w:after="0"/>
        <w:tabs>
          <w:tab w:leader="none" w:pos="1880" w:val="left"/>
        </w:tabs>
        <w:numPr>
          <w:ilvl w:val="1"/>
          <w:numId w:val="71"/>
        </w:numPr>
        <w:rPr>
          <w:rFonts w:ascii="Arial" w:cs="Arial" w:eastAsia="Arial" w:hAnsi="Arial"/>
          <w:sz w:val="21"/>
          <w:szCs w:val="21"/>
          <w:color w:val="auto"/>
        </w:rPr>
      </w:pPr>
      <w:r>
        <w:rPr>
          <w:rFonts w:ascii="Arial" w:cs="Arial" w:eastAsia="Arial" w:hAnsi="Arial"/>
          <w:sz w:val="21"/>
          <w:szCs w:val="21"/>
          <w:color w:val="auto"/>
        </w:rPr>
        <w:t>the Plan Investment Fiduciary shall deliver to the Insurer a calculation of the value of each asset in the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9"/>
          <w:szCs w:val="19"/>
          <w:color w:val="auto"/>
        </w:rPr>
        <w:t xml:space="preserve">projected Final Plan Portfolio, calculated in accordance with the methodology set forth in </w:t>
      </w:r>
      <w:r>
        <w:rPr>
          <w:rFonts w:ascii="Arial" w:cs="Arial" w:eastAsia="Arial" w:hAnsi="Arial"/>
          <w:sz w:val="19"/>
          <w:szCs w:val="19"/>
          <w:u w:val="single" w:color="auto"/>
          <w:color w:val="auto"/>
        </w:rPr>
        <w:t>Appendix 2.6</w:t>
      </w:r>
      <w:r>
        <w:rPr>
          <w:rFonts w:ascii="Arial" w:cs="Arial" w:eastAsia="Arial" w:hAnsi="Arial"/>
          <w:sz w:val="19"/>
          <w:szCs w:val="19"/>
          <w:color w:val="auto"/>
        </w:rPr>
        <w:t>. The valuation date</w:t>
      </w:r>
    </w:p>
    <w:p>
      <w:pPr>
        <w:spacing w:after="0" w:line="272" w:lineRule="exact"/>
        <w:rPr>
          <w:sz w:val="20"/>
          <w:szCs w:val="20"/>
          <w:color w:val="auto"/>
        </w:rPr>
      </w:pPr>
    </w:p>
    <w:p>
      <w:pPr>
        <w:ind w:left="660"/>
        <w:spacing w:after="0" w:line="260" w:lineRule="auto"/>
        <w:rPr>
          <w:sz w:val="20"/>
          <w:szCs w:val="20"/>
          <w:color w:val="auto"/>
        </w:rPr>
      </w:pPr>
      <w:r>
        <w:rPr>
          <w:rFonts w:ascii="Arial" w:cs="Arial" w:eastAsia="Arial" w:hAnsi="Arial"/>
          <w:sz w:val="21"/>
          <w:szCs w:val="21"/>
          <w:color w:val="auto"/>
        </w:rPr>
        <w:t>shall be [ *** ], except for the delivery dates which are [ *** ] to the Target Closing Date (such value of the projected Final Plan Portfolio delivered [ *** ] to the Target Closing Date to be the “Preliminary Plan Portfolio”), in which case the valuation date shall be the [ *** ] prior to such delivery date (or in the case of Broker-Quote Public</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Bonds or [ *** ], as of the close of business on the second Business Day prior to such delivery date);</w:t>
      </w:r>
    </w:p>
    <w:p>
      <w:pPr>
        <w:spacing w:after="0" w:line="242" w:lineRule="exact"/>
        <w:rPr>
          <w:sz w:val="20"/>
          <w:szCs w:val="20"/>
          <w:color w:val="auto"/>
        </w:rPr>
      </w:pPr>
    </w:p>
    <w:p>
      <w:pPr>
        <w:ind w:left="1780" w:hanging="475"/>
        <w:spacing w:after="0"/>
        <w:tabs>
          <w:tab w:leader="none" w:pos="17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Plan Investment Fiduciary shall deliver to the Insurer the In-Kind Asset Information; and</w:t>
      </w:r>
    </w:p>
    <w:p>
      <w:pPr>
        <w:spacing w:after="0" w:line="260" w:lineRule="exact"/>
        <w:rPr>
          <w:rFonts w:ascii="Arial" w:cs="Arial" w:eastAsia="Arial" w:hAnsi="Arial"/>
          <w:sz w:val="22"/>
          <w:szCs w:val="22"/>
          <w:color w:val="auto"/>
        </w:rPr>
      </w:pPr>
    </w:p>
    <w:p>
      <w:pPr>
        <w:ind w:left="660" w:firstLine="645"/>
        <w:spacing w:after="0" w:line="263" w:lineRule="auto"/>
        <w:tabs>
          <w:tab w:leader="none" w:pos="1859"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Plan Investment Fiduciary will deliver to the Independent Third Party the outputs required from POINT to complete the premium calculations contemplated on such date.</w:t>
      </w:r>
    </w:p>
    <w:p>
      <w:pPr>
        <w:spacing w:after="0" w:line="215" w:lineRule="exact"/>
        <w:rPr>
          <w:sz w:val="20"/>
          <w:szCs w:val="20"/>
          <w:color w:val="auto"/>
        </w:rPr>
      </w:pPr>
    </w:p>
    <w:p>
      <w:pPr>
        <w:jc w:val="both"/>
        <w:ind w:firstLine="656"/>
        <w:spacing w:after="0" w:line="291" w:lineRule="auto"/>
        <w:tabs>
          <w:tab w:leader="none" w:pos="113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Within three (3) Business Days from each delivery of the list of assets in </w:t>
      </w:r>
      <w:r>
        <w:rPr>
          <w:rFonts w:ascii="Arial" w:cs="Arial" w:eastAsia="Arial" w:hAnsi="Arial"/>
          <w:sz w:val="19"/>
          <w:szCs w:val="19"/>
          <w:u w:val="single" w:color="auto"/>
          <w:color w:val="auto"/>
        </w:rPr>
        <w:t>Section 2.6(a)</w:t>
      </w:r>
      <w:r>
        <w:rPr>
          <w:rFonts w:ascii="Arial" w:cs="Arial" w:eastAsia="Arial" w:hAnsi="Arial"/>
          <w:sz w:val="19"/>
          <w:szCs w:val="19"/>
          <w:color w:val="auto"/>
        </w:rPr>
        <w:t xml:space="preserve"> (other than any such delivery that is required on the date that is 2 days prior to the Target Closing Date), the Insurer shall deliver notice to the Plan Investment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40" w:type="dxa"/>
            <w:vAlign w:val="bottom"/>
            <w:gridSpan w:val="10"/>
          </w:tcPr>
          <w:p>
            <w:pPr>
              <w:spacing w:after="0"/>
              <w:rPr>
                <w:sz w:val="20"/>
                <w:szCs w:val="20"/>
                <w:color w:val="auto"/>
              </w:rPr>
            </w:pPr>
            <w:r>
              <w:rPr>
                <w:rFonts w:ascii="Arial" w:cs="Arial" w:eastAsia="Arial" w:hAnsi="Arial"/>
                <w:sz w:val="22"/>
                <w:szCs w:val="22"/>
                <w:color w:val="auto"/>
                <w:w w:val="91"/>
              </w:rPr>
              <w:t>Fiduciary, with a copy to the Company, of [</w:t>
            </w:r>
          </w:p>
        </w:tc>
        <w:tc>
          <w:tcPr>
            <w:tcW w:w="6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445"/>
        </w:trPr>
        <w:tc>
          <w:tcPr>
            <w:tcW w:w="500" w:type="dxa"/>
            <w:vAlign w:val="bottom"/>
          </w:tcPr>
          <w:p>
            <w:pPr>
              <w:spacing w:after="0"/>
              <w:rPr>
                <w:sz w:val="24"/>
                <w:szCs w:val="24"/>
                <w:color w:val="auto"/>
              </w:rPr>
            </w:pPr>
          </w:p>
        </w:tc>
        <w:tc>
          <w:tcPr>
            <w:tcW w:w="4480" w:type="dxa"/>
            <w:vAlign w:val="bottom"/>
            <w:gridSpan w:val="11"/>
          </w:tcPr>
          <w:p>
            <w:pPr>
              <w:ind w:left="160"/>
              <w:spacing w:after="0"/>
              <w:rPr>
                <w:sz w:val="20"/>
                <w:szCs w:val="20"/>
                <w:color w:val="auto"/>
              </w:rPr>
            </w:pPr>
            <w:r>
              <w:rPr>
                <w:rFonts w:ascii="Arial" w:cs="Arial" w:eastAsia="Arial" w:hAnsi="Arial"/>
                <w:sz w:val="22"/>
                <w:szCs w:val="22"/>
                <w:color w:val="auto"/>
                <w:w w:val="99"/>
              </w:rPr>
              <w:t>(d)   (i) Appendix 2.6(d)(I) sets forth a list of [</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5360" w:type="dxa"/>
            <w:vAlign w:val="bottom"/>
            <w:gridSpan w:val="10"/>
          </w:tcPr>
          <w:p>
            <w:pPr>
              <w:jc w:val="right"/>
              <w:spacing w:after="0"/>
              <w:rPr>
                <w:sz w:val="20"/>
                <w:szCs w:val="20"/>
                <w:color w:val="auto"/>
              </w:rPr>
            </w:pPr>
            <w:r>
              <w:rPr>
                <w:rFonts w:ascii="Arial" w:cs="Arial" w:eastAsia="Arial" w:hAnsi="Arial"/>
                <w:sz w:val="22"/>
                <w:szCs w:val="22"/>
                <w:color w:val="auto"/>
                <w:w w:val="94"/>
              </w:rPr>
              <w:t>] to the Insurer at Closing. Appendix 2.6(d)(II) sets forth, in</w:t>
            </w:r>
          </w:p>
        </w:tc>
      </w:tr>
      <w:tr>
        <w:trPr>
          <w:trHeight w:val="20"/>
        </w:trPr>
        <w:tc>
          <w:tcPr>
            <w:tcW w:w="146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3700" w:type="dxa"/>
            <w:vAlign w:val="bottom"/>
            <w:gridSpan w:val="9"/>
          </w:tcPr>
          <w:p>
            <w:pPr>
              <w:spacing w:after="0"/>
              <w:rPr>
                <w:sz w:val="20"/>
                <w:szCs w:val="20"/>
                <w:color w:val="auto"/>
              </w:rPr>
            </w:pPr>
            <w:r>
              <w:rPr>
                <w:rFonts w:ascii="Arial" w:cs="Arial" w:eastAsia="Arial" w:hAnsi="Arial"/>
                <w:sz w:val="22"/>
                <w:szCs w:val="22"/>
                <w:color w:val="auto"/>
                <w:w w:val="95"/>
              </w:rPr>
              <w:t>ranking order of preference, additional [</w:t>
            </w:r>
          </w:p>
        </w:tc>
        <w:tc>
          <w:tcPr>
            <w:tcW w:w="140" w:type="dxa"/>
            <w:vAlign w:val="bottom"/>
          </w:tcPr>
          <w:p>
            <w:pPr>
              <w:spacing w:after="0"/>
              <w:rPr>
                <w:sz w:val="23"/>
                <w:szCs w:val="23"/>
                <w:color w:val="auto"/>
              </w:rPr>
            </w:pPr>
          </w:p>
        </w:tc>
        <w:tc>
          <w:tcPr>
            <w:tcW w:w="64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6780" w:type="dxa"/>
            <w:vAlign w:val="bottom"/>
            <w:gridSpan w:val="13"/>
          </w:tcPr>
          <w:p>
            <w:pPr>
              <w:ind w:left="120"/>
              <w:spacing w:after="0"/>
              <w:rPr>
                <w:sz w:val="20"/>
                <w:szCs w:val="20"/>
                <w:color w:val="auto"/>
              </w:rPr>
            </w:pPr>
            <w:r>
              <w:rPr>
                <w:rFonts w:ascii="Arial" w:cs="Arial" w:eastAsia="Arial" w:hAnsi="Arial"/>
                <w:sz w:val="22"/>
                <w:szCs w:val="22"/>
                <w:color w:val="auto"/>
                <w:w w:val="93"/>
              </w:rPr>
              <w:t>] and transferred at Closing, either in substitution for or in addition to the [</w:t>
            </w:r>
          </w:p>
        </w:tc>
        <w:tc>
          <w:tcPr>
            <w:tcW w:w="160" w:type="dxa"/>
            <w:vAlign w:val="bottom"/>
          </w:tcPr>
          <w:p>
            <w:pPr>
              <w:spacing w:after="0"/>
              <w:rPr>
                <w:sz w:val="23"/>
                <w:szCs w:val="23"/>
                <w:color w:val="auto"/>
              </w:rPr>
            </w:pPr>
          </w:p>
        </w:tc>
      </w:tr>
      <w:tr>
        <w:trPr>
          <w:trHeight w:val="224"/>
        </w:trPr>
        <w:tc>
          <w:tcPr>
            <w:tcW w:w="500" w:type="dxa"/>
            <w:vAlign w:val="bottom"/>
          </w:tcPr>
          <w:p>
            <w:pPr>
              <w:spacing w:after="0" w:line="224" w:lineRule="exact"/>
              <w:rPr>
                <w:sz w:val="20"/>
                <w:szCs w:val="20"/>
                <w:color w:val="auto"/>
              </w:rPr>
            </w:pPr>
            <w:r>
              <w:rPr>
                <w:rFonts w:ascii="Arial" w:cs="Arial" w:eastAsia="Arial" w:hAnsi="Arial"/>
                <w:sz w:val="22"/>
                <w:szCs w:val="22"/>
                <w:color w:val="auto"/>
              </w:rPr>
              <w:t>***</w:t>
            </w:r>
          </w:p>
        </w:tc>
        <w:tc>
          <w:tcPr>
            <w:tcW w:w="3200" w:type="dxa"/>
            <w:vAlign w:val="bottom"/>
            <w:gridSpan w:val="8"/>
          </w:tcPr>
          <w:p>
            <w:pPr>
              <w:ind w:left="220"/>
              <w:spacing w:after="0" w:line="224" w:lineRule="exact"/>
              <w:rPr>
                <w:sz w:val="20"/>
                <w:szCs w:val="20"/>
                <w:color w:val="auto"/>
              </w:rPr>
            </w:pPr>
            <w:r>
              <w:rPr>
                <w:rFonts w:ascii="Arial" w:cs="Arial" w:eastAsia="Arial" w:hAnsi="Arial"/>
                <w:sz w:val="22"/>
                <w:szCs w:val="22"/>
                <w:color w:val="auto"/>
                <w:w w:val="94"/>
              </w:rPr>
              <w:t>] identified in Appendix 2.6(d)(I).</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26"/>
        </w:trPr>
        <w:tc>
          <w:tcPr>
            <w:tcW w:w="500" w:type="dxa"/>
            <w:vAlign w:val="bottom"/>
          </w:tcPr>
          <w:p>
            <w:pPr>
              <w:spacing w:after="0"/>
              <w:rPr>
                <w:sz w:val="24"/>
                <w:szCs w:val="24"/>
                <w:color w:val="auto"/>
              </w:rPr>
            </w:pPr>
          </w:p>
        </w:tc>
        <w:tc>
          <w:tcPr>
            <w:tcW w:w="1240" w:type="dxa"/>
            <w:vAlign w:val="bottom"/>
            <w:gridSpan w:val="2"/>
          </w:tcPr>
          <w:p>
            <w:pPr>
              <w:ind w:left="800"/>
              <w:spacing w:after="0"/>
              <w:rPr>
                <w:sz w:val="20"/>
                <w:szCs w:val="20"/>
                <w:color w:val="auto"/>
              </w:rPr>
            </w:pPr>
            <w:r>
              <w:rPr>
                <w:rFonts w:ascii="Arial" w:cs="Arial" w:eastAsia="Arial" w:hAnsi="Arial"/>
                <w:sz w:val="22"/>
                <w:szCs w:val="22"/>
                <w:color w:val="auto"/>
              </w:rPr>
              <w:t>(ii)</w:t>
            </w:r>
          </w:p>
        </w:tc>
        <w:tc>
          <w:tcPr>
            <w:tcW w:w="9520" w:type="dxa"/>
            <w:vAlign w:val="bottom"/>
            <w:gridSpan w:val="21"/>
          </w:tcPr>
          <w:p>
            <w:pPr>
              <w:ind w:left="60"/>
              <w:spacing w:after="0"/>
              <w:rPr>
                <w:sz w:val="20"/>
                <w:szCs w:val="20"/>
                <w:color w:val="auto"/>
              </w:rPr>
            </w:pPr>
            <w:r>
              <w:rPr>
                <w:rFonts w:ascii="Arial" w:cs="Arial" w:eastAsia="Arial" w:hAnsi="Arial"/>
                <w:sz w:val="22"/>
                <w:szCs w:val="22"/>
                <w:color w:val="auto"/>
                <w:w w:val="95"/>
              </w:rPr>
              <w:t>Insurer may give notice to the Plan Investment Fiduciary anytime before September 1, 2012 that [   ***</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24"/>
        </w:trPr>
        <w:tc>
          <w:tcPr>
            <w:tcW w:w="500" w:type="dxa"/>
            <w:vAlign w:val="bottom"/>
          </w:tcPr>
          <w:p>
            <w:pPr>
              <w:spacing w:after="0"/>
              <w:rPr>
                <w:sz w:val="19"/>
                <w:szCs w:val="19"/>
                <w:color w:val="auto"/>
              </w:rPr>
            </w:pPr>
          </w:p>
        </w:tc>
        <w:tc>
          <w:tcPr>
            <w:tcW w:w="1240" w:type="dxa"/>
            <w:vAlign w:val="bottom"/>
            <w:gridSpan w:val="2"/>
          </w:tcPr>
          <w:p>
            <w:pPr>
              <w:ind w:left="160"/>
              <w:spacing w:after="0" w:line="224" w:lineRule="exact"/>
              <w:rPr>
                <w:sz w:val="20"/>
                <w:szCs w:val="20"/>
                <w:color w:val="auto"/>
              </w:rPr>
            </w:pPr>
            <w:r>
              <w:rPr>
                <w:rFonts w:ascii="Arial" w:cs="Arial" w:eastAsia="Arial" w:hAnsi="Arial"/>
                <w:sz w:val="22"/>
                <w:szCs w:val="22"/>
                <w:color w:val="auto"/>
              </w:rPr>
              <w:t>any [   ***</w:t>
            </w:r>
          </w:p>
        </w:tc>
        <w:tc>
          <w:tcPr>
            <w:tcW w:w="200" w:type="dxa"/>
            <w:vAlign w:val="bottom"/>
          </w:tcPr>
          <w:p>
            <w:pPr>
              <w:spacing w:after="0"/>
              <w:rPr>
                <w:sz w:val="19"/>
                <w:szCs w:val="19"/>
                <w:color w:val="auto"/>
              </w:rPr>
            </w:pPr>
          </w:p>
        </w:tc>
        <w:tc>
          <w:tcPr>
            <w:tcW w:w="5960" w:type="dxa"/>
            <w:vAlign w:val="bottom"/>
            <w:gridSpan w:val="14"/>
          </w:tcPr>
          <w:p>
            <w:pPr>
              <w:ind w:left="120"/>
              <w:spacing w:after="0" w:line="224" w:lineRule="exact"/>
              <w:rPr>
                <w:sz w:val="20"/>
                <w:szCs w:val="20"/>
                <w:color w:val="auto"/>
              </w:rPr>
            </w:pPr>
            <w:r>
              <w:rPr>
                <w:rFonts w:ascii="Arial" w:cs="Arial" w:eastAsia="Arial" w:hAnsi="Arial"/>
                <w:sz w:val="22"/>
                <w:szCs w:val="22"/>
                <w:color w:val="auto"/>
                <w:w w:val="99"/>
              </w:rPr>
              <w:t>] identified on Appendix 2.6(d)(I) or Appendix 2.6(d)(II) [   ***</w:t>
            </w:r>
          </w:p>
        </w:tc>
        <w:tc>
          <w:tcPr>
            <w:tcW w:w="600" w:type="dxa"/>
            <w:vAlign w:val="bottom"/>
          </w:tcPr>
          <w:p>
            <w:pPr>
              <w:jc w:val="right"/>
              <w:ind w:right="172"/>
              <w:spacing w:after="0" w:line="224" w:lineRule="exact"/>
              <w:rPr>
                <w:sz w:val="20"/>
                <w:szCs w:val="20"/>
                <w:color w:val="auto"/>
              </w:rPr>
            </w:pPr>
            <w:r>
              <w:rPr>
                <w:rFonts w:ascii="Arial" w:cs="Arial" w:eastAsia="Arial" w:hAnsi="Arial"/>
                <w:sz w:val="22"/>
                <w:szCs w:val="22"/>
                <w:color w:val="auto"/>
              </w:rPr>
              <w:t>]:</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87"/>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22"/>
                <w:szCs w:val="22"/>
                <w:color w:val="auto"/>
              </w:rPr>
              <w:t>(A)</w:t>
            </w:r>
          </w:p>
        </w:tc>
        <w:tc>
          <w:tcPr>
            <w:tcW w:w="1120" w:type="dxa"/>
            <w:vAlign w:val="bottom"/>
            <w:gridSpan w:val="4"/>
          </w:tcPr>
          <w:p>
            <w:pPr>
              <w:ind w:left="320"/>
              <w:spacing w:after="0"/>
              <w:rPr>
                <w:sz w:val="20"/>
                <w:szCs w:val="20"/>
                <w:color w:val="auto"/>
              </w:rPr>
            </w:pPr>
            <w:r>
              <w:rPr>
                <w:rFonts w:ascii="Arial" w:cs="Arial" w:eastAsia="Arial" w:hAnsi="Arial"/>
                <w:sz w:val="22"/>
                <w:szCs w:val="22"/>
                <w:color w:val="auto"/>
                <w:w w:val="92"/>
              </w:rPr>
              <w:t>there is [</w:t>
            </w:r>
          </w:p>
        </w:tc>
        <w:tc>
          <w:tcPr>
            <w:tcW w:w="14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500" w:type="dxa"/>
            <w:vAlign w:val="bottom"/>
          </w:tcPr>
          <w:p>
            <w:pPr>
              <w:ind w:left="14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3"/>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22"/>
                <w:szCs w:val="22"/>
                <w:color w:val="auto"/>
              </w:rPr>
              <w:t>(B)</w:t>
            </w:r>
          </w:p>
        </w:tc>
        <w:tc>
          <w:tcPr>
            <w:tcW w:w="1120" w:type="dxa"/>
            <w:vAlign w:val="bottom"/>
            <w:gridSpan w:val="4"/>
          </w:tcPr>
          <w:p>
            <w:pPr>
              <w:ind w:left="300"/>
              <w:spacing w:after="0"/>
              <w:rPr>
                <w:sz w:val="20"/>
                <w:szCs w:val="20"/>
                <w:color w:val="auto"/>
              </w:rPr>
            </w:pPr>
            <w:r>
              <w:rPr>
                <w:rFonts w:ascii="Arial" w:cs="Arial" w:eastAsia="Arial" w:hAnsi="Arial"/>
                <w:sz w:val="22"/>
                <w:szCs w:val="22"/>
                <w:color w:val="auto"/>
              </w:rPr>
              <w:t>such [</w:t>
            </w:r>
          </w:p>
        </w:tc>
        <w:tc>
          <w:tcPr>
            <w:tcW w:w="780" w:type="dxa"/>
            <w:vAlign w:val="bottom"/>
            <w:gridSpan w:val="2"/>
          </w:tcPr>
          <w:p>
            <w:pPr>
              <w:jc w:val="right"/>
              <w:ind w:right="292"/>
              <w:spacing w:after="0"/>
              <w:rPr>
                <w:sz w:val="20"/>
                <w:szCs w:val="20"/>
                <w:color w:val="auto"/>
              </w:rPr>
            </w:pPr>
            <w:r>
              <w:rPr>
                <w:rFonts w:ascii="Arial" w:cs="Arial" w:eastAsia="Arial" w:hAnsi="Arial"/>
                <w:sz w:val="22"/>
                <w:szCs w:val="22"/>
                <w:color w:val="auto"/>
              </w:rPr>
              <w:t>***</w:t>
            </w:r>
          </w:p>
        </w:tc>
        <w:tc>
          <w:tcPr>
            <w:tcW w:w="6940" w:type="dxa"/>
            <w:vAlign w:val="bottom"/>
            <w:gridSpan w:val="14"/>
          </w:tcPr>
          <w:p>
            <w:pPr>
              <w:jc w:val="right"/>
              <w:spacing w:after="0"/>
              <w:rPr>
                <w:sz w:val="20"/>
                <w:szCs w:val="20"/>
                <w:color w:val="auto"/>
              </w:rPr>
            </w:pPr>
            <w:r>
              <w:rPr>
                <w:rFonts w:ascii="Arial" w:cs="Arial" w:eastAsia="Arial" w:hAnsi="Arial"/>
                <w:sz w:val="22"/>
                <w:szCs w:val="22"/>
                <w:color w:val="auto"/>
                <w:w w:val="92"/>
              </w:rPr>
              <w:t>] (as such values are set forth on Appendix 2.6(d)(I) or Appendix 2.6(d)(II) as</w:t>
            </w:r>
          </w:p>
        </w:tc>
      </w:tr>
      <w:tr>
        <w:trPr>
          <w:trHeight w:val="287"/>
        </w:trPr>
        <w:tc>
          <w:tcPr>
            <w:tcW w:w="500" w:type="dxa"/>
            <w:vAlign w:val="bottom"/>
          </w:tcPr>
          <w:p>
            <w:pPr>
              <w:spacing w:after="0"/>
              <w:rPr>
                <w:sz w:val="24"/>
                <w:szCs w:val="24"/>
                <w:color w:val="auto"/>
              </w:rPr>
            </w:pPr>
          </w:p>
        </w:tc>
        <w:tc>
          <w:tcPr>
            <w:tcW w:w="2080" w:type="dxa"/>
            <w:vAlign w:val="bottom"/>
            <w:gridSpan w:val="4"/>
          </w:tcPr>
          <w:p>
            <w:pPr>
              <w:ind w:left="160"/>
              <w:spacing w:after="0"/>
              <w:rPr>
                <w:sz w:val="20"/>
                <w:szCs w:val="20"/>
                <w:color w:val="auto"/>
              </w:rPr>
            </w:pPr>
            <w:r>
              <w:rPr>
                <w:rFonts w:ascii="Arial" w:cs="Arial" w:eastAsia="Arial" w:hAnsi="Arial"/>
                <w:sz w:val="22"/>
                <w:szCs w:val="22"/>
                <w:color w:val="auto"/>
              </w:rPr>
              <w:t>applicable), or</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13"/>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22"/>
                <w:szCs w:val="22"/>
                <w:color w:val="auto"/>
              </w:rPr>
              <w:t>(C)</w:t>
            </w:r>
          </w:p>
        </w:tc>
        <w:tc>
          <w:tcPr>
            <w:tcW w:w="1260" w:type="dxa"/>
            <w:vAlign w:val="bottom"/>
            <w:gridSpan w:val="5"/>
          </w:tcPr>
          <w:p>
            <w:pPr>
              <w:ind w:left="300"/>
              <w:spacing w:after="0"/>
              <w:rPr>
                <w:sz w:val="20"/>
                <w:szCs w:val="20"/>
                <w:color w:val="auto"/>
              </w:rPr>
            </w:pPr>
            <w:r>
              <w:rPr>
                <w:rFonts w:ascii="Arial" w:cs="Arial" w:eastAsia="Arial" w:hAnsi="Arial"/>
                <w:sz w:val="22"/>
                <w:szCs w:val="22"/>
                <w:color w:val="auto"/>
                <w:w w:val="91"/>
              </w:rPr>
              <w:t>Insurer is [</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3"/>
          </w:tcPr>
          <w:p>
            <w:pPr>
              <w:ind w:left="320"/>
              <w:spacing w:after="0"/>
              <w:rPr>
                <w:sz w:val="20"/>
                <w:szCs w:val="20"/>
                <w:color w:val="auto"/>
              </w:rPr>
            </w:pPr>
            <w:r>
              <w:rPr>
                <w:rFonts w:ascii="Arial" w:cs="Arial" w:eastAsia="Arial" w:hAnsi="Arial"/>
                <w:sz w:val="22"/>
                <w:szCs w:val="22"/>
                <w:color w:val="auto"/>
              </w:rPr>
              <w:t>] such [</w:t>
            </w:r>
          </w:p>
        </w:tc>
        <w:tc>
          <w:tcPr>
            <w:tcW w:w="460" w:type="dxa"/>
            <w:vAlign w:val="bottom"/>
          </w:tcPr>
          <w:p>
            <w:pPr>
              <w:jc w:val="right"/>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06"/>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ind w:right="161"/>
              <w:spacing w:after="0"/>
              <w:rPr>
                <w:sz w:val="20"/>
                <w:szCs w:val="20"/>
                <w:color w:val="auto"/>
              </w:rPr>
            </w:pPr>
            <w:r>
              <w:rPr>
                <w:rFonts w:ascii="Arial" w:cs="Arial" w:eastAsia="Arial" w:hAnsi="Arial"/>
                <w:sz w:val="18"/>
                <w:szCs w:val="18"/>
                <w:color w:val="auto"/>
                <w:w w:val="89"/>
              </w:rPr>
              <w:t>28</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591" w:right="239" w:bottom="1440" w:gutter="0" w:footer="0" w:header="0"/>
        </w:sectPr>
      </w:pPr>
    </w:p>
    <w:bookmarkStart w:id="123" w:name="page124"/>
    <w:bookmarkEnd w:id="123"/>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480" w:type="dxa"/>
            <w:vAlign w:val="bottom"/>
          </w:tcPr>
          <w:p>
            <w:pPr>
              <w:spacing w:after="0"/>
              <w:rPr>
                <w:sz w:val="22"/>
                <w:szCs w:val="22"/>
                <w:color w:val="auto"/>
              </w:rPr>
            </w:pPr>
          </w:p>
        </w:tc>
        <w:tc>
          <w:tcPr>
            <w:tcW w:w="2600" w:type="dxa"/>
            <w:vAlign w:val="bottom"/>
            <w:gridSpan w:val="2"/>
          </w:tcPr>
          <w:p>
            <w:pPr>
              <w:jc w:val="right"/>
              <w:ind w:right="132"/>
              <w:spacing w:after="0"/>
              <w:rPr>
                <w:sz w:val="20"/>
                <w:szCs w:val="20"/>
                <w:color w:val="auto"/>
              </w:rPr>
            </w:pPr>
            <w:r>
              <w:rPr>
                <w:rFonts w:ascii="Arial" w:cs="Arial" w:eastAsia="Arial" w:hAnsi="Arial"/>
                <w:sz w:val="22"/>
                <w:szCs w:val="22"/>
                <w:color w:val="auto"/>
              </w:rPr>
              <w:t>(iii)   The portfolio of [</w:t>
            </w:r>
          </w:p>
        </w:tc>
        <w:tc>
          <w:tcPr>
            <w:tcW w:w="7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6940" w:type="dxa"/>
            <w:vAlign w:val="bottom"/>
            <w:gridSpan w:val="4"/>
          </w:tcPr>
          <w:p>
            <w:pPr>
              <w:ind w:left="260"/>
              <w:spacing w:after="0"/>
              <w:rPr>
                <w:sz w:val="20"/>
                <w:szCs w:val="20"/>
                <w:color w:val="auto"/>
              </w:rPr>
            </w:pPr>
            <w:r>
              <w:rPr>
                <w:rFonts w:ascii="Arial" w:cs="Arial" w:eastAsia="Arial" w:hAnsi="Arial"/>
                <w:sz w:val="22"/>
                <w:szCs w:val="22"/>
                <w:color w:val="auto"/>
                <w:w w:val="91"/>
              </w:rPr>
              <w:t>] set forth on the Final Asset Statement and Transferred Asset Schedule at</w:t>
            </w:r>
          </w:p>
        </w:tc>
      </w:tr>
      <w:tr>
        <w:trPr>
          <w:trHeight w:val="275"/>
        </w:trPr>
        <w:tc>
          <w:tcPr>
            <w:tcW w:w="2120" w:type="dxa"/>
            <w:vAlign w:val="bottom"/>
            <w:gridSpan w:val="2"/>
          </w:tcPr>
          <w:p>
            <w:pPr>
              <w:spacing w:after="0"/>
              <w:rPr>
                <w:sz w:val="20"/>
                <w:szCs w:val="20"/>
                <w:color w:val="auto"/>
              </w:rPr>
            </w:pPr>
            <w:r>
              <w:rPr>
                <w:rFonts w:ascii="Arial" w:cs="Arial" w:eastAsia="Arial" w:hAnsi="Arial"/>
                <w:sz w:val="22"/>
                <w:szCs w:val="22"/>
                <w:color w:val="auto"/>
                <w:w w:val="97"/>
              </w:rPr>
              <w:t>Closing will consist of:</w:t>
            </w: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463"/>
        </w:trPr>
        <w:tc>
          <w:tcPr>
            <w:tcW w:w="480" w:type="dxa"/>
            <w:vAlign w:val="bottom"/>
          </w:tcPr>
          <w:p>
            <w:pPr>
              <w:spacing w:after="0"/>
              <w:rPr>
                <w:sz w:val="24"/>
                <w:szCs w:val="24"/>
                <w:color w:val="auto"/>
              </w:rPr>
            </w:pPr>
          </w:p>
        </w:tc>
        <w:tc>
          <w:tcPr>
            <w:tcW w:w="1640" w:type="dxa"/>
            <w:vAlign w:val="bottom"/>
          </w:tcPr>
          <w:p>
            <w:pPr>
              <w:ind w:left="820"/>
              <w:spacing w:after="0"/>
              <w:rPr>
                <w:sz w:val="20"/>
                <w:szCs w:val="20"/>
                <w:color w:val="auto"/>
              </w:rPr>
            </w:pPr>
            <w:r>
              <w:rPr>
                <w:rFonts w:ascii="Arial" w:cs="Arial" w:eastAsia="Arial" w:hAnsi="Arial"/>
                <w:sz w:val="22"/>
                <w:szCs w:val="22"/>
                <w:color w:val="auto"/>
              </w:rPr>
              <w:t>(D)</w:t>
            </w:r>
          </w:p>
        </w:tc>
        <w:tc>
          <w:tcPr>
            <w:tcW w:w="960" w:type="dxa"/>
            <w:vAlign w:val="bottom"/>
          </w:tcPr>
          <w:p>
            <w:pPr>
              <w:jc w:val="right"/>
              <w:ind w:right="52"/>
              <w:spacing w:after="0"/>
              <w:rPr>
                <w:sz w:val="20"/>
                <w:szCs w:val="20"/>
                <w:color w:val="auto"/>
              </w:rPr>
            </w:pPr>
            <w:r>
              <w:rPr>
                <w:rFonts w:ascii="Arial" w:cs="Arial" w:eastAsia="Arial" w:hAnsi="Arial"/>
                <w:sz w:val="22"/>
                <w:szCs w:val="22"/>
                <w:color w:val="auto"/>
              </w:rPr>
              <w:t>[   ***</w:t>
            </w:r>
          </w:p>
        </w:tc>
        <w:tc>
          <w:tcPr>
            <w:tcW w:w="5320" w:type="dxa"/>
            <w:vAlign w:val="bottom"/>
            <w:gridSpan w:val="4"/>
          </w:tcPr>
          <w:p>
            <w:pPr>
              <w:ind w:left="240"/>
              <w:spacing w:after="0"/>
              <w:rPr>
                <w:sz w:val="20"/>
                <w:szCs w:val="20"/>
                <w:color w:val="auto"/>
              </w:rPr>
            </w:pPr>
            <w:r>
              <w:rPr>
                <w:rFonts w:ascii="Arial" w:cs="Arial" w:eastAsia="Arial" w:hAnsi="Arial"/>
                <w:sz w:val="22"/>
                <w:szCs w:val="22"/>
                <w:color w:val="auto"/>
                <w:w w:val="99"/>
              </w:rPr>
              <w:t>] listed on Appendix 2.6(d)(I) other than (x) the [   ***</w:t>
            </w:r>
          </w:p>
        </w:tc>
        <w:tc>
          <w:tcPr>
            <w:tcW w:w="2360" w:type="dxa"/>
            <w:vAlign w:val="bottom"/>
          </w:tcPr>
          <w:p>
            <w:pPr>
              <w:ind w:left="200"/>
              <w:spacing w:after="0"/>
              <w:rPr>
                <w:sz w:val="20"/>
                <w:szCs w:val="20"/>
                <w:color w:val="auto"/>
              </w:rPr>
            </w:pPr>
            <w:r>
              <w:rPr>
                <w:rFonts w:ascii="Arial" w:cs="Arial" w:eastAsia="Arial" w:hAnsi="Arial"/>
                <w:sz w:val="22"/>
                <w:szCs w:val="22"/>
                <w:color w:val="auto"/>
              </w:rPr>
              <w:t>] or (y) for which all [</w:t>
            </w:r>
          </w:p>
        </w:tc>
      </w:tr>
      <w:tr>
        <w:trPr>
          <w:trHeight w:val="287"/>
        </w:trPr>
        <w:tc>
          <w:tcPr>
            <w:tcW w:w="480" w:type="dxa"/>
            <w:vAlign w:val="bottom"/>
          </w:tcPr>
          <w:p>
            <w:pPr>
              <w:spacing w:after="0"/>
              <w:rPr>
                <w:sz w:val="20"/>
                <w:szCs w:val="20"/>
                <w:color w:val="auto"/>
              </w:rPr>
            </w:pPr>
            <w:r>
              <w:rPr>
                <w:rFonts w:ascii="Arial" w:cs="Arial" w:eastAsia="Arial" w:hAnsi="Arial"/>
                <w:sz w:val="22"/>
                <w:szCs w:val="22"/>
                <w:color w:val="auto"/>
              </w:rPr>
              <w:t>***</w:t>
            </w:r>
          </w:p>
        </w:tc>
        <w:tc>
          <w:tcPr>
            <w:tcW w:w="1640" w:type="dxa"/>
            <w:vAlign w:val="bottom"/>
          </w:tcPr>
          <w:p>
            <w:pPr>
              <w:ind w:left="220"/>
              <w:spacing w:after="0"/>
              <w:rPr>
                <w:sz w:val="20"/>
                <w:szCs w:val="20"/>
                <w:color w:val="auto"/>
              </w:rPr>
            </w:pPr>
            <w:r>
              <w:rPr>
                <w:rFonts w:ascii="Arial" w:cs="Arial" w:eastAsia="Arial" w:hAnsi="Arial"/>
                <w:sz w:val="22"/>
                <w:szCs w:val="22"/>
                <w:color w:val="auto"/>
              </w:rPr>
              <w:t>]; and</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Arial" w:cs="Arial" w:eastAsia="Arial" w:hAnsi="Arial"/>
                <w:sz w:val="22"/>
                <w:szCs w:val="22"/>
                <w:color w:val="auto"/>
              </w:rPr>
              <w:t>(E)</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420" w:type="dxa"/>
            <w:vAlign w:val="bottom"/>
          </w:tcPr>
          <w:p>
            <w:pPr>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3480" w:type="dxa"/>
            <w:vAlign w:val="bottom"/>
            <w:gridSpan w:val="6"/>
          </w:tcPr>
          <w:p>
            <w:pPr>
              <w:ind w:left="100"/>
              <w:spacing w:after="0"/>
              <w:rPr>
                <w:sz w:val="20"/>
                <w:szCs w:val="20"/>
                <w:color w:val="auto"/>
              </w:rPr>
            </w:pPr>
            <w:r>
              <w:rPr>
                <w:rFonts w:ascii="Arial" w:cs="Arial" w:eastAsia="Arial" w:hAnsi="Arial"/>
                <w:sz w:val="22"/>
                <w:szCs w:val="22"/>
                <w:color w:val="auto"/>
                <w:w w:val="99"/>
              </w:rPr>
              <w:t>] listed on Appendix 2.6(d)(II), if a [</w:t>
            </w:r>
          </w:p>
        </w:tc>
        <w:tc>
          <w:tcPr>
            <w:tcW w:w="700" w:type="dxa"/>
            <w:vAlign w:val="bottom"/>
            <w:gridSpan w:val="3"/>
          </w:tcPr>
          <w:p>
            <w:pPr>
              <w:jc w:val="right"/>
              <w:ind w:right="200"/>
              <w:spacing w:after="0"/>
              <w:rPr>
                <w:sz w:val="20"/>
                <w:szCs w:val="20"/>
                <w:color w:val="auto"/>
              </w:rPr>
            </w:pPr>
            <w:r>
              <w:rPr>
                <w:rFonts w:ascii="Arial" w:cs="Arial" w:eastAsia="Arial" w:hAnsi="Arial"/>
                <w:sz w:val="22"/>
                <w:szCs w:val="22"/>
                <w:color w:val="auto"/>
              </w:rPr>
              <w:t>***</w:t>
            </w:r>
          </w:p>
        </w:tc>
        <w:tc>
          <w:tcPr>
            <w:tcW w:w="1200" w:type="dxa"/>
            <w:vAlign w:val="bottom"/>
            <w:gridSpan w:val="5"/>
          </w:tcPr>
          <w:p>
            <w:pPr>
              <w:jc w:val="right"/>
              <w:ind w:right="180"/>
              <w:spacing w:after="0"/>
              <w:rPr>
                <w:sz w:val="20"/>
                <w:szCs w:val="20"/>
                <w:color w:val="auto"/>
              </w:rPr>
            </w:pPr>
            <w:r>
              <w:rPr>
                <w:rFonts w:ascii="Arial" w:cs="Arial" w:eastAsia="Arial" w:hAnsi="Arial"/>
                <w:sz w:val="22"/>
                <w:szCs w:val="22"/>
                <w:color w:val="auto"/>
              </w:rPr>
              <w:t>] (x) is [</w:t>
            </w:r>
          </w:p>
        </w:tc>
        <w:tc>
          <w:tcPr>
            <w:tcW w:w="50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22"/>
                <w:szCs w:val="22"/>
                <w:color w:val="auto"/>
                <w:w w:val="94"/>
              </w:rPr>
              <w:t>] pursuant to</w:t>
            </w:r>
          </w:p>
        </w:tc>
      </w:tr>
      <w:tr>
        <w:trPr>
          <w:trHeight w:val="20"/>
        </w:trPr>
        <w:tc>
          <w:tcPr>
            <w:tcW w:w="14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2620" w:type="dxa"/>
            <w:vAlign w:val="bottom"/>
            <w:gridSpan w:val="5"/>
          </w:tcPr>
          <w:p>
            <w:pPr>
              <w:spacing w:after="0" w:line="237" w:lineRule="exact"/>
              <w:rPr>
                <w:sz w:val="20"/>
                <w:szCs w:val="20"/>
                <w:color w:val="auto"/>
              </w:rPr>
            </w:pPr>
            <w:r>
              <w:rPr>
                <w:rFonts w:ascii="Arial" w:cs="Arial" w:eastAsia="Arial" w:hAnsi="Arial"/>
                <w:sz w:val="22"/>
                <w:szCs w:val="22"/>
                <w:color w:val="auto"/>
                <w:w w:val="94"/>
              </w:rPr>
              <w:t>Section 2.6(d)(ii) and (y) all [</w:t>
            </w:r>
          </w:p>
        </w:tc>
        <w:tc>
          <w:tcPr>
            <w:tcW w:w="700" w:type="dxa"/>
            <w:vAlign w:val="bottom"/>
            <w:gridSpan w:val="2"/>
          </w:tcPr>
          <w:p>
            <w:pPr>
              <w:jc w:val="right"/>
              <w:ind w:right="60"/>
              <w:spacing w:after="0" w:line="237"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0"/>
                <w:szCs w:val="20"/>
                <w:color w:val="auto"/>
              </w:rPr>
            </w:pPr>
          </w:p>
        </w:tc>
        <w:tc>
          <w:tcPr>
            <w:tcW w:w="7140" w:type="dxa"/>
            <w:vAlign w:val="bottom"/>
            <w:gridSpan w:val="20"/>
          </w:tcPr>
          <w:p>
            <w:pPr>
              <w:jc w:val="right"/>
              <w:spacing w:after="0" w:line="237" w:lineRule="exact"/>
              <w:rPr>
                <w:sz w:val="20"/>
                <w:szCs w:val="20"/>
                <w:color w:val="auto"/>
              </w:rPr>
            </w:pPr>
            <w:r>
              <w:rPr>
                <w:rFonts w:ascii="Arial" w:cs="Arial" w:eastAsia="Arial" w:hAnsi="Arial"/>
                <w:sz w:val="22"/>
                <w:szCs w:val="22"/>
                <w:color w:val="auto"/>
                <w:w w:val="94"/>
              </w:rPr>
              <w:t>] in satisfaction of the requirements of Appendix 2.1-A, beginning with the first</w:t>
            </w:r>
          </w:p>
        </w:tc>
      </w:tr>
      <w:tr>
        <w:trPr>
          <w:trHeight w:val="20"/>
        </w:trPr>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1200" w:type="dxa"/>
            <w:vAlign w:val="bottom"/>
          </w:tcPr>
          <w:p>
            <w:pPr>
              <w:spacing w:after="0" w:line="237" w:lineRule="exact"/>
              <w:rPr>
                <w:sz w:val="20"/>
                <w:szCs w:val="20"/>
                <w:color w:val="auto"/>
              </w:rPr>
            </w:pPr>
            <w:r>
              <w:rPr>
                <w:rFonts w:ascii="Arial" w:cs="Arial" w:eastAsia="Arial" w:hAnsi="Arial"/>
                <w:sz w:val="22"/>
                <w:szCs w:val="22"/>
                <w:color w:val="auto"/>
              </w:rPr>
              <w:t>such [   ***</w:t>
            </w:r>
          </w:p>
        </w:tc>
        <w:tc>
          <w:tcPr>
            <w:tcW w:w="220" w:type="dxa"/>
            <w:vAlign w:val="bottom"/>
          </w:tcPr>
          <w:p>
            <w:pPr>
              <w:spacing w:after="0"/>
              <w:rPr>
                <w:sz w:val="20"/>
                <w:szCs w:val="20"/>
                <w:color w:val="auto"/>
              </w:rPr>
            </w:pPr>
          </w:p>
        </w:tc>
        <w:tc>
          <w:tcPr>
            <w:tcW w:w="5380" w:type="dxa"/>
            <w:vAlign w:val="bottom"/>
            <w:gridSpan w:val="11"/>
          </w:tcPr>
          <w:p>
            <w:pPr>
              <w:ind w:left="80"/>
              <w:spacing w:after="0" w:line="237" w:lineRule="exact"/>
              <w:rPr>
                <w:sz w:val="20"/>
                <w:szCs w:val="20"/>
                <w:color w:val="auto"/>
              </w:rPr>
            </w:pPr>
            <w:r>
              <w:rPr>
                <w:rFonts w:ascii="Arial" w:cs="Arial" w:eastAsia="Arial" w:hAnsi="Arial"/>
                <w:sz w:val="22"/>
                <w:szCs w:val="22"/>
                <w:color w:val="auto"/>
                <w:w w:val="96"/>
              </w:rPr>
              <w:t>] on Appendix 2.6(d)(II) and each immediately following [</w:t>
            </w:r>
          </w:p>
        </w:tc>
        <w:tc>
          <w:tcPr>
            <w:tcW w:w="700" w:type="dxa"/>
            <w:vAlign w:val="bottom"/>
            <w:gridSpan w:val="3"/>
          </w:tcPr>
          <w:p>
            <w:pPr>
              <w:jc w:val="right"/>
              <w:ind w:right="300"/>
              <w:spacing w:after="0" w:line="237" w:lineRule="exact"/>
              <w:rPr>
                <w:sz w:val="20"/>
                <w:szCs w:val="20"/>
                <w:color w:val="auto"/>
              </w:rPr>
            </w:pPr>
            <w:r>
              <w:rPr>
                <w:rFonts w:ascii="Arial" w:cs="Arial" w:eastAsia="Arial" w:hAnsi="Arial"/>
                <w:sz w:val="22"/>
                <w:szCs w:val="22"/>
                <w:color w:val="auto"/>
              </w:rPr>
              <w:t>***</w:t>
            </w:r>
          </w:p>
        </w:tc>
        <w:tc>
          <w:tcPr>
            <w:tcW w:w="3260" w:type="dxa"/>
            <w:vAlign w:val="bottom"/>
            <w:gridSpan w:val="12"/>
          </w:tcPr>
          <w:p>
            <w:pPr>
              <w:jc w:val="right"/>
              <w:spacing w:after="0" w:line="237" w:lineRule="exact"/>
              <w:rPr>
                <w:sz w:val="20"/>
                <w:szCs w:val="20"/>
                <w:color w:val="auto"/>
              </w:rPr>
            </w:pPr>
            <w:r>
              <w:rPr>
                <w:rFonts w:ascii="Arial" w:cs="Arial" w:eastAsia="Arial" w:hAnsi="Arial"/>
                <w:sz w:val="22"/>
                <w:szCs w:val="22"/>
                <w:color w:val="auto"/>
                <w:w w:val="91"/>
              </w:rPr>
              <w:t>], and so on, provided, however, that</w:t>
            </w:r>
          </w:p>
        </w:tc>
      </w:tr>
      <w:tr>
        <w:trPr>
          <w:trHeight w:val="20"/>
        </w:trPr>
        <w:tc>
          <w:tcPr>
            <w:tcW w:w="190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2380" w:type="dxa"/>
            <w:vAlign w:val="bottom"/>
            <w:gridSpan w:val="4"/>
          </w:tcPr>
          <w:p>
            <w:pPr>
              <w:spacing w:after="0" w:line="237" w:lineRule="exact"/>
              <w:rPr>
                <w:sz w:val="20"/>
                <w:szCs w:val="20"/>
                <w:color w:val="auto"/>
              </w:rPr>
            </w:pPr>
            <w:r>
              <w:rPr>
                <w:rFonts w:ascii="Arial" w:cs="Arial" w:eastAsia="Arial" w:hAnsi="Arial"/>
                <w:sz w:val="22"/>
                <w:szCs w:val="22"/>
                <w:color w:val="auto"/>
              </w:rPr>
              <w:t>if with respect to any [</w:t>
            </w:r>
          </w:p>
        </w:tc>
        <w:tc>
          <w:tcPr>
            <w:tcW w:w="660" w:type="dxa"/>
            <w:vAlign w:val="bottom"/>
            <w:gridSpan w:val="2"/>
          </w:tcPr>
          <w:p>
            <w:pPr>
              <w:jc w:val="right"/>
              <w:ind w:right="132"/>
              <w:spacing w:after="0" w:line="237"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0"/>
                <w:szCs w:val="20"/>
                <w:color w:val="auto"/>
              </w:rPr>
            </w:pPr>
          </w:p>
        </w:tc>
        <w:tc>
          <w:tcPr>
            <w:tcW w:w="7440" w:type="dxa"/>
            <w:vAlign w:val="bottom"/>
            <w:gridSpan w:val="21"/>
          </w:tcPr>
          <w:p>
            <w:pPr>
              <w:jc w:val="right"/>
              <w:spacing w:after="0" w:line="237" w:lineRule="exact"/>
              <w:rPr>
                <w:sz w:val="20"/>
                <w:szCs w:val="20"/>
                <w:color w:val="auto"/>
              </w:rPr>
            </w:pPr>
            <w:r>
              <w:rPr>
                <w:rFonts w:ascii="Arial" w:cs="Arial" w:eastAsia="Arial" w:hAnsi="Arial"/>
                <w:sz w:val="22"/>
                <w:szCs w:val="22"/>
                <w:color w:val="auto"/>
                <w:w w:val="94"/>
              </w:rPr>
              <w:t>] in satisfaction of the requirements of Appendix 2.1-A for transfer have not been</w:t>
            </w:r>
          </w:p>
        </w:tc>
      </w:tr>
      <w:tr>
        <w:trPr>
          <w:trHeight w:val="20"/>
        </w:trPr>
        <w:tc>
          <w:tcPr>
            <w:tcW w:w="19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900" w:type="dxa"/>
            <w:vAlign w:val="bottom"/>
            <w:gridSpan w:val="3"/>
          </w:tcPr>
          <w:p>
            <w:pPr>
              <w:spacing w:after="0" w:line="237" w:lineRule="exact"/>
              <w:rPr>
                <w:sz w:val="20"/>
                <w:szCs w:val="20"/>
                <w:color w:val="auto"/>
              </w:rPr>
            </w:pPr>
            <w:r>
              <w:rPr>
                <w:rFonts w:ascii="Arial" w:cs="Arial" w:eastAsia="Arial" w:hAnsi="Arial"/>
                <w:sz w:val="22"/>
                <w:szCs w:val="22"/>
                <w:color w:val="auto"/>
                <w:w w:val="99"/>
              </w:rPr>
              <w:t>obtained, then the [</w:t>
            </w:r>
          </w:p>
        </w:tc>
        <w:tc>
          <w:tcPr>
            <w:tcW w:w="480" w:type="dxa"/>
            <w:vAlign w:val="bottom"/>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0"/>
                <w:szCs w:val="20"/>
                <w:color w:val="auto"/>
              </w:rPr>
            </w:pPr>
          </w:p>
        </w:tc>
        <w:tc>
          <w:tcPr>
            <w:tcW w:w="7980" w:type="dxa"/>
            <w:vAlign w:val="bottom"/>
            <w:gridSpan w:val="22"/>
          </w:tcPr>
          <w:p>
            <w:pPr>
              <w:ind w:left="20"/>
              <w:spacing w:after="0" w:line="237" w:lineRule="exact"/>
              <w:rPr>
                <w:sz w:val="20"/>
                <w:szCs w:val="20"/>
                <w:color w:val="auto"/>
              </w:rPr>
            </w:pPr>
            <w:r>
              <w:rPr>
                <w:rFonts w:ascii="Arial" w:cs="Arial" w:eastAsia="Arial" w:hAnsi="Arial"/>
                <w:sz w:val="22"/>
                <w:szCs w:val="22"/>
                <w:color w:val="auto"/>
                <w:w w:val="96"/>
              </w:rPr>
              <w:t>] on Appendix 2.6(d)(II) would be selected instead; and provided, further, that if [   ***</w:t>
            </w:r>
          </w:p>
        </w:tc>
        <w:tc>
          <w:tcPr>
            <w:tcW w:w="16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r>
      <w:tr>
        <w:trPr>
          <w:trHeight w:val="20"/>
        </w:trPr>
        <w:tc>
          <w:tcPr>
            <w:tcW w:w="3040" w:type="dxa"/>
            <w:vAlign w:val="bottom"/>
            <w:gridSpan w:val="6"/>
          </w:tcPr>
          <w:p>
            <w:pPr>
              <w:spacing w:after="0" w:line="20" w:lineRule="exact"/>
              <w:rPr>
                <w:sz w:val="1"/>
                <w:szCs w:val="1"/>
                <w:color w:val="auto"/>
              </w:rPr>
            </w:pPr>
          </w:p>
        </w:tc>
        <w:tc>
          <w:tcPr>
            <w:tcW w:w="1700" w:type="dxa"/>
            <w:vAlign w:val="bottom"/>
            <w:gridSpan w:val="4"/>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r>
      <w:tr>
        <w:trPr>
          <w:trHeight w:val="269"/>
        </w:trPr>
        <w:tc>
          <w:tcPr>
            <w:tcW w:w="4740" w:type="dxa"/>
            <w:vAlign w:val="bottom"/>
            <w:gridSpan w:val="10"/>
          </w:tcPr>
          <w:p>
            <w:pPr>
              <w:spacing w:after="0"/>
              <w:rPr>
                <w:sz w:val="20"/>
                <w:szCs w:val="20"/>
                <w:color w:val="auto"/>
              </w:rPr>
            </w:pPr>
            <w:r>
              <w:rPr>
                <w:rFonts w:ascii="Arial" w:cs="Arial" w:eastAsia="Arial" w:hAnsi="Arial"/>
                <w:sz w:val="22"/>
                <w:szCs w:val="22"/>
                <w:color w:val="auto"/>
                <w:w w:val="98"/>
              </w:rPr>
              <w:t>pursuant to this subparagraph would cause [   ***</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 ([   ***</w:t>
            </w:r>
          </w:p>
        </w:tc>
        <w:tc>
          <w:tcPr>
            <w:tcW w:w="2820" w:type="dxa"/>
            <w:vAlign w:val="bottom"/>
            <w:gridSpan w:val="10"/>
          </w:tcPr>
          <w:p>
            <w:pPr>
              <w:jc w:val="right"/>
              <w:ind w:right="140"/>
              <w:spacing w:after="0"/>
              <w:rPr>
                <w:sz w:val="20"/>
                <w:szCs w:val="20"/>
                <w:color w:val="auto"/>
              </w:rPr>
            </w:pPr>
            <w:r>
              <w:rPr>
                <w:rFonts w:ascii="Arial" w:cs="Arial" w:eastAsia="Arial" w:hAnsi="Arial"/>
                <w:sz w:val="22"/>
                <w:szCs w:val="22"/>
                <w:color w:val="auto"/>
                <w:w w:val="98"/>
              </w:rPr>
              <w:t>] prior to the Closing Date) [</w:t>
            </w:r>
          </w:p>
        </w:tc>
        <w:tc>
          <w:tcPr>
            <w:tcW w:w="50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280" w:type="dxa"/>
            <w:vAlign w:val="bottom"/>
            <w:gridSpan w:val="4"/>
          </w:tcPr>
          <w:p>
            <w:pPr>
              <w:jc w:val="right"/>
              <w:spacing w:after="0"/>
              <w:rPr>
                <w:sz w:val="20"/>
                <w:szCs w:val="20"/>
                <w:color w:val="auto"/>
              </w:rPr>
            </w:pPr>
            <w:r>
              <w:rPr>
                <w:rFonts w:ascii="Arial" w:cs="Arial" w:eastAsia="Arial" w:hAnsi="Arial"/>
                <w:sz w:val="22"/>
                <w:szCs w:val="22"/>
                <w:color w:val="auto"/>
                <w:w w:val="91"/>
              </w:rPr>
              <w:t>], then, unless</w:t>
            </w:r>
          </w:p>
        </w:tc>
      </w:tr>
      <w:tr>
        <w:trPr>
          <w:trHeight w:val="257"/>
        </w:trPr>
        <w:tc>
          <w:tcPr>
            <w:tcW w:w="8340" w:type="dxa"/>
            <w:vAlign w:val="bottom"/>
            <w:gridSpan w:val="18"/>
          </w:tcPr>
          <w:p>
            <w:pPr>
              <w:spacing w:after="0"/>
              <w:rPr>
                <w:sz w:val="20"/>
                <w:szCs w:val="20"/>
                <w:color w:val="auto"/>
              </w:rPr>
            </w:pPr>
            <w:r>
              <w:rPr>
                <w:rFonts w:ascii="Arial" w:cs="Arial" w:eastAsia="Arial" w:hAnsi="Arial"/>
                <w:sz w:val="22"/>
                <w:szCs w:val="22"/>
                <w:color w:val="auto"/>
                <w:w w:val="96"/>
              </w:rPr>
              <w:t>the Plan Investment Fiduciary in its discretion, has determined that it shall transfer such [</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5"/>
          </w:tcPr>
          <w:p>
            <w:pPr>
              <w:jc w:val="right"/>
              <w:spacing w:after="0"/>
              <w:rPr>
                <w:sz w:val="20"/>
                <w:szCs w:val="20"/>
                <w:color w:val="auto"/>
              </w:rPr>
            </w:pPr>
            <w:r>
              <w:rPr>
                <w:rFonts w:ascii="Arial" w:cs="Arial" w:eastAsia="Arial" w:hAnsi="Arial"/>
                <w:sz w:val="22"/>
                <w:szCs w:val="22"/>
                <w:color w:val="auto"/>
                <w:w w:val="93"/>
              </w:rPr>
              <w:t>] notwithstanding</w:t>
            </w:r>
          </w:p>
        </w:tc>
      </w:tr>
      <w:tr>
        <w:trPr>
          <w:trHeight w:val="275"/>
        </w:trPr>
        <w:tc>
          <w:tcPr>
            <w:tcW w:w="6800" w:type="dxa"/>
            <w:vAlign w:val="bottom"/>
            <w:gridSpan w:val="13"/>
          </w:tcPr>
          <w:p>
            <w:pPr>
              <w:spacing w:after="0"/>
              <w:rPr>
                <w:sz w:val="20"/>
                <w:szCs w:val="20"/>
                <w:color w:val="auto"/>
              </w:rPr>
            </w:pPr>
            <w:r>
              <w:rPr>
                <w:rFonts w:ascii="Arial" w:cs="Arial" w:eastAsia="Arial" w:hAnsi="Arial"/>
                <w:sz w:val="22"/>
                <w:szCs w:val="22"/>
                <w:color w:val="auto"/>
                <w:w w:val="92"/>
              </w:rPr>
              <w:t>whether such transfer would cause the aggregate value of transferred [   ***</w:t>
            </w:r>
          </w:p>
        </w:tc>
        <w:tc>
          <w:tcPr>
            <w:tcW w:w="100" w:type="dxa"/>
            <w:vAlign w:val="bottom"/>
          </w:tcPr>
          <w:p>
            <w:pPr>
              <w:spacing w:after="0"/>
              <w:rPr>
                <w:sz w:val="23"/>
                <w:szCs w:val="23"/>
                <w:color w:val="auto"/>
              </w:rPr>
            </w:pPr>
          </w:p>
        </w:tc>
        <w:tc>
          <w:tcPr>
            <w:tcW w:w="1800" w:type="dxa"/>
            <w:vAlign w:val="bottom"/>
            <w:gridSpan w:val="7"/>
          </w:tcPr>
          <w:p>
            <w:pPr>
              <w:jc w:val="right"/>
              <w:ind w:right="200"/>
              <w:spacing w:after="0"/>
              <w:rPr>
                <w:sz w:val="20"/>
                <w:szCs w:val="20"/>
                <w:color w:val="auto"/>
              </w:rPr>
            </w:pPr>
            <w:r>
              <w:rPr>
                <w:rFonts w:ascii="Arial" w:cs="Arial" w:eastAsia="Arial" w:hAnsi="Arial"/>
                <w:sz w:val="22"/>
                <w:szCs w:val="22"/>
                <w:color w:val="auto"/>
              </w:rPr>
              <w:t>] at Closing to [</w:t>
            </w:r>
          </w:p>
        </w:tc>
        <w:tc>
          <w:tcPr>
            <w:tcW w:w="5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120" w:type="dxa"/>
            <w:vAlign w:val="bottom"/>
            <w:gridSpan w:val="3"/>
          </w:tcPr>
          <w:p>
            <w:pPr>
              <w:ind w:left="40"/>
              <w:spacing w:after="0"/>
              <w:rPr>
                <w:sz w:val="20"/>
                <w:szCs w:val="20"/>
                <w:color w:val="auto"/>
              </w:rPr>
            </w:pPr>
            <w:r>
              <w:rPr>
                <w:rFonts w:ascii="Arial" w:cs="Arial" w:eastAsia="Arial" w:hAnsi="Arial"/>
                <w:sz w:val="22"/>
                <w:szCs w:val="22"/>
                <w:color w:val="auto"/>
                <w:w w:val="96"/>
              </w:rPr>
              <w:t>], then the [</w:t>
            </w:r>
          </w:p>
        </w:tc>
        <w:tc>
          <w:tcPr>
            <w:tcW w:w="160" w:type="dxa"/>
            <w:vAlign w:val="bottom"/>
          </w:tcPr>
          <w:p>
            <w:pPr>
              <w:spacing w:after="0"/>
              <w:rPr>
                <w:sz w:val="23"/>
                <w:szCs w:val="23"/>
                <w:color w:val="auto"/>
              </w:rPr>
            </w:pPr>
          </w:p>
        </w:tc>
      </w:tr>
    </w:tbl>
    <w:p>
      <w:pPr>
        <w:ind w:left="1480" w:hanging="824"/>
        <w:spacing w:after="0"/>
        <w:tabs>
          <w:tab w:leader="none" w:pos="14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 on </w:t>
      </w:r>
      <w:r>
        <w:rPr>
          <w:rFonts w:ascii="Arial" w:cs="Arial" w:eastAsia="Arial" w:hAnsi="Arial"/>
          <w:sz w:val="21"/>
          <w:szCs w:val="21"/>
          <w:u w:val="single" w:color="auto"/>
          <w:color w:val="auto"/>
        </w:rPr>
        <w:t>Appendix 2.6(d)(II)</w:t>
      </w:r>
      <w:r>
        <w:rPr>
          <w:rFonts w:ascii="Arial" w:cs="Arial" w:eastAsia="Arial" w:hAnsi="Arial"/>
          <w:sz w:val="21"/>
          <w:szCs w:val="21"/>
          <w:color w:val="auto"/>
        </w:rPr>
        <w:t xml:space="preserve"> will be transferred in accordance with the procedures in this </w:t>
      </w:r>
      <w:r>
        <w:rPr>
          <w:rFonts w:ascii="Arial" w:cs="Arial" w:eastAsia="Arial" w:hAnsi="Arial"/>
          <w:sz w:val="21"/>
          <w:szCs w:val="21"/>
          <w:u w:val="single" w:color="auto"/>
          <w:color w:val="auto"/>
        </w:rPr>
        <w:t>Section 2.6(d)(iii)(B)</w:t>
      </w:r>
      <w:r>
        <w:rPr>
          <w:rFonts w:ascii="Arial" w:cs="Arial" w:eastAsia="Arial" w:hAnsi="Arial"/>
          <w:sz w:val="21"/>
          <w:szCs w:val="21"/>
          <w:color w:val="auto"/>
        </w:rPr>
        <w:t>, [</w:t>
      </w:r>
    </w:p>
    <w:tbl>
      <w:tblPr>
        <w:tblLayout w:type="fixed"/>
        <w:tblInd w:w="660" w:type="dxa"/>
        <w:tblCellMar>
          <w:top w:w="0" w:type="dxa"/>
          <w:left w:w="0" w:type="dxa"/>
          <w:bottom w:w="0" w:type="dxa"/>
          <w:right w:w="0" w:type="dxa"/>
        </w:tblCellMar>
      </w:tblPr>
      <w:tr>
        <w:trPr>
          <w:trHeight w:val="221"/>
        </w:trPr>
        <w:tc>
          <w:tcPr>
            <w:tcW w:w="440" w:type="dxa"/>
            <w:vAlign w:val="bottom"/>
          </w:tcPr>
          <w:p>
            <w:pPr>
              <w:spacing w:after="0" w:line="221" w:lineRule="exact"/>
              <w:rPr>
                <w:sz w:val="20"/>
                <w:szCs w:val="20"/>
                <w:color w:val="auto"/>
              </w:rPr>
            </w:pPr>
            <w:r>
              <w:rPr>
                <w:rFonts w:ascii="Arial" w:cs="Arial" w:eastAsia="Arial" w:hAnsi="Arial"/>
                <w:sz w:val="22"/>
                <w:szCs w:val="22"/>
                <w:color w:val="auto"/>
              </w:rPr>
              <w:t>***</w:t>
            </w:r>
          </w:p>
        </w:tc>
        <w:tc>
          <w:tcPr>
            <w:tcW w:w="8700" w:type="dxa"/>
            <w:vAlign w:val="bottom"/>
            <w:gridSpan w:val="9"/>
          </w:tcPr>
          <w:p>
            <w:pPr>
              <w:ind w:left="260"/>
              <w:spacing w:after="0" w:line="221" w:lineRule="exact"/>
              <w:rPr>
                <w:sz w:val="20"/>
                <w:szCs w:val="20"/>
                <w:color w:val="auto"/>
              </w:rPr>
            </w:pPr>
            <w:r>
              <w:rPr>
                <w:rFonts w:ascii="Arial" w:cs="Arial" w:eastAsia="Arial" w:hAnsi="Arial"/>
                <w:sz w:val="22"/>
                <w:szCs w:val="22"/>
                <w:color w:val="auto"/>
                <w:w w:val="93"/>
              </w:rPr>
              <w:t>] until either Appendix 2.6(d)(II) has been exhausted, or the Plan Investment Fiduciary, [   ***</w:t>
            </w:r>
          </w:p>
        </w:tc>
        <w:tc>
          <w:tcPr>
            <w:tcW w:w="1620" w:type="dxa"/>
            <w:vAlign w:val="bottom"/>
            <w:gridSpan w:val="2"/>
          </w:tcPr>
          <w:p>
            <w:pPr>
              <w:jc w:val="right"/>
              <w:spacing w:after="0" w:line="221" w:lineRule="exact"/>
              <w:rPr>
                <w:sz w:val="20"/>
                <w:szCs w:val="20"/>
                <w:color w:val="auto"/>
              </w:rPr>
            </w:pPr>
            <w:r>
              <w:rPr>
                <w:rFonts w:ascii="Arial" w:cs="Arial" w:eastAsia="Arial" w:hAnsi="Arial"/>
                <w:sz w:val="22"/>
                <w:szCs w:val="22"/>
                <w:color w:val="auto"/>
              </w:rPr>
              <w:t>]. For avoidance</w:t>
            </w:r>
          </w:p>
        </w:tc>
      </w:tr>
      <w:tr>
        <w:trPr>
          <w:trHeight w:val="20"/>
        </w:trPr>
        <w:tc>
          <w:tcPr>
            <w:tcW w:w="1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7"/>
        </w:trPr>
        <w:tc>
          <w:tcPr>
            <w:tcW w:w="2800" w:type="dxa"/>
            <w:vAlign w:val="bottom"/>
            <w:gridSpan w:val="5"/>
          </w:tcPr>
          <w:p>
            <w:pPr>
              <w:spacing w:after="0"/>
              <w:rPr>
                <w:sz w:val="20"/>
                <w:szCs w:val="20"/>
                <w:color w:val="auto"/>
              </w:rPr>
            </w:pPr>
            <w:r>
              <w:rPr>
                <w:rFonts w:ascii="Arial" w:cs="Arial" w:eastAsia="Arial" w:hAnsi="Arial"/>
                <w:sz w:val="22"/>
                <w:szCs w:val="22"/>
                <w:color w:val="auto"/>
                <w:w w:val="90"/>
              </w:rPr>
              <w:t>of doubt, it is not intended that [</w:t>
            </w:r>
          </w:p>
        </w:tc>
        <w:tc>
          <w:tcPr>
            <w:tcW w:w="74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5600" w:type="dxa"/>
            <w:vAlign w:val="bottom"/>
            <w:gridSpan w:val="3"/>
          </w:tcPr>
          <w:p>
            <w:pPr>
              <w:ind w:left="220"/>
              <w:spacing w:after="0"/>
              <w:rPr>
                <w:sz w:val="20"/>
                <w:szCs w:val="20"/>
                <w:color w:val="auto"/>
              </w:rPr>
            </w:pPr>
            <w:r>
              <w:rPr>
                <w:rFonts w:ascii="Arial" w:cs="Arial" w:eastAsia="Arial" w:hAnsi="Arial"/>
                <w:sz w:val="22"/>
                <w:szCs w:val="22"/>
                <w:color w:val="auto"/>
                <w:w w:val="97"/>
              </w:rPr>
              <w:t>] Adjustment in accordance with the Procedures Manual.</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95"/>
        </w:trPr>
        <w:tc>
          <w:tcPr>
            <w:tcW w:w="44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22"/>
                <w:szCs w:val="22"/>
                <w:color w:val="auto"/>
              </w:rPr>
              <w:t>(iv)</w:t>
            </w:r>
          </w:p>
        </w:tc>
        <w:tc>
          <w:tcPr>
            <w:tcW w:w="780" w:type="dxa"/>
            <w:vAlign w:val="bottom"/>
            <w:gridSpan w:val="2"/>
          </w:tcPr>
          <w:p>
            <w:pPr>
              <w:ind w:left="180"/>
              <w:spacing w:after="0"/>
              <w:rPr>
                <w:sz w:val="20"/>
                <w:szCs w:val="20"/>
                <w:color w:val="auto"/>
              </w:rPr>
            </w:pPr>
            <w:r>
              <w:rPr>
                <w:rFonts w:ascii="Arial" w:cs="Arial" w:eastAsia="Arial" w:hAnsi="Arial"/>
                <w:sz w:val="22"/>
                <w:szCs w:val="22"/>
                <w:color w:val="auto"/>
              </w:rPr>
              <w:t>The [</w:t>
            </w:r>
          </w:p>
        </w:tc>
        <w:tc>
          <w:tcPr>
            <w:tcW w:w="98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7960" w:type="dxa"/>
            <w:vAlign w:val="bottom"/>
            <w:gridSpan w:val="7"/>
          </w:tcPr>
          <w:p>
            <w:pPr>
              <w:jc w:val="right"/>
              <w:spacing w:after="0"/>
              <w:rPr>
                <w:sz w:val="20"/>
                <w:szCs w:val="20"/>
                <w:color w:val="auto"/>
              </w:rPr>
            </w:pPr>
            <w:r>
              <w:rPr>
                <w:rFonts w:ascii="Arial" w:cs="Arial" w:eastAsia="Arial" w:hAnsi="Arial"/>
                <w:sz w:val="22"/>
                <w:szCs w:val="22"/>
                <w:color w:val="auto"/>
                <w:w w:val="91"/>
              </w:rPr>
              <w:t>] in the Transferred Asset Schedule on the Closing Date will be determined in accordance</w:t>
            </w:r>
          </w:p>
        </w:tc>
      </w:tr>
      <w:tr>
        <w:trPr>
          <w:trHeight w:val="224"/>
        </w:trPr>
        <w:tc>
          <w:tcPr>
            <w:tcW w:w="1820" w:type="dxa"/>
            <w:vAlign w:val="bottom"/>
            <w:gridSpan w:val="4"/>
          </w:tcPr>
          <w:p>
            <w:pPr>
              <w:spacing w:after="0" w:line="224" w:lineRule="exact"/>
              <w:rPr>
                <w:sz w:val="20"/>
                <w:szCs w:val="20"/>
                <w:color w:val="auto"/>
              </w:rPr>
            </w:pPr>
            <w:r>
              <w:rPr>
                <w:rFonts w:ascii="Arial" w:cs="Arial" w:eastAsia="Arial" w:hAnsi="Arial"/>
                <w:sz w:val="22"/>
                <w:szCs w:val="22"/>
                <w:color w:val="auto"/>
              </w:rPr>
              <w:t>with Appendix 2.6.</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6"/>
        </w:trPr>
        <w:tc>
          <w:tcPr>
            <w:tcW w:w="44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22"/>
                <w:szCs w:val="22"/>
                <w:color w:val="auto"/>
              </w:rPr>
              <w:t>(v)</w:t>
            </w:r>
          </w:p>
        </w:tc>
        <w:tc>
          <w:tcPr>
            <w:tcW w:w="6220" w:type="dxa"/>
            <w:vAlign w:val="bottom"/>
            <w:gridSpan w:val="7"/>
          </w:tcPr>
          <w:p>
            <w:pPr>
              <w:ind w:left="100"/>
              <w:spacing w:after="0"/>
              <w:rPr>
                <w:sz w:val="20"/>
                <w:szCs w:val="20"/>
                <w:color w:val="auto"/>
              </w:rPr>
            </w:pPr>
            <w:r>
              <w:rPr>
                <w:rFonts w:ascii="Arial" w:cs="Arial" w:eastAsia="Arial" w:hAnsi="Arial"/>
                <w:sz w:val="22"/>
                <w:szCs w:val="22"/>
                <w:color w:val="auto"/>
                <w:w w:val="98"/>
              </w:rPr>
              <w:t>Notwithstanding anything to the contrary in this Agreement[   ***</w:t>
            </w:r>
          </w:p>
        </w:tc>
        <w:tc>
          <w:tcPr>
            <w:tcW w:w="3220" w:type="dxa"/>
            <w:vAlign w:val="bottom"/>
            <w:gridSpan w:val="2"/>
          </w:tcPr>
          <w:p>
            <w:pPr>
              <w:ind w:left="220"/>
              <w:spacing w:after="0"/>
              <w:rPr>
                <w:sz w:val="20"/>
                <w:szCs w:val="20"/>
                <w:color w:val="auto"/>
              </w:rPr>
            </w:pPr>
            <w:r>
              <w:rPr>
                <w:rFonts w:ascii="Arial" w:cs="Arial" w:eastAsia="Arial" w:hAnsi="Arial"/>
                <w:sz w:val="22"/>
                <w:szCs w:val="22"/>
                <w:color w:val="auto"/>
              </w:rPr>
              <w:t>] to the Insurer through [   ***</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24"/>
        </w:trPr>
        <w:tc>
          <w:tcPr>
            <w:tcW w:w="9140" w:type="dxa"/>
            <w:vAlign w:val="bottom"/>
            <w:gridSpan w:val="10"/>
          </w:tcPr>
          <w:p>
            <w:pPr>
              <w:spacing w:after="0" w:line="224" w:lineRule="exact"/>
              <w:rPr>
                <w:sz w:val="20"/>
                <w:szCs w:val="20"/>
                <w:color w:val="auto"/>
              </w:rPr>
            </w:pPr>
            <w:r>
              <w:rPr>
                <w:rFonts w:ascii="Arial" w:cs="Arial" w:eastAsia="Arial" w:hAnsi="Arial"/>
                <w:sz w:val="22"/>
                <w:szCs w:val="22"/>
                <w:color w:val="auto"/>
                <w:w w:val="91"/>
              </w:rPr>
              <w:t>Newcos that meet the requirements of Section 6.13, in the Plan Investment Fiduciary's sole discretion.</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76" w:lineRule="exact"/>
        <w:rPr>
          <w:sz w:val="20"/>
          <w:szCs w:val="20"/>
          <w:color w:val="auto"/>
        </w:rPr>
      </w:pPr>
    </w:p>
    <w:p>
      <w:pPr>
        <w:ind w:left="1200" w:hanging="544"/>
        <w:spacing w:after="0"/>
        <w:tabs>
          <w:tab w:leader="none" w:pos="12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On (</w:t>
      </w:r>
      <w:r>
        <w:rPr>
          <w:rFonts w:ascii="Arial" w:cs="Arial" w:eastAsia="Arial" w:hAnsi="Arial"/>
          <w:sz w:val="19"/>
          <w:szCs w:val="19"/>
          <w:u w:val="single" w:color="auto"/>
          <w:color w:val="auto"/>
        </w:rPr>
        <w:t>i</w:t>
      </w:r>
      <w:r>
        <w:rPr>
          <w:rFonts w:ascii="Arial" w:cs="Arial" w:eastAsia="Arial" w:hAnsi="Arial"/>
          <w:sz w:val="19"/>
          <w:szCs w:val="19"/>
          <w:color w:val="auto"/>
        </w:rPr>
        <w:t>) the Business Day immediately prior to the Closing Date, the Plan Investment Fiduciary shall deliver to the</w:t>
      </w:r>
    </w:p>
    <w:p>
      <w:pPr>
        <w:spacing w:after="0" w:line="56"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 xml:space="preserve">Insurer a calculation of the value of each Broker-Quote Public Bond and [ *** ] in the Final Plan Portfolio in accordance with the methodology set forth in </w:t>
      </w:r>
      <w:r>
        <w:rPr>
          <w:rFonts w:ascii="Arial" w:cs="Arial" w:eastAsia="Arial" w:hAnsi="Arial"/>
          <w:sz w:val="19"/>
          <w:szCs w:val="19"/>
          <w:u w:val="single" w:color="auto"/>
          <w:color w:val="auto"/>
        </w:rPr>
        <w:t>Appendix 2.6</w:t>
      </w:r>
      <w:r>
        <w:rPr>
          <w:rFonts w:ascii="Arial" w:cs="Arial" w:eastAsia="Arial" w:hAnsi="Arial"/>
          <w:sz w:val="19"/>
          <w:szCs w:val="19"/>
          <w:color w:val="auto"/>
        </w:rPr>
        <w:t xml:space="preserve"> as of the close of business on the second Business Day prior to the Closing Date</w:t>
      </w:r>
    </w:p>
    <w:p>
      <w:pPr>
        <w:spacing w:after="0" w:line="2"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and (</w:t>
      </w:r>
      <w:r>
        <w:rPr>
          <w:rFonts w:ascii="Arial" w:cs="Arial" w:eastAsia="Arial" w:hAnsi="Arial"/>
          <w:sz w:val="19"/>
          <w:szCs w:val="19"/>
          <w:u w:val="single" w:color="auto"/>
          <w:color w:val="auto"/>
        </w:rPr>
        <w:t>ii</w:t>
      </w:r>
      <w:r>
        <w:rPr>
          <w:rFonts w:ascii="Arial" w:cs="Arial" w:eastAsia="Arial" w:hAnsi="Arial"/>
          <w:sz w:val="19"/>
          <w:szCs w:val="19"/>
          <w:color w:val="auto"/>
        </w:rPr>
        <w:t>) the Closing Date, the Plan Investment Fiduciary shall deliver to the Insurer a calculation of the value of each</w:t>
      </w:r>
    </w:p>
    <w:p>
      <w:pPr>
        <w:spacing w:after="0" w:line="4"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 xml:space="preserve">asset in the Final Plan Portfolio other than Broker-Quote Public Bonds and [ *** ], calculated in accordance with the methodology set forth in </w:t>
      </w:r>
      <w:r>
        <w:rPr>
          <w:rFonts w:ascii="Arial" w:cs="Arial" w:eastAsia="Arial" w:hAnsi="Arial"/>
          <w:sz w:val="19"/>
          <w:szCs w:val="19"/>
          <w:u w:val="single" w:color="auto"/>
          <w:color w:val="auto"/>
        </w:rPr>
        <w:t>Appendix 2.6</w:t>
      </w:r>
      <w:r>
        <w:rPr>
          <w:rFonts w:ascii="Arial" w:cs="Arial" w:eastAsia="Arial" w:hAnsi="Arial"/>
          <w:sz w:val="19"/>
          <w:szCs w:val="19"/>
          <w:color w:val="auto"/>
        </w:rPr>
        <w:t>, as of the close of business on the immediately preceding Business Day (together with the</w:t>
      </w:r>
    </w:p>
    <w:p>
      <w:pPr>
        <w:spacing w:after="0" w:line="2" w:lineRule="exact"/>
        <w:rPr>
          <w:sz w:val="20"/>
          <w:szCs w:val="20"/>
          <w:color w:val="auto"/>
        </w:rPr>
      </w:pPr>
    </w:p>
    <w:p>
      <w:pPr>
        <w:ind w:left="360" w:hanging="352"/>
        <w:spacing w:after="0"/>
        <w:tabs>
          <w:tab w:leader="none" w:pos="3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the “</w:t>
      </w:r>
      <w:r>
        <w:rPr>
          <w:rFonts w:ascii="Arial" w:cs="Arial" w:eastAsia="Arial" w:hAnsi="Arial"/>
          <w:sz w:val="19"/>
          <w:szCs w:val="19"/>
          <w:u w:val="single" w:color="auto"/>
          <w:color w:val="auto"/>
        </w:rPr>
        <w:t>Final Pre-Closing Asset Valuation</w:t>
      </w:r>
      <w:r>
        <w:rPr>
          <w:rFonts w:ascii="Arial" w:cs="Arial" w:eastAsia="Arial" w:hAnsi="Arial"/>
          <w:sz w:val="19"/>
          <w:szCs w:val="19"/>
          <w:color w:val="auto"/>
        </w:rPr>
        <w:t>”).</w:t>
      </w:r>
    </w:p>
    <w:p>
      <w:pPr>
        <w:spacing w:after="0" w:line="20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Calculation of Dry-Run Closing Premiums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85" w:lineRule="auto"/>
        <w:tabs>
          <w:tab w:leader="none" w:pos="1536"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On September 6, 2012, and on the third Business Day of each calendar month thereafter until the earlier to occur of the Closing Date and the termination of this Agreement, the Insurer shall deliver to the Company and the Independent Third Party, and the Company and the Insurer shall jointly direct the Independent Third Party to deliver to the Insurer and the Company, a calculation of the Dry-Run Closing Premium generally consistent with the form of </w:t>
      </w:r>
      <w:r>
        <w:rPr>
          <w:rFonts w:ascii="Arial" w:cs="Arial" w:eastAsia="Arial" w:hAnsi="Arial"/>
          <w:sz w:val="19"/>
          <w:szCs w:val="19"/>
          <w:u w:val="single" w:color="auto"/>
          <w:color w:val="auto"/>
        </w:rPr>
        <w:t>Appendix 2.7</w:t>
      </w:r>
      <w:r>
        <w:rPr>
          <w:rFonts w:ascii="Arial" w:cs="Arial" w:eastAsia="Arial" w:hAnsi="Arial"/>
          <w:sz w:val="19"/>
          <w:szCs w:val="19"/>
          <w:color w:val="auto"/>
        </w:rPr>
        <w:t>. Each “</w:t>
      </w:r>
      <w:r>
        <w:rPr>
          <w:rFonts w:ascii="Arial" w:cs="Arial" w:eastAsia="Arial" w:hAnsi="Arial"/>
          <w:sz w:val="19"/>
          <w:szCs w:val="19"/>
          <w:u w:val="single" w:color="auto"/>
          <w:color w:val="auto"/>
        </w:rPr>
        <w:t>Dry-Run 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Premium</w:t>
      </w:r>
      <w:r>
        <w:rPr>
          <w:rFonts w:ascii="Arial" w:cs="Arial" w:eastAsia="Arial" w:hAnsi="Arial"/>
          <w:sz w:val="19"/>
          <w:szCs w:val="19"/>
          <w:color w:val="auto"/>
        </w:rPr>
        <w:t>” shall be equal to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Dry-Run Post-Solicitation Premium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100% plus the Target Closing Date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the sum of (</w:t>
      </w:r>
      <w:r>
        <w:rPr>
          <w:rFonts w:ascii="Arial" w:cs="Arial" w:eastAsia="Arial" w:hAnsi="Arial"/>
          <w:sz w:val="19"/>
          <w:szCs w:val="19"/>
          <w:u w:val="single" w:color="auto"/>
          <w:color w:val="auto"/>
        </w:rPr>
        <w:t>A</w:t>
      </w:r>
      <w:r>
        <w:rPr>
          <w:rFonts w:ascii="Arial" w:cs="Arial" w:eastAsia="Arial" w:hAnsi="Arial"/>
          <w:sz w:val="19"/>
          <w:szCs w:val="19"/>
          <w:color w:val="auto"/>
        </w:rPr>
        <w:t>) the CMA Adjustment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SCA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100% plus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PFS Adjustment, </w:t>
      </w:r>
      <w:r>
        <w:rPr>
          <w:rFonts w:ascii="Arial" w:cs="Arial" w:eastAsia="Arial" w:hAnsi="Arial"/>
          <w:sz w:val="22"/>
          <w:szCs w:val="22"/>
          <w:i w:val="1"/>
          <w:iCs w:val="1"/>
          <w:color w:val="auto"/>
        </w:rPr>
        <w:t>plus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the [ *** ] Adjustment. For purposes of calculating each Dry-Run Closing Premium, the Insurer shall, and the Insurer and the Company shall jointly direct the Independent Third Party to, use the data provided in accordance with </w:t>
      </w:r>
      <w:r>
        <w:rPr>
          <w:rFonts w:ascii="Arial" w:cs="Arial" w:eastAsia="Arial" w:hAnsi="Arial"/>
          <w:sz w:val="22"/>
          <w:szCs w:val="22"/>
          <w:u w:val="single" w:color="auto"/>
          <w:color w:val="auto"/>
        </w:rPr>
        <w:t>Section 2.6(b)</w:t>
      </w:r>
      <w:r>
        <w:rPr>
          <w:rFonts w:ascii="Arial" w:cs="Arial" w:eastAsia="Arial" w:hAnsi="Arial"/>
          <w:sz w:val="22"/>
          <w:szCs w:val="22"/>
          <w:color w:val="auto"/>
        </w:rPr>
        <w:t xml:space="preserve"> delivered on the second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1" w:right="2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Business Day of that calendar month, and calculate the Target Closing Date Adjustment, the CMA Adjustment, SCA Adjustment,</w:t>
      </w:r>
    </w:p>
    <w:p>
      <w:pPr>
        <w:spacing w:after="0" w:line="56"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Adjustment and PFS Adjustment as of the last day of the immediately preceding calendar month.</w:t>
      </w:r>
    </w:p>
    <w:p>
      <w:pPr>
        <w:spacing w:after="0" w:line="2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(b) If a Dry-Run Closing Premium as calculated by the Independent Third Party differs by more than [ *** ] from such Dry-Run Closing Premium calculated by the Insurer, then the Insurer shall, for a period of five (5) Business Days, seek to reasonably cooperate with the Company and the Independent Third Party to identify the reasons for the difference and seek to resolve all such differences, and shall deliver the revised calculations, if any, to the Company within five (5) Business Days thereafter. In the event the Insurer, the Company and the Independent Third Party do not identify or resolve all such differences, the Company and the Insurer shall jointly direct the Independent Third Party to, within two (2) Business Days, make any revisions to the applicable Dry-Run Closing Premium that were agreed upon by the Company and the Insurer, recalculate such Dry-Run Closing Premium and provide the Company and the Insurer with such revised calculations.</w:t>
      </w:r>
    </w:p>
    <w:p>
      <w:pPr>
        <w:spacing w:after="0" w:line="197" w:lineRule="exact"/>
        <w:rPr>
          <w:sz w:val="20"/>
          <w:szCs w:val="20"/>
          <w:color w:val="auto"/>
        </w:rPr>
      </w:pPr>
    </w:p>
    <w:p>
      <w:pPr>
        <w:ind w:left="1540" w:hanging="884"/>
        <w:spacing w:after="0"/>
        <w:tabs>
          <w:tab w:leader="none" w:pos="154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PFS Adjustment and CMA Adjustment included in each Dry-Run Closing Premium shall incorporate a</w:t>
      </w:r>
    </w:p>
    <w:tbl>
      <w:tblPr>
        <w:tblLayout w:type="fixed"/>
        <w:tblInd w:w="0" w:type="dxa"/>
        <w:tblCellMar>
          <w:top w:w="0" w:type="dxa"/>
          <w:left w:w="0" w:type="dxa"/>
          <w:bottom w:w="0" w:type="dxa"/>
          <w:right w:w="0" w:type="dxa"/>
        </w:tblCellMar>
      </w:tblPr>
      <w:tr>
        <w:trPr>
          <w:trHeight w:val="239"/>
        </w:trPr>
        <w:tc>
          <w:tcPr>
            <w:tcW w:w="2720" w:type="dxa"/>
            <w:vAlign w:val="bottom"/>
          </w:tcPr>
          <w:p>
            <w:pPr>
              <w:spacing w:after="0" w:line="239" w:lineRule="exact"/>
              <w:rPr>
                <w:sz w:val="20"/>
                <w:szCs w:val="20"/>
                <w:color w:val="auto"/>
              </w:rPr>
            </w:pPr>
            <w:r>
              <w:rPr>
                <w:rFonts w:ascii="Arial" w:cs="Arial" w:eastAsia="Arial" w:hAnsi="Arial"/>
                <w:sz w:val="22"/>
                <w:szCs w:val="22"/>
                <w:color w:val="auto"/>
                <w:w w:val="96"/>
              </w:rPr>
              <w:t>calculation of the estimated [</w:t>
            </w:r>
          </w:p>
        </w:tc>
        <w:tc>
          <w:tcPr>
            <w:tcW w:w="720" w:type="dxa"/>
            <w:vAlign w:val="bottom"/>
          </w:tcPr>
          <w:p>
            <w:pPr>
              <w:jc w:val="right"/>
              <w:ind w:right="112"/>
              <w:spacing w:after="0" w:line="239" w:lineRule="exact"/>
              <w:rPr>
                <w:sz w:val="20"/>
                <w:szCs w:val="20"/>
                <w:color w:val="auto"/>
              </w:rPr>
            </w:pPr>
            <w:r>
              <w:rPr>
                <w:rFonts w:ascii="Arial" w:cs="Arial" w:eastAsia="Arial" w:hAnsi="Arial"/>
                <w:sz w:val="22"/>
                <w:szCs w:val="22"/>
                <w:color w:val="auto"/>
              </w:rPr>
              <w:t>***</w:t>
            </w:r>
          </w:p>
        </w:tc>
        <w:tc>
          <w:tcPr>
            <w:tcW w:w="7980" w:type="dxa"/>
            <w:vAlign w:val="bottom"/>
            <w:gridSpan w:val="5"/>
          </w:tcPr>
          <w:p>
            <w:pPr>
              <w:jc w:val="right"/>
              <w:spacing w:after="0" w:line="239" w:lineRule="exact"/>
              <w:rPr>
                <w:sz w:val="20"/>
                <w:szCs w:val="20"/>
                <w:color w:val="auto"/>
              </w:rPr>
            </w:pPr>
            <w:r>
              <w:rPr>
                <w:rFonts w:ascii="Arial" w:cs="Arial" w:eastAsia="Arial" w:hAnsi="Arial"/>
                <w:sz w:val="22"/>
                <w:szCs w:val="22"/>
                <w:color w:val="auto"/>
                <w:w w:val="96"/>
              </w:rPr>
              <w:t>]; provided that, (i) except with respect to the initial calculation of the Dry-Run Closing</w:t>
            </w:r>
          </w:p>
        </w:tc>
      </w:tr>
      <w:tr>
        <w:trPr>
          <w:trHeight w:val="20"/>
        </w:trPr>
        <w:tc>
          <w:tcPr>
            <w:tcW w:w="388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87"/>
        </w:trPr>
        <w:tc>
          <w:tcPr>
            <w:tcW w:w="8280" w:type="dxa"/>
            <w:vAlign w:val="bottom"/>
            <w:gridSpan w:val="5"/>
          </w:tcPr>
          <w:p>
            <w:pPr>
              <w:spacing w:after="0"/>
              <w:rPr>
                <w:sz w:val="20"/>
                <w:szCs w:val="20"/>
                <w:color w:val="auto"/>
              </w:rPr>
            </w:pPr>
            <w:r>
              <w:rPr>
                <w:rFonts w:ascii="Arial" w:cs="Arial" w:eastAsia="Arial" w:hAnsi="Arial"/>
                <w:sz w:val="22"/>
                <w:szCs w:val="22"/>
                <w:color w:val="auto"/>
                <w:w w:val="97"/>
              </w:rPr>
              <w:t>Premium, in connection with the calculation of the PFS Adjustment only, the estimated [</w:t>
            </w:r>
          </w:p>
        </w:tc>
        <w:tc>
          <w:tcPr>
            <w:tcW w:w="8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2320" w:type="dxa"/>
            <w:vAlign w:val="bottom"/>
          </w:tcPr>
          <w:p>
            <w:pPr>
              <w:jc w:val="right"/>
              <w:spacing w:after="0"/>
              <w:rPr>
                <w:sz w:val="20"/>
                <w:szCs w:val="20"/>
                <w:color w:val="auto"/>
              </w:rPr>
            </w:pPr>
            <w:r>
              <w:rPr>
                <w:rFonts w:ascii="Arial" w:cs="Arial" w:eastAsia="Arial" w:hAnsi="Arial"/>
                <w:sz w:val="22"/>
                <w:szCs w:val="22"/>
                <w:color w:val="auto"/>
              </w:rPr>
              <w:t>] incorporated into the</w:t>
            </w:r>
          </w:p>
        </w:tc>
      </w:tr>
    </w:tbl>
    <w:p>
      <w:pPr>
        <w:spacing w:after="0"/>
        <w:rPr>
          <w:sz w:val="20"/>
          <w:szCs w:val="20"/>
          <w:color w:val="auto"/>
        </w:rPr>
      </w:pPr>
      <w:r>
        <w:rPr>
          <w:rFonts w:ascii="Arial" w:cs="Arial" w:eastAsia="Arial" w:hAnsi="Arial"/>
          <w:sz w:val="19"/>
          <w:szCs w:val="19"/>
          <w:color w:val="auto"/>
        </w:rPr>
        <w:t xml:space="preserve">calculation of the PFS Adjustment included in each such calculation performed pursuant to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shall not exceed the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spacing w:after="0"/>
              <w:rPr>
                <w:sz w:val="20"/>
                <w:szCs w:val="20"/>
                <w:color w:val="auto"/>
              </w:rPr>
            </w:pPr>
            <w:r>
              <w:rPr>
                <w:rFonts w:ascii="Arial" w:cs="Arial" w:eastAsia="Arial" w:hAnsi="Arial"/>
                <w:sz w:val="22"/>
                <w:szCs w:val="22"/>
                <w:color w:val="auto"/>
                <w:w w:val="96"/>
              </w:rPr>
              <w:t>calculation of the estimated [</w:t>
            </w:r>
          </w:p>
        </w:tc>
        <w:tc>
          <w:tcPr>
            <w:tcW w:w="7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8020" w:type="dxa"/>
            <w:vAlign w:val="bottom"/>
            <w:gridSpan w:val="2"/>
          </w:tcPr>
          <w:p>
            <w:pPr>
              <w:jc w:val="right"/>
              <w:spacing w:after="0"/>
              <w:rPr>
                <w:sz w:val="20"/>
                <w:szCs w:val="20"/>
                <w:color w:val="auto"/>
              </w:rPr>
            </w:pPr>
            <w:r>
              <w:rPr>
                <w:rFonts w:ascii="Arial" w:cs="Arial" w:eastAsia="Arial" w:hAnsi="Arial"/>
                <w:sz w:val="22"/>
                <w:szCs w:val="22"/>
                <w:color w:val="auto"/>
                <w:w w:val="93"/>
              </w:rPr>
              <w:t>] incorporated into the PFS Adjustment for the most recently delivered calculation of the</w:t>
            </w:r>
          </w:p>
        </w:tc>
      </w:tr>
      <w:tr>
        <w:trPr>
          <w:trHeight w:val="257"/>
        </w:trPr>
        <w:tc>
          <w:tcPr>
            <w:tcW w:w="2700" w:type="dxa"/>
            <w:vAlign w:val="bottom"/>
          </w:tcPr>
          <w:p>
            <w:pPr>
              <w:spacing w:after="0"/>
              <w:rPr>
                <w:sz w:val="20"/>
                <w:szCs w:val="20"/>
                <w:color w:val="auto"/>
              </w:rPr>
            </w:pPr>
            <w:r>
              <w:rPr>
                <w:rFonts w:ascii="Arial" w:cs="Arial" w:eastAsia="Arial" w:hAnsi="Arial"/>
                <w:sz w:val="22"/>
                <w:szCs w:val="22"/>
                <w:color w:val="auto"/>
                <w:w w:val="97"/>
              </w:rPr>
              <w:t>Dry-Run Closing Premium, [</w:t>
            </w:r>
          </w:p>
        </w:tc>
        <w:tc>
          <w:tcPr>
            <w:tcW w:w="7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6140" w:type="dxa"/>
            <w:vAlign w:val="bottom"/>
          </w:tcPr>
          <w:p>
            <w:pPr>
              <w:ind w:left="200"/>
              <w:spacing w:after="0"/>
              <w:rPr>
                <w:sz w:val="20"/>
                <w:szCs w:val="20"/>
                <w:color w:val="auto"/>
              </w:rPr>
            </w:pPr>
            <w:r>
              <w:rPr>
                <w:rFonts w:ascii="Arial" w:cs="Arial" w:eastAsia="Arial" w:hAnsi="Arial"/>
                <w:sz w:val="22"/>
                <w:szCs w:val="22"/>
                <w:color w:val="auto"/>
                <w:w w:val="93"/>
              </w:rPr>
              <w:t>], and shall not be less than the calculation of the estimated [   ***</w:t>
            </w:r>
          </w:p>
        </w:tc>
        <w:tc>
          <w:tcPr>
            <w:tcW w:w="1880" w:type="dxa"/>
            <w:vAlign w:val="bottom"/>
          </w:tcPr>
          <w:p>
            <w:pPr>
              <w:jc w:val="right"/>
              <w:spacing w:after="0"/>
              <w:rPr>
                <w:sz w:val="20"/>
                <w:szCs w:val="20"/>
                <w:color w:val="auto"/>
              </w:rPr>
            </w:pPr>
            <w:r>
              <w:rPr>
                <w:rFonts w:ascii="Arial" w:cs="Arial" w:eastAsia="Arial" w:hAnsi="Arial"/>
                <w:sz w:val="22"/>
                <w:szCs w:val="22"/>
                <w:color w:val="auto"/>
              </w:rPr>
              <w:t>] incorporated in</w:t>
            </w:r>
          </w:p>
        </w:tc>
      </w:tr>
      <w:tr>
        <w:trPr>
          <w:trHeight w:val="275"/>
        </w:trPr>
        <w:tc>
          <w:tcPr>
            <w:tcW w:w="9540" w:type="dxa"/>
            <w:vAlign w:val="bottom"/>
            <w:gridSpan w:val="3"/>
          </w:tcPr>
          <w:p>
            <w:pPr>
              <w:spacing w:after="0"/>
              <w:rPr>
                <w:sz w:val="20"/>
                <w:szCs w:val="20"/>
                <w:color w:val="auto"/>
              </w:rPr>
            </w:pPr>
            <w:r>
              <w:rPr>
                <w:rFonts w:ascii="Arial" w:cs="Arial" w:eastAsia="Arial" w:hAnsi="Arial"/>
                <w:sz w:val="22"/>
                <w:szCs w:val="22"/>
                <w:color w:val="auto"/>
                <w:w w:val="96"/>
              </w:rPr>
              <w:t>the PFS Adjustment for the most recently delivered calculation of the Dry-Run Closing Premium [   ***</w:t>
            </w:r>
          </w:p>
        </w:tc>
        <w:tc>
          <w:tcPr>
            <w:tcW w:w="1880" w:type="dxa"/>
            <w:vAlign w:val="bottom"/>
          </w:tcPr>
          <w:p>
            <w:pPr>
              <w:jc w:val="right"/>
              <w:spacing w:after="0"/>
              <w:rPr>
                <w:sz w:val="20"/>
                <w:szCs w:val="20"/>
                <w:color w:val="auto"/>
              </w:rPr>
            </w:pPr>
            <w:r>
              <w:rPr>
                <w:rFonts w:ascii="Arial" w:cs="Arial" w:eastAsia="Arial" w:hAnsi="Arial"/>
                <w:sz w:val="22"/>
                <w:szCs w:val="22"/>
                <w:color w:val="auto"/>
                <w:w w:val="91"/>
              </w:rPr>
              <w:t>] and (ii) with respect</w:t>
            </w:r>
          </w:p>
        </w:tc>
      </w:tr>
    </w:tbl>
    <w:p>
      <w:pPr>
        <w:spacing w:after="0"/>
        <w:rPr>
          <w:sz w:val="20"/>
          <w:szCs w:val="20"/>
          <w:color w:val="auto"/>
        </w:rPr>
      </w:pPr>
      <w:r>
        <w:rPr>
          <w:rFonts w:ascii="Arial" w:cs="Arial" w:eastAsia="Arial" w:hAnsi="Arial"/>
          <w:sz w:val="21"/>
          <w:szCs w:val="21"/>
          <w:color w:val="auto"/>
        </w:rPr>
        <w:t>to the initial calculation of the Dry-Run Closing Premium, in connection with the calculation of the PFS Adjustment only, the</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line="221" w:lineRule="exact"/>
              <w:rPr>
                <w:sz w:val="20"/>
                <w:szCs w:val="20"/>
                <w:color w:val="auto"/>
              </w:rPr>
            </w:pPr>
            <w:r>
              <w:rPr>
                <w:rFonts w:ascii="Arial" w:cs="Arial" w:eastAsia="Arial" w:hAnsi="Arial"/>
                <w:sz w:val="22"/>
                <w:szCs w:val="22"/>
                <w:color w:val="auto"/>
              </w:rPr>
              <w:t>estimated [</w:t>
            </w:r>
          </w:p>
        </w:tc>
        <w:tc>
          <w:tcPr>
            <w:tcW w:w="720" w:type="dxa"/>
            <w:vAlign w:val="bottom"/>
          </w:tcPr>
          <w:p>
            <w:pPr>
              <w:jc w:val="right"/>
              <w:ind w:right="112"/>
              <w:spacing w:after="0" w:line="221" w:lineRule="exact"/>
              <w:rPr>
                <w:sz w:val="20"/>
                <w:szCs w:val="20"/>
                <w:color w:val="auto"/>
              </w:rPr>
            </w:pPr>
            <w:r>
              <w:rPr>
                <w:rFonts w:ascii="Arial" w:cs="Arial" w:eastAsia="Arial" w:hAnsi="Arial"/>
                <w:sz w:val="22"/>
                <w:szCs w:val="22"/>
                <w:color w:val="auto"/>
              </w:rPr>
              <w:t>***</w:t>
            </w:r>
          </w:p>
        </w:tc>
        <w:tc>
          <w:tcPr>
            <w:tcW w:w="9560" w:type="dxa"/>
            <w:vAlign w:val="bottom"/>
            <w:gridSpan w:val="10"/>
          </w:tcPr>
          <w:p>
            <w:pPr>
              <w:jc w:val="right"/>
              <w:spacing w:after="0" w:line="221" w:lineRule="exact"/>
              <w:rPr>
                <w:sz w:val="20"/>
                <w:szCs w:val="20"/>
                <w:color w:val="auto"/>
              </w:rPr>
            </w:pPr>
            <w:r>
              <w:rPr>
                <w:rFonts w:ascii="Arial" w:cs="Arial" w:eastAsia="Arial" w:hAnsi="Arial"/>
                <w:sz w:val="22"/>
                <w:szCs w:val="22"/>
                <w:color w:val="auto"/>
                <w:w w:val="93"/>
              </w:rPr>
              <w:t>] incorporated into the calculation of the PFS Adjustment performed pursuant to this Section 2.7 shall not</w:t>
            </w:r>
          </w:p>
        </w:tc>
      </w:tr>
      <w:tr>
        <w:trPr>
          <w:trHeight w:val="20"/>
        </w:trPr>
        <w:tc>
          <w:tcPr>
            <w:tcW w:w="42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37"/>
        </w:trPr>
        <w:tc>
          <w:tcPr>
            <w:tcW w:w="4200" w:type="dxa"/>
            <w:vAlign w:val="bottom"/>
            <w:gridSpan w:val="3"/>
          </w:tcPr>
          <w:p>
            <w:pPr>
              <w:spacing w:after="0" w:line="237" w:lineRule="exact"/>
              <w:rPr>
                <w:sz w:val="20"/>
                <w:szCs w:val="20"/>
                <w:color w:val="auto"/>
              </w:rPr>
            </w:pPr>
            <w:r>
              <w:rPr>
                <w:rFonts w:ascii="Arial" w:cs="Arial" w:eastAsia="Arial" w:hAnsi="Arial"/>
                <w:sz w:val="22"/>
                <w:szCs w:val="22"/>
                <w:color w:val="auto"/>
                <w:w w:val="93"/>
              </w:rPr>
              <w:t>exceed the calculation of the estimated Final [</w:t>
            </w:r>
          </w:p>
        </w:tc>
        <w:tc>
          <w:tcPr>
            <w:tcW w:w="620" w:type="dxa"/>
            <w:vAlign w:val="bottom"/>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5320" w:type="dxa"/>
            <w:vAlign w:val="bottom"/>
            <w:gridSpan w:val="5"/>
          </w:tcPr>
          <w:p>
            <w:pPr>
              <w:ind w:left="280"/>
              <w:spacing w:after="0" w:line="237" w:lineRule="exact"/>
              <w:rPr>
                <w:sz w:val="20"/>
                <w:szCs w:val="20"/>
                <w:color w:val="auto"/>
              </w:rPr>
            </w:pPr>
            <w:r>
              <w:rPr>
                <w:rFonts w:ascii="Arial" w:cs="Arial" w:eastAsia="Arial" w:hAnsi="Arial"/>
                <w:sz w:val="22"/>
                <w:szCs w:val="22"/>
                <w:color w:val="auto"/>
                <w:w w:val="96"/>
              </w:rPr>
              <w:t>] delivered by the Insurer pursuant to Section 2.5(b), [</w:t>
            </w:r>
          </w:p>
        </w:tc>
        <w:tc>
          <w:tcPr>
            <w:tcW w:w="460" w:type="dxa"/>
            <w:vAlign w:val="bottom"/>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82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 and</w:t>
            </w:r>
          </w:p>
        </w:tc>
      </w:tr>
      <w:tr>
        <w:trPr>
          <w:trHeight w:val="20"/>
        </w:trPr>
        <w:tc>
          <w:tcPr>
            <w:tcW w:w="48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4820" w:type="dxa"/>
            <w:vAlign w:val="bottom"/>
            <w:gridSpan w:val="4"/>
          </w:tcPr>
          <w:p>
            <w:pPr>
              <w:spacing w:after="0" w:line="237" w:lineRule="exact"/>
              <w:rPr>
                <w:sz w:val="20"/>
                <w:szCs w:val="20"/>
                <w:color w:val="auto"/>
              </w:rPr>
            </w:pPr>
            <w:r>
              <w:rPr>
                <w:rFonts w:ascii="Arial" w:cs="Arial" w:eastAsia="Arial" w:hAnsi="Arial"/>
                <w:sz w:val="22"/>
                <w:szCs w:val="22"/>
                <w:color w:val="auto"/>
                <w:w w:val="90"/>
              </w:rPr>
              <w:t>shall not be less than the calculation of the estimated [</w:t>
            </w:r>
          </w:p>
        </w:tc>
        <w:tc>
          <w:tcPr>
            <w:tcW w:w="660" w:type="dxa"/>
            <w:vAlign w:val="bottom"/>
          </w:tcPr>
          <w:p>
            <w:pPr>
              <w:jc w:val="right"/>
              <w:ind w:right="92"/>
              <w:spacing w:after="0" w:line="237" w:lineRule="exact"/>
              <w:rPr>
                <w:sz w:val="20"/>
                <w:szCs w:val="20"/>
                <w:color w:val="auto"/>
              </w:rPr>
            </w:pPr>
            <w:r>
              <w:rPr>
                <w:rFonts w:ascii="Arial" w:cs="Arial" w:eastAsia="Arial" w:hAnsi="Arial"/>
                <w:sz w:val="22"/>
                <w:szCs w:val="22"/>
                <w:color w:val="auto"/>
              </w:rPr>
              <w:t>***</w:t>
            </w:r>
          </w:p>
        </w:tc>
        <w:tc>
          <w:tcPr>
            <w:tcW w:w="5120" w:type="dxa"/>
            <w:vAlign w:val="bottom"/>
            <w:gridSpan w:val="5"/>
          </w:tcPr>
          <w:p>
            <w:pPr>
              <w:jc w:val="right"/>
              <w:ind w:right="172"/>
              <w:spacing w:after="0" w:line="237" w:lineRule="exact"/>
              <w:rPr>
                <w:sz w:val="20"/>
                <w:szCs w:val="20"/>
                <w:color w:val="auto"/>
              </w:rPr>
            </w:pPr>
            <w:r>
              <w:rPr>
                <w:rFonts w:ascii="Arial" w:cs="Arial" w:eastAsia="Arial" w:hAnsi="Arial"/>
                <w:sz w:val="22"/>
                <w:szCs w:val="22"/>
                <w:color w:val="auto"/>
                <w:w w:val="92"/>
              </w:rPr>
              <w:t>] delivered by the Insurer pursuant to Section 2.5(b), [</w:t>
            </w:r>
          </w:p>
        </w:tc>
        <w:tc>
          <w:tcPr>
            <w:tcW w:w="500" w:type="dxa"/>
            <w:vAlign w:val="bottom"/>
          </w:tcPr>
          <w:p>
            <w:pPr>
              <w:jc w:val="right"/>
              <w:ind w:right="72"/>
              <w:spacing w:after="0" w:line="237" w:lineRule="exact"/>
              <w:rPr>
                <w:sz w:val="20"/>
                <w:szCs w:val="20"/>
                <w:color w:val="auto"/>
              </w:rPr>
            </w:pPr>
            <w:r>
              <w:rPr>
                <w:rFonts w:ascii="Arial" w:cs="Arial" w:eastAsia="Arial" w:hAnsi="Arial"/>
                <w:sz w:val="22"/>
                <w:szCs w:val="22"/>
                <w:color w:val="auto"/>
              </w:rPr>
              <w:t>***</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76" w:lineRule="exact"/>
        <w:rPr>
          <w:sz w:val="20"/>
          <w:szCs w:val="20"/>
          <w:color w:val="auto"/>
        </w:rPr>
      </w:pPr>
    </w:p>
    <w:p>
      <w:pPr>
        <w:ind w:left="1560" w:hanging="904"/>
        <w:spacing w:after="0"/>
        <w:tabs>
          <w:tab w:leader="none" w:pos="1560"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Insurer and the Company shall calculate the CMA Adjustment, SCA Adjustment, PFS Adjustment, and [</w:t>
      </w:r>
    </w:p>
    <w:p>
      <w:pPr>
        <w:spacing w:after="0" w:line="56" w:lineRule="exact"/>
        <w:rPr>
          <w:rFonts w:ascii="Arial" w:cs="Arial" w:eastAsia="Arial" w:hAnsi="Arial"/>
          <w:sz w:val="19"/>
          <w:szCs w:val="19"/>
          <w:color w:val="auto"/>
        </w:rPr>
      </w:pPr>
    </w:p>
    <w:p>
      <w:pPr>
        <w:jc w:val="both"/>
        <w:ind w:firstLine="8"/>
        <w:spacing w:after="0" w:line="262" w:lineRule="auto"/>
        <w:tabs>
          <w:tab w:leader="none" w:pos="833" w:val="left"/>
        </w:tabs>
        <w:numPr>
          <w:ilvl w:val="0"/>
          <w:numId w:val="81"/>
        </w:numPr>
        <w:rPr>
          <w:rFonts w:ascii="Arial" w:cs="Arial" w:eastAsia="Arial" w:hAnsi="Arial"/>
          <w:sz w:val="21"/>
          <w:szCs w:val="21"/>
          <w:color w:val="auto"/>
        </w:rPr>
      </w:pPr>
      <w:r>
        <w:rPr>
          <w:rFonts w:ascii="Arial" w:cs="Arial" w:eastAsia="Arial" w:hAnsi="Arial"/>
          <w:sz w:val="21"/>
          <w:szCs w:val="21"/>
          <w:color w:val="auto"/>
        </w:rPr>
        <w:t>] Adjustment in any succeeding calculations of Dry-Run Closing Premium (and Preliminary Closing Premium, Closing Final Premium, Interim Post-Closing Final Premium and Final Post-Closing Premium) in accordance with the agreed upon methodologies as notified by the Independent Third Party in calculating any prior Dry-Run Closing Premiums.</w:t>
      </w:r>
    </w:p>
    <w:p>
      <w:pPr>
        <w:spacing w:after="0" w:line="39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Calculation of the Preliminary Closing Premium and Revised Preliminary Closing Premium</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85" w:lineRule="auto"/>
        <w:tabs>
          <w:tab w:leader="none" w:pos="1167"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On the day that is seven (7) days prior to the Target Closing Date, the Insurer shall deliver to the Company and the Independent Third Party, and the Company and the Insurer shall jointly direct the Independent Third Party to deliver to the Insurer and the Company, a calculation of the Preliminary Closing Premium generally consistent with the form of </w:t>
      </w:r>
      <w:r>
        <w:rPr>
          <w:rFonts w:ascii="Arial" w:cs="Arial" w:eastAsia="Arial" w:hAnsi="Arial"/>
          <w:sz w:val="19"/>
          <w:szCs w:val="19"/>
          <w:u w:val="single" w:color="auto"/>
          <w:color w:val="auto"/>
        </w:rPr>
        <w:t>Appendix 2.7</w:t>
      </w:r>
      <w:r>
        <w:rPr>
          <w:rFonts w:ascii="Arial" w:cs="Arial" w:eastAsia="Arial" w:hAnsi="Arial"/>
          <w:sz w:val="19"/>
          <w:szCs w:val="19"/>
          <w:color w:val="auto"/>
        </w:rPr>
        <w:t>. The “</w:t>
      </w:r>
      <w:r>
        <w:rPr>
          <w:rFonts w:ascii="Arial" w:cs="Arial" w:eastAsia="Arial" w:hAnsi="Arial"/>
          <w:sz w:val="19"/>
          <w:szCs w:val="19"/>
          <w:u w:val="single" w:color="auto"/>
          <w:color w:val="auto"/>
        </w:rPr>
        <w:t>Preliminary Closing Premium</w:t>
      </w:r>
      <w:r>
        <w:rPr>
          <w:rFonts w:ascii="Arial" w:cs="Arial" w:eastAsia="Arial" w:hAnsi="Arial"/>
          <w:sz w:val="19"/>
          <w:szCs w:val="19"/>
          <w:color w:val="auto"/>
        </w:rPr>
        <w:t>” shall be equal to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Preliminary Post-Solicitation Premium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100% plus the Target Closing Date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the sum of (</w:t>
      </w:r>
      <w:r>
        <w:rPr>
          <w:rFonts w:ascii="Arial" w:cs="Arial" w:eastAsia="Arial" w:hAnsi="Arial"/>
          <w:sz w:val="19"/>
          <w:szCs w:val="19"/>
          <w:u w:val="single" w:color="auto"/>
          <w:color w:val="auto"/>
        </w:rPr>
        <w:t>A</w:t>
      </w:r>
      <w:r>
        <w:rPr>
          <w:rFonts w:ascii="Arial" w:cs="Arial" w:eastAsia="Arial" w:hAnsi="Arial"/>
          <w:sz w:val="19"/>
          <w:szCs w:val="19"/>
          <w:color w:val="auto"/>
        </w:rPr>
        <w:t>) the Preliminary CMA Adjustment and (</w:t>
      </w:r>
      <w:r>
        <w:rPr>
          <w:rFonts w:ascii="Arial" w:cs="Arial" w:eastAsia="Arial" w:hAnsi="Arial"/>
          <w:sz w:val="19"/>
          <w:szCs w:val="19"/>
          <w:u w:val="single" w:color="auto"/>
          <w:color w:val="auto"/>
        </w:rPr>
        <w:t>B</w:t>
      </w:r>
      <w:r>
        <w:rPr>
          <w:rFonts w:ascii="Arial" w:cs="Arial" w:eastAsia="Arial" w:hAnsi="Arial"/>
          <w:sz w:val="19"/>
          <w:szCs w:val="19"/>
          <w:color w:val="auto"/>
        </w:rPr>
        <w:t>) the Preliminary SCA</w:t>
      </w:r>
    </w:p>
    <w:p>
      <w:pPr>
        <w:spacing w:after="0" w:line="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Adjustment,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100% plus the Preliminary PFS Adjustment, </w:t>
      </w:r>
      <w:r>
        <w:rPr>
          <w:rFonts w:ascii="Arial" w:cs="Arial" w:eastAsia="Arial" w:hAnsi="Arial"/>
          <w:sz w:val="22"/>
          <w:szCs w:val="22"/>
          <w:i w:val="1"/>
          <w:iCs w:val="1"/>
          <w:color w:val="auto"/>
        </w:rPr>
        <w:t>plus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the Preliminary [ *** ] Adjustment. For purposes of calculating the Preliminary Closing Premium, the Insurer shall, and the Insurer and the Company shall jointly direct the Independent Third Party to, use the data provided in accordance with </w:t>
      </w:r>
      <w:r>
        <w:rPr>
          <w:rFonts w:ascii="Arial" w:cs="Arial" w:eastAsia="Arial" w:hAnsi="Arial"/>
          <w:sz w:val="22"/>
          <w:szCs w:val="22"/>
          <w:u w:val="single" w:color="auto"/>
          <w:color w:val="auto"/>
        </w:rPr>
        <w:t>Section 2.6(b)</w:t>
      </w:r>
      <w:r>
        <w:rPr>
          <w:rFonts w:ascii="Arial" w:cs="Arial" w:eastAsia="Arial" w:hAnsi="Arial"/>
          <w:sz w:val="22"/>
          <w:szCs w:val="22"/>
          <w:color w:val="auto"/>
        </w:rPr>
        <w:t xml:space="preserve"> delivered on the immediately prior day. The Preliminary PFS Adjustment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1"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57"/>
        </w:trPr>
        <w:tc>
          <w:tcPr>
            <w:tcW w:w="7340" w:type="dxa"/>
            <w:vAlign w:val="bottom"/>
            <w:gridSpan w:val="3"/>
          </w:tcPr>
          <w:p>
            <w:pPr>
              <w:spacing w:after="0"/>
              <w:rPr>
                <w:sz w:val="20"/>
                <w:szCs w:val="20"/>
                <w:color w:val="auto"/>
              </w:rPr>
            </w:pPr>
            <w:r>
              <w:rPr>
                <w:rFonts w:ascii="Arial" w:cs="Arial" w:eastAsia="Arial" w:hAnsi="Arial"/>
                <w:sz w:val="22"/>
                <w:szCs w:val="22"/>
                <w:color w:val="auto"/>
                <w:w w:val="96"/>
              </w:rPr>
              <w:t>and Preliminary CMA Adjustment shall incorporate the calculation of the [   ***</w:t>
            </w:r>
          </w:p>
        </w:tc>
        <w:tc>
          <w:tcPr>
            <w:tcW w:w="2180" w:type="dxa"/>
            <w:vAlign w:val="bottom"/>
          </w:tcPr>
          <w:p>
            <w:pPr>
              <w:ind w:left="200"/>
              <w:spacing w:after="0"/>
              <w:rPr>
                <w:sz w:val="20"/>
                <w:szCs w:val="20"/>
                <w:color w:val="auto"/>
              </w:rPr>
            </w:pPr>
            <w:r>
              <w:rPr>
                <w:rFonts w:ascii="Arial" w:cs="Arial" w:eastAsia="Arial" w:hAnsi="Arial"/>
                <w:sz w:val="22"/>
                <w:szCs w:val="22"/>
                <w:color w:val="auto"/>
              </w:rPr>
              <w:t>], where the [   ***</w:t>
            </w:r>
          </w:p>
        </w:tc>
        <w:tc>
          <w:tcPr>
            <w:tcW w:w="1900" w:type="dxa"/>
            <w:vAlign w:val="bottom"/>
            <w:gridSpan w:val="2"/>
          </w:tcPr>
          <w:p>
            <w:pPr>
              <w:jc w:val="right"/>
              <w:spacing w:after="0"/>
              <w:rPr>
                <w:sz w:val="20"/>
                <w:szCs w:val="20"/>
                <w:color w:val="auto"/>
              </w:rPr>
            </w:pPr>
            <w:r>
              <w:rPr>
                <w:rFonts w:ascii="Arial" w:cs="Arial" w:eastAsia="Arial" w:hAnsi="Arial"/>
                <w:sz w:val="22"/>
                <w:szCs w:val="22"/>
                <w:color w:val="auto"/>
              </w:rPr>
              <w:t>] for calculating the</w:t>
            </w:r>
          </w:p>
        </w:tc>
      </w:tr>
      <w:tr>
        <w:trPr>
          <w:trHeight w:val="224"/>
        </w:trPr>
        <w:tc>
          <w:tcPr>
            <w:tcW w:w="7340" w:type="dxa"/>
            <w:vAlign w:val="bottom"/>
            <w:gridSpan w:val="3"/>
          </w:tcPr>
          <w:p>
            <w:pPr>
              <w:spacing w:after="0" w:line="224" w:lineRule="exact"/>
              <w:rPr>
                <w:sz w:val="20"/>
                <w:szCs w:val="20"/>
                <w:color w:val="auto"/>
              </w:rPr>
            </w:pPr>
            <w:r>
              <w:rPr>
                <w:rFonts w:ascii="Arial" w:cs="Arial" w:eastAsia="Arial" w:hAnsi="Arial"/>
                <w:sz w:val="22"/>
                <w:szCs w:val="22"/>
                <w:color w:val="auto"/>
              </w:rPr>
              <w:t>PFS Adjustment is subject to the terms of Section 2.7(c).</w:t>
            </w:r>
          </w:p>
        </w:tc>
        <w:tc>
          <w:tcPr>
            <w:tcW w:w="2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44"/>
        </w:trPr>
        <w:tc>
          <w:tcPr>
            <w:tcW w:w="11120" w:type="dxa"/>
            <w:vAlign w:val="bottom"/>
            <w:gridSpan w:val="5"/>
          </w:tcPr>
          <w:p>
            <w:pPr>
              <w:ind w:left="660"/>
              <w:spacing w:after="0"/>
              <w:rPr>
                <w:sz w:val="20"/>
                <w:szCs w:val="20"/>
                <w:color w:val="auto"/>
              </w:rPr>
            </w:pPr>
            <w:r>
              <w:rPr>
                <w:rFonts w:ascii="Arial" w:cs="Arial" w:eastAsia="Arial" w:hAnsi="Arial"/>
                <w:sz w:val="22"/>
                <w:szCs w:val="22"/>
                <w:color w:val="auto"/>
                <w:w w:val="96"/>
              </w:rPr>
              <w:t>(b)   If the Preliminary Closing Premium as calculated by the Independent Third Party differs by more than [   ***</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r>
    </w:tbl>
    <w:p>
      <w:pPr>
        <w:jc w:val="both"/>
        <w:spacing w:after="0" w:line="288" w:lineRule="auto"/>
        <w:rPr>
          <w:sz w:val="20"/>
          <w:szCs w:val="20"/>
          <w:color w:val="auto"/>
        </w:rPr>
      </w:pPr>
      <w:r>
        <w:rPr>
          <w:rFonts w:ascii="Arial" w:cs="Arial" w:eastAsia="Arial" w:hAnsi="Arial"/>
          <w:sz w:val="19"/>
          <w:szCs w:val="19"/>
          <w:color w:val="auto"/>
        </w:rPr>
        <w:t>from the Preliminary Closing Premium as calculated by the Insurer, then the Insurer shall, for a period of two (2) Business Days, seek to reasonably cooperate with the Company and the Independent Third Party to identify the reasons for the difference and seek to resolve all such differences, and shall deliver the revised calculations, if any, to the Company within one (1) Business Day thereafter. In the event the Insurer, the Company and the Independent Third Party do not identify or resolve all such differences, the Company and the Insurer shall jointly direct the Independent Third Party to, within one (1) Business Day, make any revisions to the Preliminary Closing Premium that were agreed upon by the Insurer and the Company, recalculate the Preliminary Closing Premium and provide the Company and the Insurer with such revised calculations.</w:t>
      </w:r>
    </w:p>
    <w:p>
      <w:pPr>
        <w:spacing w:after="0" w:line="200" w:lineRule="exact"/>
        <w:rPr>
          <w:sz w:val="20"/>
          <w:szCs w:val="20"/>
          <w:color w:val="auto"/>
        </w:rPr>
      </w:pPr>
    </w:p>
    <w:p>
      <w:pPr>
        <w:jc w:val="both"/>
        <w:ind w:firstLine="656"/>
        <w:spacing w:after="0" w:line="285" w:lineRule="auto"/>
        <w:tabs>
          <w:tab w:leader="none" w:pos="1206"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On the day that is one (1) day prior to the Target Closing Date, the Insurer shall deliver to the Company and the Independent Third Party, and the Company and the Insurer shall jointly direct the Independent Third Party to deliver to the Insurer and the Company, a calculation of the Revised Preliminary Closing Premium generally consistent with the form of </w:t>
      </w:r>
      <w:r>
        <w:rPr>
          <w:rFonts w:ascii="Arial" w:cs="Arial" w:eastAsia="Arial" w:hAnsi="Arial"/>
          <w:sz w:val="19"/>
          <w:szCs w:val="19"/>
          <w:u w:val="single" w:color="auto"/>
          <w:color w:val="auto"/>
        </w:rPr>
        <w:t>Appendix 2.7</w:t>
      </w:r>
      <w:r>
        <w:rPr>
          <w:rFonts w:ascii="Arial" w:cs="Arial" w:eastAsia="Arial" w:hAnsi="Arial"/>
          <w:sz w:val="19"/>
          <w:szCs w:val="19"/>
          <w:color w:val="auto"/>
        </w:rPr>
        <w:t>. The “</w:t>
      </w:r>
      <w:r>
        <w:rPr>
          <w:rFonts w:ascii="Arial" w:cs="Arial" w:eastAsia="Arial" w:hAnsi="Arial"/>
          <w:sz w:val="19"/>
          <w:szCs w:val="19"/>
          <w:u w:val="single" w:color="auto"/>
          <w:color w:val="auto"/>
        </w:rPr>
        <w:t>Revised Preliminary Closing Premium</w:t>
      </w:r>
      <w:r>
        <w:rPr>
          <w:rFonts w:ascii="Arial" w:cs="Arial" w:eastAsia="Arial" w:hAnsi="Arial"/>
          <w:sz w:val="19"/>
          <w:szCs w:val="19"/>
          <w:color w:val="auto"/>
        </w:rPr>
        <w:t>” shall be equal to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Preliminary Post-Solicitation Premium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100% plus the Target Closing Date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the sum of (</w:t>
      </w:r>
      <w:r>
        <w:rPr>
          <w:rFonts w:ascii="Arial" w:cs="Arial" w:eastAsia="Arial" w:hAnsi="Arial"/>
          <w:sz w:val="19"/>
          <w:szCs w:val="19"/>
          <w:u w:val="single" w:color="auto"/>
          <w:color w:val="auto"/>
        </w:rPr>
        <w:t>A</w:t>
      </w:r>
      <w:r>
        <w:rPr>
          <w:rFonts w:ascii="Arial" w:cs="Arial" w:eastAsia="Arial" w:hAnsi="Arial"/>
          <w:sz w:val="19"/>
          <w:szCs w:val="19"/>
          <w:color w:val="auto"/>
        </w:rPr>
        <w:t>) the Revised Preliminary CMA Adjustment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Revised Preliminary SCA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100% plus the Revised Preliminary PFS Adjustment,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the</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 xml:space="preserve">Revised Preliminary [ *** ] Adjustment. For purposes of calculating the Revised Preliminary Closing Premium, the Insurer shall, and the Insurer and the Company shall jointly direct the Independent Third Party to, use the data provided in accordance with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delivered on the immediately prior day. The Revised Preliminary PFS Adjustment and Revised Preliminary CMA</w:t>
      </w:r>
    </w:p>
    <w:tbl>
      <w:tblPr>
        <w:tblLayout w:type="fixed"/>
        <w:tblInd w:w="0" w:type="dxa"/>
        <w:tblCellMar>
          <w:top w:w="0" w:type="dxa"/>
          <w:left w:w="0" w:type="dxa"/>
          <w:bottom w:w="0" w:type="dxa"/>
          <w:right w:w="0" w:type="dxa"/>
        </w:tblCellMar>
      </w:tblPr>
      <w:tr>
        <w:trPr>
          <w:trHeight w:val="241"/>
        </w:trPr>
        <w:tc>
          <w:tcPr>
            <w:tcW w:w="4760" w:type="dxa"/>
            <w:vAlign w:val="bottom"/>
            <w:gridSpan w:val="3"/>
          </w:tcPr>
          <w:p>
            <w:pPr>
              <w:spacing w:after="0" w:line="241" w:lineRule="exact"/>
              <w:rPr>
                <w:sz w:val="20"/>
                <w:szCs w:val="20"/>
                <w:color w:val="auto"/>
              </w:rPr>
            </w:pPr>
            <w:r>
              <w:rPr>
                <w:rFonts w:ascii="Arial" w:cs="Arial" w:eastAsia="Arial" w:hAnsi="Arial"/>
                <w:sz w:val="22"/>
                <w:szCs w:val="22"/>
                <w:color w:val="auto"/>
                <w:w w:val="95"/>
              </w:rPr>
              <w:t>Adjustment shall incorporate the calculation of the [</w:t>
            </w:r>
          </w:p>
        </w:tc>
        <w:tc>
          <w:tcPr>
            <w:tcW w:w="700" w:type="dxa"/>
            <w:vAlign w:val="bottom"/>
          </w:tcPr>
          <w:p>
            <w:pPr>
              <w:jc w:val="right"/>
              <w:ind w:right="112"/>
              <w:spacing w:after="0" w:line="241" w:lineRule="exact"/>
              <w:rPr>
                <w:sz w:val="20"/>
                <w:szCs w:val="20"/>
                <w:color w:val="auto"/>
              </w:rPr>
            </w:pPr>
            <w:r>
              <w:rPr>
                <w:rFonts w:ascii="Arial" w:cs="Arial" w:eastAsia="Arial" w:hAnsi="Arial"/>
                <w:sz w:val="22"/>
                <w:szCs w:val="22"/>
                <w:color w:val="auto"/>
              </w:rPr>
              <w:t>***</w:t>
            </w:r>
          </w:p>
        </w:tc>
        <w:tc>
          <w:tcPr>
            <w:tcW w:w="1580" w:type="dxa"/>
            <w:vAlign w:val="bottom"/>
          </w:tcPr>
          <w:p>
            <w:pPr>
              <w:ind w:left="240"/>
              <w:spacing w:after="0" w:line="241" w:lineRule="exact"/>
              <w:rPr>
                <w:sz w:val="20"/>
                <w:szCs w:val="20"/>
                <w:color w:val="auto"/>
              </w:rPr>
            </w:pPr>
            <w:r>
              <w:rPr>
                <w:rFonts w:ascii="Arial" w:cs="Arial" w:eastAsia="Arial" w:hAnsi="Arial"/>
                <w:sz w:val="22"/>
                <w:szCs w:val="22"/>
                <w:color w:val="auto"/>
              </w:rPr>
              <w:t>], where the [</w:t>
            </w:r>
          </w:p>
        </w:tc>
        <w:tc>
          <w:tcPr>
            <w:tcW w:w="720" w:type="dxa"/>
            <w:vAlign w:val="bottom"/>
          </w:tcPr>
          <w:p>
            <w:pPr>
              <w:jc w:val="right"/>
              <w:ind w:right="132"/>
              <w:spacing w:after="0" w:line="241" w:lineRule="exact"/>
              <w:rPr>
                <w:sz w:val="20"/>
                <w:szCs w:val="20"/>
                <w:color w:val="auto"/>
              </w:rPr>
            </w:pPr>
            <w:r>
              <w:rPr>
                <w:rFonts w:ascii="Arial" w:cs="Arial" w:eastAsia="Arial" w:hAnsi="Arial"/>
                <w:sz w:val="22"/>
                <w:szCs w:val="22"/>
                <w:color w:val="auto"/>
              </w:rPr>
              <w:t>***</w:t>
            </w:r>
          </w:p>
        </w:tc>
        <w:tc>
          <w:tcPr>
            <w:tcW w:w="3660" w:type="dxa"/>
            <w:vAlign w:val="bottom"/>
          </w:tcPr>
          <w:p>
            <w:pPr>
              <w:ind w:left="220"/>
              <w:spacing w:after="0" w:line="241" w:lineRule="exact"/>
              <w:rPr>
                <w:sz w:val="20"/>
                <w:szCs w:val="20"/>
                <w:color w:val="auto"/>
              </w:rPr>
            </w:pPr>
            <w:r>
              <w:rPr>
                <w:rFonts w:ascii="Arial" w:cs="Arial" w:eastAsia="Arial" w:hAnsi="Arial"/>
                <w:sz w:val="22"/>
                <w:szCs w:val="22"/>
                <w:color w:val="auto"/>
                <w:w w:val="91"/>
              </w:rPr>
              <w:t>] for calculating the PFS Adjustment is</w:t>
            </w:r>
          </w:p>
        </w:tc>
      </w:tr>
      <w:tr>
        <w:trPr>
          <w:trHeight w:val="224"/>
        </w:trPr>
        <w:tc>
          <w:tcPr>
            <w:tcW w:w="4760" w:type="dxa"/>
            <w:vAlign w:val="bottom"/>
            <w:gridSpan w:val="3"/>
          </w:tcPr>
          <w:p>
            <w:pPr>
              <w:spacing w:after="0" w:line="224" w:lineRule="exact"/>
              <w:rPr>
                <w:sz w:val="20"/>
                <w:szCs w:val="20"/>
                <w:color w:val="auto"/>
              </w:rPr>
            </w:pPr>
            <w:r>
              <w:rPr>
                <w:rFonts w:ascii="Arial" w:cs="Arial" w:eastAsia="Arial" w:hAnsi="Arial"/>
                <w:sz w:val="22"/>
                <w:szCs w:val="22"/>
                <w:color w:val="auto"/>
              </w:rPr>
              <w:t>subject to the terms of Section 2.7(c).</w:t>
            </w: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ind w:firstLine="656"/>
        <w:spacing w:after="0" w:line="312" w:lineRule="auto"/>
        <w:tabs>
          <w:tab w:leader="none" w:pos="1281"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It is understood between the parties that the Company may choose to calculate Dry-Run Closing Premiums, a Preliminary Closing Premium, a Revised Preliminary Closing Premium or a Closing Final Premium, or other premium described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the Insurer shall reasonably cooperate with those efforts consistent with the provisions of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3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Calculation of the Closing Final Premium</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312" w:lineRule="auto"/>
        <w:tabs>
          <w:tab w:leader="none" w:pos="1176" w:val="left"/>
        </w:tabs>
        <w:numPr>
          <w:ilvl w:val="0"/>
          <w:numId w:val="85"/>
        </w:numPr>
        <w:rPr>
          <w:rFonts w:ascii="Arial" w:cs="Arial" w:eastAsia="Arial" w:hAnsi="Arial"/>
          <w:sz w:val="19"/>
          <w:szCs w:val="19"/>
          <w:color w:val="auto"/>
        </w:rPr>
      </w:pPr>
      <w:r>
        <w:rPr>
          <w:rFonts w:ascii="Arial" w:cs="Arial" w:eastAsia="Arial" w:hAnsi="Arial"/>
          <w:sz w:val="19"/>
          <w:szCs w:val="19"/>
          <w:color w:val="auto"/>
        </w:rPr>
        <w:t>As early as practicable on the Closing Date, the Insurer shall produce and deliver to the Company, the Transferred Assets Schedule, which shall incorporate the Final Asset Statement and the Final Pre-Closing Asset Valuation. Such Transferred Asset Schedule shall be attached as the Transferred Assets Schedule to the Group Annuity Contract.</w:t>
      </w:r>
    </w:p>
    <w:p>
      <w:pPr>
        <w:spacing w:after="0" w:line="174" w:lineRule="exact"/>
        <w:rPr>
          <w:rFonts w:ascii="Arial" w:cs="Arial" w:eastAsia="Arial" w:hAnsi="Arial"/>
          <w:sz w:val="19"/>
          <w:szCs w:val="19"/>
          <w:color w:val="auto"/>
        </w:rPr>
      </w:pPr>
    </w:p>
    <w:p>
      <w:pPr>
        <w:ind w:firstLine="656"/>
        <w:spacing w:after="0" w:line="263" w:lineRule="auto"/>
        <w:tabs>
          <w:tab w:leader="none" w:pos="1153" w:val="left"/>
        </w:tabs>
        <w:numPr>
          <w:ilvl w:val="0"/>
          <w:numId w:val="85"/>
        </w:numPr>
        <w:rPr>
          <w:rFonts w:ascii="Arial" w:cs="Arial" w:eastAsia="Arial" w:hAnsi="Arial"/>
          <w:sz w:val="22"/>
          <w:szCs w:val="22"/>
          <w:color w:val="auto"/>
        </w:rPr>
      </w:pPr>
      <w:r>
        <w:rPr>
          <w:rFonts w:ascii="Arial" w:cs="Arial" w:eastAsia="Arial" w:hAnsi="Arial"/>
          <w:sz w:val="22"/>
          <w:szCs w:val="22"/>
          <w:color w:val="auto"/>
        </w:rPr>
        <w:t>On the Closing Date (but prior to the Closing), the Plan Investment Fiduciary shall deliver to the Insurer the In-Kind Asset Information.</w:t>
      </w:r>
    </w:p>
    <w:p>
      <w:pPr>
        <w:spacing w:after="0" w:line="215" w:lineRule="exact"/>
        <w:rPr>
          <w:rFonts w:ascii="Arial" w:cs="Arial" w:eastAsia="Arial" w:hAnsi="Arial"/>
          <w:sz w:val="22"/>
          <w:szCs w:val="22"/>
          <w:color w:val="auto"/>
        </w:rPr>
      </w:pPr>
    </w:p>
    <w:p>
      <w:pPr>
        <w:jc w:val="both"/>
        <w:ind w:firstLine="656"/>
        <w:spacing w:after="0" w:line="297" w:lineRule="auto"/>
        <w:tabs>
          <w:tab w:leader="none" w:pos="1172"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On the Closing Date (but prior to the Closing), the Insurer shall deliver to the Company and the Independent Third Party, and the Company and the Insurer shall jointly direct the Independent Third Party to deliver to the Insurer and the Company, a calculation of the Closing Final Premium in the form of </w:t>
      </w:r>
      <w:r>
        <w:rPr>
          <w:rFonts w:ascii="Arial" w:cs="Arial" w:eastAsia="Arial" w:hAnsi="Arial"/>
          <w:sz w:val="19"/>
          <w:szCs w:val="19"/>
          <w:u w:val="single" w:color="auto"/>
          <w:color w:val="auto"/>
        </w:rPr>
        <w:t>Appendix 2.7</w:t>
      </w:r>
      <w:r>
        <w:rPr>
          <w:rFonts w:ascii="Arial" w:cs="Arial" w:eastAsia="Arial" w:hAnsi="Arial"/>
          <w:sz w:val="19"/>
          <w:szCs w:val="19"/>
          <w:color w:val="auto"/>
        </w:rPr>
        <w:t xml:space="preserve"> (including a proposed Annuity Exhibit). The “</w:t>
      </w:r>
      <w:r>
        <w:rPr>
          <w:rFonts w:ascii="Arial" w:cs="Arial" w:eastAsia="Arial" w:hAnsi="Arial"/>
          <w:sz w:val="19"/>
          <w:szCs w:val="19"/>
          <w:u w:val="single" w:color="auto"/>
          <w:color w:val="auto"/>
        </w:rPr>
        <w:t>Closing Final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Premium</w:t>
      </w:r>
      <w:r>
        <w:rPr>
          <w:rFonts w:ascii="Arial" w:cs="Arial" w:eastAsia="Arial" w:hAnsi="Arial"/>
          <w:sz w:val="19"/>
          <w:szCs w:val="19"/>
          <w:color w:val="auto"/>
        </w:rPr>
        <w:t>” shall be equal to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Preliminary Post-Solicitation Premium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100% plus the Closing Date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the sum of (</w:t>
      </w:r>
      <w:r>
        <w:rPr>
          <w:rFonts w:ascii="Arial" w:cs="Arial" w:eastAsia="Arial" w:hAnsi="Arial"/>
          <w:sz w:val="19"/>
          <w:szCs w:val="19"/>
          <w:u w:val="single" w:color="auto"/>
          <w:color w:val="auto"/>
        </w:rPr>
        <w:t>A</w:t>
      </w:r>
      <w:r>
        <w:rPr>
          <w:rFonts w:ascii="Arial" w:cs="Arial" w:eastAsia="Arial" w:hAnsi="Arial"/>
          <w:sz w:val="19"/>
          <w:szCs w:val="19"/>
          <w:color w:val="auto"/>
        </w:rPr>
        <w:t>) the Closing CMA Adjustment and (</w:t>
      </w:r>
      <w:r>
        <w:rPr>
          <w:rFonts w:ascii="Arial" w:cs="Arial" w:eastAsia="Arial" w:hAnsi="Arial"/>
          <w:sz w:val="19"/>
          <w:szCs w:val="19"/>
          <w:u w:val="single" w:color="auto"/>
          <w:color w:val="auto"/>
        </w:rPr>
        <w:t>B</w:t>
      </w:r>
      <w:r>
        <w:rPr>
          <w:rFonts w:ascii="Arial" w:cs="Arial" w:eastAsia="Arial" w:hAnsi="Arial"/>
          <w:sz w:val="19"/>
          <w:szCs w:val="19"/>
          <w:color w:val="auto"/>
        </w:rPr>
        <w:t>) the Closing SCA Adjustment,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1" w:right="239" w:bottom="1440" w:gutter="0" w:footer="0" w:header="0"/>
        </w:sectPr>
      </w:pPr>
    </w:p>
    <w:bookmarkStart w:id="126" w:name="page127"/>
    <w:bookmarkEnd w:id="126"/>
    <w:p>
      <w:pPr>
        <w:jc w:val="both"/>
        <w:spacing w:after="0" w:line="288" w:lineRule="auto"/>
        <w:rPr>
          <w:sz w:val="20"/>
          <w:szCs w:val="20"/>
          <w:color w:val="auto"/>
        </w:rPr>
      </w:pPr>
      <w:r>
        <w:rPr>
          <w:rFonts w:ascii="Arial" w:cs="Arial" w:eastAsia="Arial" w:hAnsi="Arial"/>
          <w:sz w:val="19"/>
          <w:szCs w:val="19"/>
          <w:i w:val="1"/>
          <w:iCs w:val="1"/>
          <w:color w:val="auto"/>
        </w:rPr>
        <w:t xml:space="preserve">multiplied by </w:t>
      </w:r>
      <w:r>
        <w:rPr>
          <w:rFonts w:ascii="Arial" w:cs="Arial" w:eastAsia="Arial" w:hAnsi="Arial"/>
          <w:sz w:val="19"/>
          <w:szCs w:val="19"/>
          <w:color w:val="auto"/>
        </w:rPr>
        <w:t>(</w:t>
      </w:r>
      <w:r>
        <w:rPr>
          <w:rFonts w:ascii="Arial" w:cs="Arial" w:eastAsia="Arial" w:hAnsi="Arial"/>
          <w:sz w:val="19"/>
          <w:szCs w:val="19"/>
          <w:u w:val="single" w:color="auto"/>
          <w:color w:val="auto"/>
        </w:rPr>
        <w:t>iv</w:t>
      </w:r>
      <w:r>
        <w:rPr>
          <w:rFonts w:ascii="Arial" w:cs="Arial" w:eastAsia="Arial" w:hAnsi="Arial"/>
          <w:sz w:val="19"/>
          <w:szCs w:val="19"/>
          <w:color w:val="auto"/>
        </w:rPr>
        <w:t>) 100% plus the Closing PFS Adjustment,</w:t>
      </w:r>
      <w:r>
        <w:rPr>
          <w:rFonts w:ascii="Arial" w:cs="Arial" w:eastAsia="Arial" w:hAnsi="Arial"/>
          <w:sz w:val="19"/>
          <w:szCs w:val="19"/>
          <w:i w:val="1"/>
          <w:iCs w:val="1"/>
          <w:color w:val="auto"/>
        </w:rPr>
        <w:t xml:space="preserve"> plus </w:t>
      </w:r>
      <w:r>
        <w:rPr>
          <w:rFonts w:ascii="Arial" w:cs="Arial" w:eastAsia="Arial" w:hAnsi="Arial"/>
          <w:sz w:val="19"/>
          <w:szCs w:val="19"/>
          <w:color w:val="auto"/>
        </w:rPr>
        <w:t>(</w:t>
      </w:r>
      <w:r>
        <w:rPr>
          <w:rFonts w:ascii="Arial" w:cs="Arial" w:eastAsia="Arial" w:hAnsi="Arial"/>
          <w:sz w:val="19"/>
          <w:szCs w:val="19"/>
          <w:u w:val="single" w:color="auto"/>
          <w:color w:val="auto"/>
        </w:rPr>
        <w:t>v</w:t>
      </w:r>
      <w:r>
        <w:rPr>
          <w:rFonts w:ascii="Arial" w:cs="Arial" w:eastAsia="Arial" w:hAnsi="Arial"/>
          <w:sz w:val="19"/>
          <w:szCs w:val="19"/>
          <w:color w:val="auto"/>
        </w:rPr>
        <w:t>) the Closing [ *** ] Adjustment; provided that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unavailability or inaccessibility of POINT (a “</w:t>
      </w:r>
      <w:r>
        <w:rPr>
          <w:rFonts w:ascii="Arial" w:cs="Arial" w:eastAsia="Arial" w:hAnsi="Arial"/>
          <w:sz w:val="19"/>
          <w:szCs w:val="19"/>
          <w:u w:val="single" w:color="auto"/>
          <w:color w:val="auto"/>
        </w:rPr>
        <w:t>POINT Access Event</w:t>
      </w:r>
      <w:r>
        <w:rPr>
          <w:rFonts w:ascii="Arial" w:cs="Arial" w:eastAsia="Arial" w:hAnsi="Arial"/>
          <w:sz w:val="19"/>
          <w:szCs w:val="19"/>
          <w:color w:val="auto"/>
        </w:rPr>
        <w:t>”) prevents the calculation on the Closing Date of the Closing Final Premium, the Closing Final Premium shall be equal to the Revised Preliminary Closing Premium. The Closing PFS</w:t>
      </w:r>
    </w:p>
    <w:tbl>
      <w:tblPr>
        <w:tblLayout w:type="fixed"/>
        <w:tblInd w:w="0" w:type="dxa"/>
        <w:tblCellMar>
          <w:top w:w="0" w:type="dxa"/>
          <w:left w:w="0" w:type="dxa"/>
          <w:bottom w:w="0" w:type="dxa"/>
          <w:right w:w="0" w:type="dxa"/>
        </w:tblCellMar>
      </w:tblPr>
      <w:tr>
        <w:trPr>
          <w:trHeight w:val="240"/>
        </w:trPr>
        <w:tc>
          <w:tcPr>
            <w:tcW w:w="7600" w:type="dxa"/>
            <w:vAlign w:val="bottom"/>
            <w:gridSpan w:val="3"/>
          </w:tcPr>
          <w:p>
            <w:pPr>
              <w:spacing w:after="0" w:line="240" w:lineRule="exact"/>
              <w:rPr>
                <w:sz w:val="20"/>
                <w:szCs w:val="20"/>
                <w:color w:val="auto"/>
              </w:rPr>
            </w:pPr>
            <w:r>
              <w:rPr>
                <w:rFonts w:ascii="Arial" w:cs="Arial" w:eastAsia="Arial" w:hAnsi="Arial"/>
                <w:sz w:val="22"/>
                <w:szCs w:val="22"/>
                <w:color w:val="auto"/>
                <w:w w:val="95"/>
              </w:rPr>
              <w:t>Adjustment and Closing CMA Adjustment shall incorporate the calculation of the [</w:t>
            </w:r>
          </w:p>
        </w:tc>
        <w:tc>
          <w:tcPr>
            <w:tcW w:w="760" w:type="dxa"/>
            <w:vAlign w:val="bottom"/>
          </w:tcPr>
          <w:p>
            <w:pPr>
              <w:jc w:val="right"/>
              <w:ind w:right="152"/>
              <w:spacing w:after="0" w:line="240" w:lineRule="exact"/>
              <w:rPr>
                <w:sz w:val="20"/>
                <w:szCs w:val="20"/>
                <w:color w:val="auto"/>
              </w:rPr>
            </w:pPr>
            <w:r>
              <w:rPr>
                <w:rFonts w:ascii="Arial" w:cs="Arial" w:eastAsia="Arial" w:hAnsi="Arial"/>
                <w:sz w:val="22"/>
                <w:szCs w:val="22"/>
                <w:color w:val="auto"/>
              </w:rPr>
              <w:t>***</w:t>
            </w:r>
          </w:p>
        </w:tc>
        <w:tc>
          <w:tcPr>
            <w:tcW w:w="1640" w:type="dxa"/>
            <w:vAlign w:val="bottom"/>
          </w:tcPr>
          <w:p>
            <w:pPr>
              <w:ind w:left="260"/>
              <w:spacing w:after="0" w:line="240" w:lineRule="exact"/>
              <w:rPr>
                <w:sz w:val="20"/>
                <w:szCs w:val="20"/>
                <w:color w:val="auto"/>
              </w:rPr>
            </w:pPr>
            <w:r>
              <w:rPr>
                <w:rFonts w:ascii="Arial" w:cs="Arial" w:eastAsia="Arial" w:hAnsi="Arial"/>
                <w:sz w:val="22"/>
                <w:szCs w:val="22"/>
                <w:color w:val="auto"/>
              </w:rPr>
              <w:t>], where the [</w:t>
            </w:r>
          </w:p>
        </w:tc>
        <w:tc>
          <w:tcPr>
            <w:tcW w:w="760" w:type="dxa"/>
            <w:vAlign w:val="bottom"/>
          </w:tcPr>
          <w:p>
            <w:pPr>
              <w:jc w:val="right"/>
              <w:ind w:right="132"/>
              <w:spacing w:after="0" w:line="240" w:lineRule="exact"/>
              <w:rPr>
                <w:sz w:val="20"/>
                <w:szCs w:val="20"/>
                <w:color w:val="auto"/>
              </w:rPr>
            </w:pPr>
            <w:r>
              <w:rPr>
                <w:rFonts w:ascii="Arial" w:cs="Arial" w:eastAsia="Arial" w:hAnsi="Arial"/>
                <w:sz w:val="22"/>
                <w:szCs w:val="22"/>
                <w:color w:val="auto"/>
              </w:rPr>
              <w:t>***</w:t>
            </w:r>
          </w:p>
        </w:tc>
        <w:tc>
          <w:tcPr>
            <w:tcW w:w="660" w:type="dxa"/>
            <w:vAlign w:val="bottom"/>
          </w:tcPr>
          <w:p>
            <w:pPr>
              <w:ind w:left="260"/>
              <w:spacing w:after="0" w:line="240" w:lineRule="exact"/>
              <w:rPr>
                <w:sz w:val="20"/>
                <w:szCs w:val="20"/>
                <w:color w:val="auto"/>
              </w:rPr>
            </w:pPr>
            <w:r>
              <w:rPr>
                <w:rFonts w:ascii="Arial" w:cs="Arial" w:eastAsia="Arial" w:hAnsi="Arial"/>
                <w:sz w:val="22"/>
                <w:szCs w:val="22"/>
                <w:color w:val="auto"/>
              </w:rPr>
              <w:t>] for</w:t>
            </w:r>
          </w:p>
        </w:tc>
      </w:tr>
      <w:tr>
        <w:trPr>
          <w:trHeight w:val="224"/>
        </w:trPr>
        <w:tc>
          <w:tcPr>
            <w:tcW w:w="7600" w:type="dxa"/>
            <w:vAlign w:val="bottom"/>
            <w:gridSpan w:val="3"/>
          </w:tcPr>
          <w:p>
            <w:pPr>
              <w:spacing w:after="0" w:line="224" w:lineRule="exact"/>
              <w:rPr>
                <w:sz w:val="20"/>
                <w:szCs w:val="20"/>
                <w:color w:val="auto"/>
              </w:rPr>
            </w:pPr>
            <w:r>
              <w:rPr>
                <w:rFonts w:ascii="Arial" w:cs="Arial" w:eastAsia="Arial" w:hAnsi="Arial"/>
                <w:sz w:val="22"/>
                <w:szCs w:val="22"/>
                <w:color w:val="auto"/>
              </w:rPr>
              <w:t>calculating the PFS Adjustment is subject to the terms of Section 2.5(e)(ii).</w:t>
            </w:r>
          </w:p>
        </w:tc>
        <w:tc>
          <w:tcPr>
            <w:tcW w:w="7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75" w:lineRule="exact"/>
        <w:rPr>
          <w:sz w:val="20"/>
          <w:szCs w:val="20"/>
          <w:color w:val="auto"/>
        </w:rPr>
      </w:pPr>
    </w:p>
    <w:p>
      <w:pPr>
        <w:ind w:left="1240" w:hanging="584"/>
        <w:spacing w:after="0"/>
        <w:tabs>
          <w:tab w:leader="none" w:pos="12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w:t>
      </w:r>
      <w:r>
        <w:rPr>
          <w:rFonts w:ascii="Arial" w:cs="Arial" w:eastAsia="Arial" w:hAnsi="Arial"/>
          <w:sz w:val="19"/>
          <w:szCs w:val="19"/>
          <w:u w:val="single" w:color="auto"/>
          <w:color w:val="auto"/>
        </w:rPr>
        <w:t>x</w:t>
      </w:r>
      <w:r>
        <w:rPr>
          <w:rFonts w:ascii="Arial" w:cs="Arial" w:eastAsia="Arial" w:hAnsi="Arial"/>
          <w:sz w:val="19"/>
          <w:szCs w:val="19"/>
          <w:color w:val="auto"/>
        </w:rPr>
        <w:t>) the Independent Third Party has calculated the Closing Final Premium and (</w:t>
      </w:r>
      <w:r>
        <w:rPr>
          <w:rFonts w:ascii="Arial" w:cs="Arial" w:eastAsia="Arial" w:hAnsi="Arial"/>
          <w:sz w:val="19"/>
          <w:szCs w:val="19"/>
          <w:u w:val="single" w:color="auto"/>
          <w:color w:val="auto"/>
        </w:rPr>
        <w:t>y</w:t>
      </w:r>
      <w:r>
        <w:rPr>
          <w:rFonts w:ascii="Arial" w:cs="Arial" w:eastAsia="Arial" w:hAnsi="Arial"/>
          <w:sz w:val="19"/>
          <w:szCs w:val="19"/>
          <w:color w:val="auto"/>
        </w:rPr>
        <w:t>) the Closing Final Premium</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calculated by the Independent Third Party differs by an amount equal to or less than [ *** ] from the Closing Final Premium calculated by the Insurer, the Closing Final Premium will be the amount so calculated by [ *** ]. In the event of a POINT</w:t>
      </w:r>
    </w:p>
    <w:p>
      <w:pPr>
        <w:spacing w:after="0" w:line="2" w:lineRule="exact"/>
        <w:rPr>
          <w:sz w:val="20"/>
          <w:szCs w:val="20"/>
          <w:color w:val="auto"/>
        </w:rPr>
      </w:pPr>
    </w:p>
    <w:p>
      <w:pPr>
        <w:spacing w:after="0" w:line="422" w:lineRule="auto"/>
        <w:rPr>
          <w:sz w:val="20"/>
          <w:szCs w:val="20"/>
          <w:color w:val="auto"/>
        </w:rPr>
      </w:pPr>
      <w:r>
        <w:rPr>
          <w:rFonts w:ascii="Arial" w:cs="Arial" w:eastAsia="Arial" w:hAnsi="Arial"/>
          <w:sz w:val="19"/>
          <w:szCs w:val="19"/>
          <w:color w:val="auto"/>
        </w:rPr>
        <w:t>Access Event, the foregoing calculations of the Closing Final Premium will be deemed to refer to the Revised Preliminary Closing Premium, and in such event, if the difference between the Revised Preliminary Closing Premium calculated by the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Third Party differs by an amount equal to or less than [ *** ] from the Revised Preliminary Closing Premium calculated by the Insurer, the Revised Preliminary Closing Premium will be the amount so calculated by [ *** ].</w:t>
      </w:r>
    </w:p>
    <w:p>
      <w:pPr>
        <w:spacing w:after="0" w:line="215" w:lineRule="exact"/>
        <w:rPr>
          <w:sz w:val="20"/>
          <w:szCs w:val="20"/>
          <w:color w:val="auto"/>
        </w:rPr>
      </w:pPr>
    </w:p>
    <w:p>
      <w:pPr>
        <w:ind w:left="1240" w:hanging="584"/>
        <w:spacing w:after="0"/>
        <w:tabs>
          <w:tab w:leader="none" w:pos="12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w:t>
      </w:r>
      <w:r>
        <w:rPr>
          <w:rFonts w:ascii="Arial" w:cs="Arial" w:eastAsia="Arial" w:hAnsi="Arial"/>
          <w:sz w:val="19"/>
          <w:szCs w:val="19"/>
          <w:u w:val="single" w:color="auto"/>
          <w:color w:val="auto"/>
        </w:rPr>
        <w:t>x</w:t>
      </w:r>
      <w:r>
        <w:rPr>
          <w:rFonts w:ascii="Arial" w:cs="Arial" w:eastAsia="Arial" w:hAnsi="Arial"/>
          <w:sz w:val="19"/>
          <w:szCs w:val="19"/>
          <w:color w:val="auto"/>
        </w:rPr>
        <w:t>) the Independent Third Party has calculated the Closing Final Premium and (</w:t>
      </w:r>
      <w:r>
        <w:rPr>
          <w:rFonts w:ascii="Arial" w:cs="Arial" w:eastAsia="Arial" w:hAnsi="Arial"/>
          <w:sz w:val="19"/>
          <w:szCs w:val="19"/>
          <w:u w:val="single" w:color="auto"/>
          <w:color w:val="auto"/>
        </w:rPr>
        <w:t>y</w:t>
      </w:r>
      <w:r>
        <w:rPr>
          <w:rFonts w:ascii="Arial" w:cs="Arial" w:eastAsia="Arial" w:hAnsi="Arial"/>
          <w:sz w:val="19"/>
          <w:szCs w:val="19"/>
          <w:color w:val="auto"/>
        </w:rPr>
        <w:t>) the Closing Final Premium</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calculated by the Independent Third Party is more than [ *** ] less than the Closing Final Premium calculated by the Insurer, the Company may elect to either (</w:t>
      </w:r>
      <w:r>
        <w:rPr>
          <w:rFonts w:ascii="Arial" w:cs="Arial" w:eastAsia="Arial" w:hAnsi="Arial"/>
          <w:sz w:val="19"/>
          <w:szCs w:val="19"/>
          <w:u w:val="single" w:color="auto"/>
          <w:color w:val="auto"/>
        </w:rPr>
        <w:t>1</w:t>
      </w:r>
      <w:r>
        <w:rPr>
          <w:rFonts w:ascii="Arial" w:cs="Arial" w:eastAsia="Arial" w:hAnsi="Arial"/>
          <w:sz w:val="19"/>
          <w:szCs w:val="19"/>
          <w:color w:val="auto"/>
        </w:rPr>
        <w:t xml:space="preserve">)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use the Closing Final Premium [ *** ],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w:t>
      </w:r>
      <w:r>
        <w:rPr>
          <w:rFonts w:ascii="Arial" w:cs="Arial" w:eastAsia="Arial" w:hAnsi="Arial"/>
          <w:sz w:val="19"/>
          <w:szCs w:val="19"/>
          <w:u w:val="single" w:color="auto"/>
          <w:color w:val="auto"/>
        </w:rPr>
        <w:t>Section2.12</w:t>
      </w:r>
      <w:r>
        <w:rPr>
          <w:rFonts w:ascii="Arial" w:cs="Arial" w:eastAsia="Arial" w:hAnsi="Arial"/>
          <w:sz w:val="19"/>
          <w:szCs w:val="19"/>
          <w:color w:val="auto"/>
        </w:rPr>
        <w:t>, or (</w:t>
      </w:r>
      <w:r>
        <w:rPr>
          <w:rFonts w:ascii="Arial" w:cs="Arial" w:eastAsia="Arial" w:hAnsi="Arial"/>
          <w:sz w:val="19"/>
          <w:szCs w:val="19"/>
          <w:u w:val="single" w:color="auto"/>
          <w:color w:val="auto"/>
        </w:rPr>
        <w:t>2</w:t>
      </w:r>
      <w:r>
        <w:rPr>
          <w:rFonts w:ascii="Arial" w:cs="Arial" w:eastAsia="Arial" w:hAnsi="Arial"/>
          <w:sz w:val="19"/>
          <w:szCs w:val="19"/>
          <w:color w:val="auto"/>
        </w:rPr>
        <w:t xml:space="preserve">) elect not to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proceed to work with the Insurer to the next Target Closing Date, if any, or (</w:t>
      </w:r>
      <w:r>
        <w:rPr>
          <w:rFonts w:ascii="Arial" w:cs="Arial" w:eastAsia="Arial" w:hAnsi="Arial"/>
          <w:sz w:val="19"/>
          <w:szCs w:val="19"/>
          <w:u w:val="single" w:color="auto"/>
          <w:color w:val="auto"/>
        </w:rPr>
        <w:t>3</w:t>
      </w:r>
      <w:r>
        <w:rPr>
          <w:rFonts w:ascii="Arial" w:cs="Arial" w:eastAsia="Arial" w:hAnsi="Arial"/>
          <w:sz w:val="19"/>
          <w:szCs w:val="19"/>
          <w:color w:val="auto"/>
        </w:rPr>
        <w:t xml:space="preserve">) elect not to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terminate this Agreement pursuant to </w:t>
      </w:r>
      <w:r>
        <w:rPr>
          <w:rFonts w:ascii="Arial" w:cs="Arial" w:eastAsia="Arial" w:hAnsi="Arial"/>
          <w:sz w:val="19"/>
          <w:szCs w:val="19"/>
          <w:u w:val="single" w:color="auto"/>
          <w:color w:val="auto"/>
        </w:rPr>
        <w:t>Section 10.1(h)</w:t>
      </w:r>
      <w:r>
        <w:rPr>
          <w:rFonts w:ascii="Arial" w:cs="Arial" w:eastAsia="Arial" w:hAnsi="Arial"/>
          <w:sz w:val="19"/>
          <w:szCs w:val="19"/>
          <w:color w:val="auto"/>
        </w:rPr>
        <w:t>; provided, that in the event that the Company elects to terminate this Agreement as provided in this clause (3), the Insurer may, by the delivery of notice to the Company within three (3) Business Days following the delivery to the Insurer of the Company's notice to terminate, elect to use the Closing Final Premium calculated by the Independent Third Party solely for purposes of Closing,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Section 2.12 (and in that case this Agreement will not be terminable pursuant to Section 10.1(h)). In the event of a POINT Access Event, the forgoing calculations of the Closing Final Premium will be deemed to refer to the Revised Preliminary Closing Premium.</w:t>
      </w:r>
    </w:p>
    <w:p>
      <w:pPr>
        <w:spacing w:after="0" w:line="200" w:lineRule="exact"/>
        <w:rPr>
          <w:sz w:val="20"/>
          <w:szCs w:val="20"/>
          <w:color w:val="auto"/>
        </w:rPr>
      </w:pPr>
    </w:p>
    <w:p>
      <w:pPr>
        <w:spacing w:after="0" w:line="255" w:lineRule="exact"/>
        <w:rPr>
          <w:sz w:val="20"/>
          <w:szCs w:val="20"/>
          <w:color w:val="auto"/>
        </w:rPr>
      </w:pPr>
    </w:p>
    <w:p>
      <w:pPr>
        <w:jc w:val="both"/>
        <w:ind w:firstLine="656"/>
        <w:spacing w:after="0" w:line="291" w:lineRule="auto"/>
        <w:tabs>
          <w:tab w:leader="none" w:pos="1134"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the Independent Third Party has not calculated the Closing Final Premium, the Closing Final Premium shall equal the Closing Final Premium as calculated by the Insurer (but, unless the Preliminary Post-Solicitation Premium calculated by the</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Insurer and the Preliminary Post-Solicitation Premium calculated by the Independent Third Party differ by more than [ *** ], applying the Preliminary Post-Solicitation Premium calculated by the Independent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w:t>
      </w:r>
      <w:r>
        <w:rPr>
          <w:rFonts w:ascii="Arial" w:cs="Arial" w:eastAsia="Arial" w:hAnsi="Arial"/>
          <w:sz w:val="19"/>
          <w:szCs w:val="19"/>
          <w:u w:val="single" w:color="auto"/>
          <w:color w:val="auto"/>
        </w:rPr>
        <w:t>x</w:t>
      </w:r>
      <w:r>
        <w:rPr>
          <w:rFonts w:ascii="Arial" w:cs="Arial" w:eastAsia="Arial" w:hAnsi="Arial"/>
          <w:sz w:val="19"/>
          <w:szCs w:val="19"/>
          <w:color w:val="auto"/>
        </w:rPr>
        <w:t>) the Company has calculated the Closing Final Premium and (</w:t>
      </w:r>
      <w:r>
        <w:rPr>
          <w:rFonts w:ascii="Arial" w:cs="Arial" w:eastAsia="Arial" w:hAnsi="Arial"/>
          <w:sz w:val="19"/>
          <w:szCs w:val="19"/>
          <w:u w:val="single" w:color="auto"/>
          <w:color w:val="auto"/>
        </w:rPr>
        <w:t>y</w:t>
      </w:r>
      <w:r>
        <w:rPr>
          <w:rFonts w:ascii="Arial" w:cs="Arial" w:eastAsia="Arial" w:hAnsi="Arial"/>
          <w:sz w:val="19"/>
          <w:szCs w:val="19"/>
          <w:color w:val="auto"/>
        </w:rPr>
        <w:t>) the Closing Final Premium calculated by the Company is more than [ *** ] less than the Closing Final Premium calculated by the Insurer, the Company may elect to either (</w:t>
      </w:r>
      <w:r>
        <w:rPr>
          <w:rFonts w:ascii="Arial" w:cs="Arial" w:eastAsia="Arial" w:hAnsi="Arial"/>
          <w:sz w:val="19"/>
          <w:szCs w:val="19"/>
          <w:u w:val="single" w:color="auto"/>
          <w:color w:val="auto"/>
        </w:rPr>
        <w:t>1</w:t>
      </w:r>
      <w:r>
        <w:rPr>
          <w:rFonts w:ascii="Arial" w:cs="Arial" w:eastAsia="Arial" w:hAnsi="Arial"/>
          <w:sz w:val="19"/>
          <w:szCs w:val="19"/>
          <w:color w:val="auto"/>
        </w:rPr>
        <w:t xml:space="preserve">)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use the Closing Final Premium calculated by [ *** ] solely for purposes of Closing,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w:t>
      </w:r>
      <w:r>
        <w:rPr>
          <w:rFonts w:ascii="Arial" w:cs="Arial" w:eastAsia="Arial" w:hAnsi="Arial"/>
          <w:sz w:val="19"/>
          <w:szCs w:val="19"/>
          <w:u w:val="single" w:color="auto"/>
          <w:color w:val="auto"/>
        </w:rPr>
        <w:t>Section 2.12</w:t>
      </w:r>
      <w:r>
        <w:rPr>
          <w:rFonts w:ascii="Arial" w:cs="Arial" w:eastAsia="Arial" w:hAnsi="Arial"/>
          <w:sz w:val="19"/>
          <w:szCs w:val="19"/>
          <w:color w:val="auto"/>
        </w:rPr>
        <w:t>, or (</w:t>
      </w:r>
      <w:r>
        <w:rPr>
          <w:rFonts w:ascii="Arial" w:cs="Arial" w:eastAsia="Arial" w:hAnsi="Arial"/>
          <w:sz w:val="19"/>
          <w:szCs w:val="19"/>
          <w:u w:val="single" w:color="auto"/>
          <w:color w:val="auto"/>
        </w:rPr>
        <w:t>2</w:t>
      </w:r>
      <w:r>
        <w:rPr>
          <w:rFonts w:ascii="Arial" w:cs="Arial" w:eastAsia="Arial" w:hAnsi="Arial"/>
          <w:sz w:val="19"/>
          <w:szCs w:val="19"/>
          <w:color w:val="auto"/>
        </w:rPr>
        <w:t>) elect not to waive the condition to its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1" w:right="239" w:bottom="1440" w:gutter="0" w:footer="0" w:header="0"/>
        </w:sectPr>
      </w:pPr>
    </w:p>
    <w:bookmarkStart w:id="127" w:name="page128"/>
    <w:bookmarkEnd w:id="127"/>
    <w:p>
      <w:pPr>
        <w:jc w:val="both"/>
        <w:spacing w:after="0" w:line="286" w:lineRule="auto"/>
        <w:rPr>
          <w:sz w:val="20"/>
          <w:szCs w:val="20"/>
          <w:color w:val="auto"/>
        </w:rPr>
      </w:pPr>
      <w:r>
        <w:rPr>
          <w:rFonts w:ascii="Arial" w:cs="Arial" w:eastAsia="Arial" w:hAnsi="Arial"/>
          <w:sz w:val="19"/>
          <w:szCs w:val="19"/>
          <w:color w:val="auto"/>
        </w:rPr>
        <w:t xml:space="preserve">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proceed to work with the Insurer to the next Target Closing Date, if any, or (</w:t>
      </w:r>
      <w:r>
        <w:rPr>
          <w:rFonts w:ascii="Arial" w:cs="Arial" w:eastAsia="Arial" w:hAnsi="Arial"/>
          <w:sz w:val="19"/>
          <w:szCs w:val="19"/>
          <w:u w:val="single" w:color="auto"/>
          <w:color w:val="auto"/>
        </w:rPr>
        <w:t>3</w:t>
      </w:r>
      <w:r>
        <w:rPr>
          <w:rFonts w:ascii="Arial" w:cs="Arial" w:eastAsia="Arial" w:hAnsi="Arial"/>
          <w:sz w:val="19"/>
          <w:szCs w:val="19"/>
          <w:color w:val="auto"/>
        </w:rPr>
        <w:t xml:space="preserve">) elect not to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terminate this Agreement pursuant to </w:t>
      </w:r>
      <w:r>
        <w:rPr>
          <w:rFonts w:ascii="Arial" w:cs="Arial" w:eastAsia="Arial" w:hAnsi="Arial"/>
          <w:sz w:val="19"/>
          <w:szCs w:val="19"/>
          <w:u w:val="single" w:color="auto"/>
          <w:color w:val="auto"/>
        </w:rPr>
        <w:t>Section 10.1(h)</w:t>
      </w:r>
      <w:r>
        <w:rPr>
          <w:rFonts w:ascii="Arial" w:cs="Arial" w:eastAsia="Arial" w:hAnsi="Arial"/>
          <w:sz w:val="19"/>
          <w:szCs w:val="19"/>
          <w:color w:val="auto"/>
        </w:rPr>
        <w:t>; provided, that in the event that the Company elects to terminate this Agreement as provided in this clause (3), the Insurer may, by the delivery of notice to the Company within three (3) Business Days following the delivery to the Insurer of the Company's notice</w:t>
      </w:r>
    </w:p>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to terminate, elect to use the Closing Final Premium calculated by [ *** ] solely for purposes of Closing,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Section 2.12 (and in that case this Agreement will not be terminable pursuant to Section 10.1(h)). In the event of a POINT Access Event, the forgoing calculations of the Closing Final Premium will be deemed to refer to the Revised Preliminary Closing Premium.</w:t>
      </w:r>
    </w:p>
    <w:p>
      <w:pPr>
        <w:spacing w:after="0" w:line="200" w:lineRule="exact"/>
        <w:rPr>
          <w:sz w:val="20"/>
          <w:szCs w:val="20"/>
          <w:color w:val="auto"/>
        </w:rPr>
      </w:pPr>
    </w:p>
    <w:p>
      <w:pPr>
        <w:spacing w:after="0" w:line="205"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auto"/>
        </w:rPr>
        <w:t>C.</w:t>
      </w:r>
      <w:r>
        <w:rPr>
          <w:sz w:val="20"/>
          <w:szCs w:val="20"/>
          <w:color w:val="auto"/>
        </w:rPr>
        <w:tab/>
      </w:r>
      <w:r>
        <w:rPr>
          <w:rFonts w:ascii="Arial" w:cs="Arial" w:eastAsia="Arial" w:hAnsi="Arial"/>
          <w:sz w:val="19"/>
          <w:szCs w:val="19"/>
          <w:b w:val="1"/>
          <w:bCs w:val="1"/>
          <w:color w:val="auto"/>
        </w:rPr>
        <w:t>Calculation of Post-Closing Premiums</w:t>
      </w:r>
    </w:p>
    <w:p>
      <w:pPr>
        <w:spacing w:after="0" w:line="23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Interim Post-Closing Final Premium</w:t>
      </w:r>
      <w:r>
        <w:rPr>
          <w:rFonts w:ascii="Arial" w:cs="Arial" w:eastAsia="Arial" w:hAnsi="Arial"/>
          <w:sz w:val="19"/>
          <w:szCs w:val="19"/>
          <w:color w:val="auto"/>
        </w:rPr>
        <w:t>.</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 If the Closing Date has occurred on or prior to December 10, 2012, then on or prior to [ *** ], the Plan Investment Fiduciary shall deliver to the Insurer a calculation of the value of each asset in the Final Plan Portfolio, (</w:t>
      </w:r>
      <w:r>
        <w:rPr>
          <w:rFonts w:ascii="Arial" w:cs="Arial" w:eastAsia="Arial" w:hAnsi="Arial"/>
          <w:sz w:val="21"/>
          <w:szCs w:val="21"/>
          <w:u w:val="single" w:color="auto"/>
          <w:color w:val="auto"/>
        </w:rPr>
        <w:t>A</w:t>
      </w:r>
      <w:r>
        <w:rPr>
          <w:rFonts w:ascii="Arial" w:cs="Arial" w:eastAsia="Arial" w:hAnsi="Arial"/>
          <w:sz w:val="21"/>
          <w:szCs w:val="21"/>
          <w:color w:val="auto"/>
        </w:rPr>
        <w:t>) with respect</w:t>
      </w:r>
    </w:p>
    <w:tbl>
      <w:tblPr>
        <w:tblLayout w:type="fixed"/>
        <w:tblInd w:w="0" w:type="dxa"/>
        <w:tblCellMar>
          <w:top w:w="0" w:type="dxa"/>
          <w:left w:w="0" w:type="dxa"/>
          <w:bottom w:w="0" w:type="dxa"/>
          <w:right w:w="0" w:type="dxa"/>
        </w:tblCellMar>
      </w:tblPr>
      <w:tr>
        <w:trPr>
          <w:trHeight w:val="241"/>
        </w:trPr>
        <w:tc>
          <w:tcPr>
            <w:tcW w:w="2480" w:type="dxa"/>
            <w:vAlign w:val="bottom"/>
            <w:gridSpan w:val="4"/>
          </w:tcPr>
          <w:p>
            <w:pPr>
              <w:spacing w:after="0" w:line="241" w:lineRule="exact"/>
              <w:rPr>
                <w:sz w:val="20"/>
                <w:szCs w:val="20"/>
                <w:color w:val="auto"/>
              </w:rPr>
            </w:pPr>
            <w:r>
              <w:rPr>
                <w:rFonts w:ascii="Arial" w:cs="Arial" w:eastAsia="Arial" w:hAnsi="Arial"/>
                <w:sz w:val="22"/>
                <w:szCs w:val="22"/>
                <w:color w:val="auto"/>
              </w:rPr>
              <w:t>to the Public Bonds and [</w:t>
            </w:r>
          </w:p>
        </w:tc>
        <w:tc>
          <w:tcPr>
            <w:tcW w:w="780" w:type="dxa"/>
            <w:vAlign w:val="bottom"/>
          </w:tcPr>
          <w:p>
            <w:pPr>
              <w:jc w:val="right"/>
              <w:ind w:right="152"/>
              <w:spacing w:after="0" w:line="241" w:lineRule="exact"/>
              <w:rPr>
                <w:sz w:val="20"/>
                <w:szCs w:val="20"/>
                <w:color w:val="auto"/>
              </w:rPr>
            </w:pPr>
            <w:r>
              <w:rPr>
                <w:rFonts w:ascii="Arial" w:cs="Arial" w:eastAsia="Arial" w:hAnsi="Arial"/>
                <w:sz w:val="22"/>
                <w:szCs w:val="22"/>
                <w:color w:val="auto"/>
              </w:rPr>
              <w:t>***</w:t>
            </w:r>
          </w:p>
        </w:tc>
        <w:tc>
          <w:tcPr>
            <w:tcW w:w="4440" w:type="dxa"/>
            <w:vAlign w:val="bottom"/>
            <w:gridSpan w:val="3"/>
          </w:tcPr>
          <w:p>
            <w:pPr>
              <w:jc w:val="right"/>
              <w:spacing w:after="0" w:line="241" w:lineRule="exact"/>
              <w:rPr>
                <w:sz w:val="20"/>
                <w:szCs w:val="20"/>
                <w:color w:val="auto"/>
              </w:rPr>
            </w:pPr>
            <w:r>
              <w:rPr>
                <w:rFonts w:ascii="Arial" w:cs="Arial" w:eastAsia="Arial" w:hAnsi="Arial"/>
                <w:sz w:val="22"/>
                <w:szCs w:val="22"/>
                <w:color w:val="auto"/>
                <w:w w:val="98"/>
              </w:rPr>
              <w:t>] (other than Broker-Quote Public Bonds and [</w:t>
            </w:r>
          </w:p>
        </w:tc>
        <w:tc>
          <w:tcPr>
            <w:tcW w:w="760" w:type="dxa"/>
            <w:vAlign w:val="bottom"/>
          </w:tcPr>
          <w:p>
            <w:pPr>
              <w:jc w:val="right"/>
              <w:spacing w:after="0" w:line="241"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0"/>
                <w:szCs w:val="20"/>
                <w:color w:val="auto"/>
              </w:rPr>
            </w:pPr>
          </w:p>
        </w:tc>
        <w:tc>
          <w:tcPr>
            <w:tcW w:w="2820" w:type="dxa"/>
            <w:vAlign w:val="bottom"/>
            <w:gridSpan w:val="4"/>
          </w:tcPr>
          <w:p>
            <w:pPr>
              <w:jc w:val="right"/>
              <w:spacing w:after="0" w:line="241" w:lineRule="exact"/>
              <w:rPr>
                <w:sz w:val="20"/>
                <w:szCs w:val="20"/>
                <w:color w:val="auto"/>
              </w:rPr>
            </w:pPr>
            <w:r>
              <w:rPr>
                <w:rFonts w:ascii="Arial" w:cs="Arial" w:eastAsia="Arial" w:hAnsi="Arial"/>
                <w:sz w:val="22"/>
                <w:szCs w:val="22"/>
                <w:color w:val="auto"/>
              </w:rPr>
              <w:t>]) included in the Final Plan</w:t>
            </w:r>
          </w:p>
        </w:tc>
      </w:tr>
      <w:tr>
        <w:trPr>
          <w:trHeight w:val="257"/>
        </w:trPr>
        <w:tc>
          <w:tcPr>
            <w:tcW w:w="6240" w:type="dxa"/>
            <w:vAlign w:val="bottom"/>
            <w:gridSpan w:val="6"/>
          </w:tcPr>
          <w:p>
            <w:pPr>
              <w:spacing w:after="0"/>
              <w:rPr>
                <w:sz w:val="20"/>
                <w:szCs w:val="20"/>
                <w:color w:val="auto"/>
              </w:rPr>
            </w:pPr>
            <w:r>
              <w:rPr>
                <w:rFonts w:ascii="Arial" w:cs="Arial" w:eastAsia="Arial" w:hAnsi="Arial"/>
                <w:sz w:val="22"/>
                <w:szCs w:val="22"/>
                <w:color w:val="auto"/>
                <w:w w:val="96"/>
              </w:rPr>
              <w:t>Portfolio, valued in an amount equal to the value assigned to [   ***</w:t>
            </w:r>
          </w:p>
        </w:tc>
        <w:tc>
          <w:tcPr>
            <w:tcW w:w="5180" w:type="dxa"/>
            <w:vAlign w:val="bottom"/>
            <w:gridSpan w:val="8"/>
          </w:tcPr>
          <w:p>
            <w:pPr>
              <w:jc w:val="right"/>
              <w:spacing w:after="0"/>
              <w:rPr>
                <w:sz w:val="20"/>
                <w:szCs w:val="20"/>
                <w:color w:val="auto"/>
              </w:rPr>
            </w:pPr>
            <w:r>
              <w:rPr>
                <w:rFonts w:ascii="Arial" w:cs="Arial" w:eastAsia="Arial" w:hAnsi="Arial"/>
                <w:sz w:val="22"/>
                <w:szCs w:val="22"/>
                <w:color w:val="auto"/>
                <w:w w:val="96"/>
              </w:rPr>
              <w:t>] in connection with calculation of the Final Pre-Closing</w:t>
            </w:r>
          </w:p>
        </w:tc>
      </w:tr>
      <w:tr>
        <w:trPr>
          <w:trHeight w:val="224"/>
        </w:trPr>
        <w:tc>
          <w:tcPr>
            <w:tcW w:w="6240" w:type="dxa"/>
            <w:vAlign w:val="bottom"/>
            <w:gridSpan w:val="6"/>
          </w:tcPr>
          <w:p>
            <w:pPr>
              <w:spacing w:after="0" w:line="224" w:lineRule="exact"/>
              <w:rPr>
                <w:sz w:val="20"/>
                <w:szCs w:val="20"/>
                <w:color w:val="auto"/>
              </w:rPr>
            </w:pPr>
            <w:r>
              <w:rPr>
                <w:rFonts w:ascii="Arial" w:cs="Arial" w:eastAsia="Arial" w:hAnsi="Arial"/>
                <w:sz w:val="22"/>
                <w:szCs w:val="22"/>
                <w:color w:val="auto"/>
                <w:w w:val="92"/>
              </w:rPr>
              <w:t>Asset Valuation, (B) with respect to each Broker-Quote Public Bond [</w:t>
            </w:r>
          </w:p>
        </w:tc>
        <w:tc>
          <w:tcPr>
            <w:tcW w:w="660" w:type="dxa"/>
            <w:vAlign w:val="bottom"/>
          </w:tcPr>
          <w:p>
            <w:pPr>
              <w:jc w:val="right"/>
              <w:ind w:right="72"/>
              <w:spacing w:after="0" w:line="224" w:lineRule="exact"/>
              <w:rPr>
                <w:sz w:val="20"/>
                <w:szCs w:val="20"/>
                <w:color w:val="auto"/>
              </w:rPr>
            </w:pPr>
            <w:r>
              <w:rPr>
                <w:rFonts w:ascii="Arial" w:cs="Arial" w:eastAsia="Arial" w:hAnsi="Arial"/>
                <w:sz w:val="22"/>
                <w:szCs w:val="22"/>
                <w:color w:val="auto"/>
              </w:rPr>
              <w:t>***</w:t>
            </w:r>
          </w:p>
        </w:tc>
        <w:tc>
          <w:tcPr>
            <w:tcW w:w="4520" w:type="dxa"/>
            <w:vAlign w:val="bottom"/>
            <w:gridSpan w:val="7"/>
          </w:tcPr>
          <w:p>
            <w:pPr>
              <w:jc w:val="right"/>
              <w:spacing w:after="0" w:line="224" w:lineRule="exact"/>
              <w:rPr>
                <w:sz w:val="20"/>
                <w:szCs w:val="20"/>
                <w:color w:val="auto"/>
              </w:rPr>
            </w:pPr>
            <w:r>
              <w:rPr>
                <w:rFonts w:ascii="Arial" w:cs="Arial" w:eastAsia="Arial" w:hAnsi="Arial"/>
                <w:sz w:val="22"/>
                <w:szCs w:val="22"/>
                <w:color w:val="auto"/>
                <w:w w:val="95"/>
              </w:rPr>
              <w:t>] a calculation of the value of each Broker-Quote</w:t>
            </w:r>
          </w:p>
        </w:tc>
      </w:tr>
      <w:tr>
        <w:trPr>
          <w:trHeight w:val="20"/>
        </w:trPr>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37"/>
        </w:trPr>
        <w:tc>
          <w:tcPr>
            <w:tcW w:w="2040" w:type="dxa"/>
            <w:vAlign w:val="bottom"/>
            <w:gridSpan w:val="3"/>
          </w:tcPr>
          <w:p>
            <w:pPr>
              <w:spacing w:after="0" w:line="237" w:lineRule="exact"/>
              <w:rPr>
                <w:sz w:val="20"/>
                <w:szCs w:val="20"/>
                <w:color w:val="auto"/>
              </w:rPr>
            </w:pPr>
            <w:r>
              <w:rPr>
                <w:rFonts w:ascii="Arial" w:cs="Arial" w:eastAsia="Arial" w:hAnsi="Arial"/>
                <w:sz w:val="22"/>
                <w:szCs w:val="22"/>
                <w:color w:val="auto"/>
              </w:rPr>
              <w:t>Public Bond [   ***</w:t>
            </w:r>
          </w:p>
        </w:tc>
        <w:tc>
          <w:tcPr>
            <w:tcW w:w="9380" w:type="dxa"/>
            <w:vAlign w:val="bottom"/>
            <w:gridSpan w:val="11"/>
          </w:tcPr>
          <w:p>
            <w:pPr>
              <w:jc w:val="right"/>
              <w:spacing w:after="0" w:line="237" w:lineRule="exact"/>
              <w:rPr>
                <w:sz w:val="20"/>
                <w:szCs w:val="20"/>
                <w:color w:val="auto"/>
              </w:rPr>
            </w:pPr>
            <w:r>
              <w:rPr>
                <w:rFonts w:ascii="Arial" w:cs="Arial" w:eastAsia="Arial" w:hAnsi="Arial"/>
                <w:sz w:val="22"/>
                <w:szCs w:val="22"/>
                <w:color w:val="auto"/>
                <w:w w:val="93"/>
              </w:rPr>
              <w:t>] in the Final Plan Portfolio in accordance with the methodology set forth in Appendix 2.6 as of the close</w:t>
            </w:r>
          </w:p>
        </w:tc>
      </w:tr>
      <w:tr>
        <w:trPr>
          <w:trHeight w:val="20"/>
        </w:trPr>
        <w:tc>
          <w:tcPr>
            <w:tcW w:w="690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6900" w:type="dxa"/>
            <w:vAlign w:val="bottom"/>
            <w:gridSpan w:val="7"/>
          </w:tcPr>
          <w:p>
            <w:pPr>
              <w:spacing w:after="0" w:line="237" w:lineRule="exact"/>
              <w:rPr>
                <w:sz w:val="20"/>
                <w:szCs w:val="20"/>
                <w:color w:val="auto"/>
              </w:rPr>
            </w:pPr>
            <w:r>
              <w:rPr>
                <w:rFonts w:ascii="Arial" w:cs="Arial" w:eastAsia="Arial" w:hAnsi="Arial"/>
                <w:sz w:val="22"/>
                <w:szCs w:val="22"/>
                <w:color w:val="auto"/>
                <w:w w:val="91"/>
              </w:rPr>
              <w:t>of business on the Business Day immediately prior to the Closing Date (the “[</w:t>
            </w:r>
          </w:p>
        </w:tc>
        <w:tc>
          <w:tcPr>
            <w:tcW w:w="800" w:type="dxa"/>
            <w:vAlign w:val="bottom"/>
          </w:tcPr>
          <w:p>
            <w:pPr>
              <w:jc w:val="right"/>
              <w:ind w:right="232"/>
              <w:spacing w:after="0" w:line="237" w:lineRule="exact"/>
              <w:rPr>
                <w:sz w:val="20"/>
                <w:szCs w:val="20"/>
                <w:color w:val="auto"/>
              </w:rPr>
            </w:pPr>
            <w:r>
              <w:rPr>
                <w:rFonts w:ascii="Arial" w:cs="Arial" w:eastAsia="Arial" w:hAnsi="Arial"/>
                <w:sz w:val="22"/>
                <w:szCs w:val="22"/>
                <w:color w:val="auto"/>
              </w:rPr>
              <w:t>***</w:t>
            </w:r>
          </w:p>
        </w:tc>
        <w:tc>
          <w:tcPr>
            <w:tcW w:w="3220" w:type="dxa"/>
            <w:vAlign w:val="bottom"/>
            <w:gridSpan w:val="5"/>
          </w:tcPr>
          <w:p>
            <w:pPr>
              <w:ind w:left="40"/>
              <w:spacing w:after="0" w:line="237" w:lineRule="exact"/>
              <w:rPr>
                <w:sz w:val="20"/>
                <w:szCs w:val="20"/>
                <w:color w:val="auto"/>
              </w:rPr>
            </w:pPr>
            <w:r>
              <w:rPr>
                <w:rFonts w:ascii="Arial" w:cs="Arial" w:eastAsia="Arial" w:hAnsi="Arial"/>
                <w:sz w:val="22"/>
                <w:szCs w:val="22"/>
                <w:color w:val="auto"/>
              </w:rPr>
              <w:t>]”) and (C) with respect to [   ***</w:t>
            </w:r>
          </w:p>
        </w:tc>
        <w:tc>
          <w:tcPr>
            <w:tcW w:w="500" w:type="dxa"/>
            <w:vAlign w:val="bottom"/>
          </w:tcPr>
          <w:p>
            <w:pPr>
              <w:jc w:val="right"/>
              <w:spacing w:after="0" w:line="237" w:lineRule="exact"/>
              <w:rPr>
                <w:sz w:val="20"/>
                <w:szCs w:val="20"/>
                <w:color w:val="auto"/>
              </w:rPr>
            </w:pPr>
            <w:r>
              <w:rPr>
                <w:rFonts w:ascii="Arial" w:cs="Arial" w:eastAsia="Arial" w:hAnsi="Arial"/>
                <w:sz w:val="22"/>
                <w:szCs w:val="22"/>
                <w:color w:val="auto"/>
              </w:rPr>
              <w:t>] in</w:t>
            </w:r>
          </w:p>
        </w:tc>
      </w:tr>
      <w:tr>
        <w:trPr>
          <w:trHeight w:val="20"/>
        </w:trPr>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the Final Plan Portfolio, as valued as of the close of business on the day immediately preceding the Closing Date in accordance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gridSpan w:val="6"/>
          </w:tcPr>
          <w:p>
            <w:pPr>
              <w:spacing w:after="0"/>
              <w:rPr>
                <w:sz w:val="20"/>
                <w:szCs w:val="20"/>
                <w:color w:val="auto"/>
              </w:rPr>
            </w:pPr>
            <w:r>
              <w:rPr>
                <w:rFonts w:ascii="Arial" w:cs="Arial" w:eastAsia="Arial" w:hAnsi="Arial"/>
                <w:sz w:val="22"/>
                <w:szCs w:val="22"/>
                <w:color w:val="auto"/>
                <w:w w:val="93"/>
              </w:rPr>
              <w:t>with the methodology set forth in Appendix 2.6, it being understood that with respect to any [</w:t>
            </w:r>
          </w:p>
        </w:tc>
        <w:tc>
          <w:tcPr>
            <w:tcW w:w="7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2300" w:type="dxa"/>
            <w:vAlign w:val="bottom"/>
          </w:tcPr>
          <w:p>
            <w:pPr>
              <w:ind w:left="220"/>
              <w:spacing w:after="0"/>
              <w:rPr>
                <w:sz w:val="20"/>
                <w:szCs w:val="20"/>
                <w:color w:val="auto"/>
              </w:rPr>
            </w:pPr>
            <w:r>
              <w:rPr>
                <w:rFonts w:ascii="Arial" w:cs="Arial" w:eastAsia="Arial" w:hAnsi="Arial"/>
                <w:sz w:val="22"/>
                <w:szCs w:val="22"/>
                <w:color w:val="auto"/>
              </w:rPr>
              <w:t>], the value of such [</w:t>
            </w:r>
          </w:p>
        </w:tc>
      </w:tr>
      <w:tr>
        <w:trPr>
          <w:trHeight w:val="20"/>
        </w:trPr>
        <w:tc>
          <w:tcPr>
            <w:tcW w:w="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r>
      <w:tr>
        <w:trPr>
          <w:trHeight w:val="287"/>
        </w:trPr>
        <w:tc>
          <w:tcPr>
            <w:tcW w:w="600" w:type="dxa"/>
            <w:vAlign w:val="bottom"/>
          </w:tcPr>
          <w:p>
            <w:pPr>
              <w:spacing w:after="0"/>
              <w:rPr>
                <w:sz w:val="20"/>
                <w:szCs w:val="20"/>
                <w:color w:val="auto"/>
              </w:rPr>
            </w:pPr>
            <w:r>
              <w:rPr>
                <w:rFonts w:ascii="Arial" w:cs="Arial" w:eastAsia="Arial" w:hAnsi="Arial"/>
                <w:sz w:val="22"/>
                <w:szCs w:val="22"/>
                <w:color w:val="auto"/>
              </w:rPr>
              <w:t>***</w:t>
            </w:r>
          </w:p>
        </w:tc>
        <w:tc>
          <w:tcPr>
            <w:tcW w:w="4520" w:type="dxa"/>
            <w:vAlign w:val="bottom"/>
            <w:gridSpan w:val="3"/>
          </w:tcPr>
          <w:p>
            <w:pPr>
              <w:ind w:left="260"/>
              <w:spacing w:after="0"/>
              <w:rPr>
                <w:sz w:val="20"/>
                <w:szCs w:val="20"/>
                <w:color w:val="auto"/>
              </w:rPr>
            </w:pPr>
            <w:r>
              <w:rPr>
                <w:rFonts w:ascii="Arial" w:cs="Arial" w:eastAsia="Arial" w:hAnsi="Arial"/>
                <w:sz w:val="22"/>
                <w:szCs w:val="22"/>
                <w:color w:val="auto"/>
                <w:w w:val="96"/>
              </w:rPr>
              <w:t>] shall be unchanged from the value of such [</w:t>
            </w:r>
          </w:p>
        </w:tc>
        <w:tc>
          <w:tcPr>
            <w:tcW w:w="7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5520" w:type="dxa"/>
            <w:vAlign w:val="bottom"/>
            <w:gridSpan w:val="3"/>
          </w:tcPr>
          <w:p>
            <w:pPr>
              <w:ind w:left="260"/>
              <w:spacing w:after="0"/>
              <w:rPr>
                <w:sz w:val="20"/>
                <w:szCs w:val="20"/>
                <w:color w:val="auto"/>
              </w:rPr>
            </w:pPr>
            <w:r>
              <w:rPr>
                <w:rFonts w:ascii="Arial" w:cs="Arial" w:eastAsia="Arial" w:hAnsi="Arial"/>
                <w:sz w:val="22"/>
                <w:szCs w:val="22"/>
                <w:color w:val="auto"/>
                <w:w w:val="92"/>
              </w:rPr>
              <w:t>] calculated in connection with the Final Pre-Closing Asset</w:t>
            </w:r>
          </w:p>
        </w:tc>
      </w:tr>
    </w:tbl>
    <w:p>
      <w:pPr>
        <w:jc w:val="both"/>
        <w:spacing w:after="0" w:line="281" w:lineRule="auto"/>
        <w:rPr>
          <w:sz w:val="20"/>
          <w:szCs w:val="20"/>
          <w:color w:val="auto"/>
        </w:rPr>
      </w:pPr>
      <w:r>
        <w:rPr>
          <w:rFonts w:ascii="Arial" w:cs="Arial" w:eastAsia="Arial" w:hAnsi="Arial"/>
          <w:sz w:val="19"/>
          <w:szCs w:val="19"/>
          <w:color w:val="auto"/>
        </w:rPr>
        <w:t>Valuation (collectively, the “</w:t>
      </w:r>
      <w:r>
        <w:rPr>
          <w:rFonts w:ascii="Arial" w:cs="Arial" w:eastAsia="Arial" w:hAnsi="Arial"/>
          <w:sz w:val="19"/>
          <w:szCs w:val="19"/>
          <w:u w:val="single" w:color="auto"/>
          <w:color w:val="auto"/>
        </w:rPr>
        <w:t>Interim Closing Asset Valuation</w:t>
      </w:r>
      <w:r>
        <w:rPr>
          <w:rFonts w:ascii="Arial" w:cs="Arial" w:eastAsia="Arial" w:hAnsi="Arial"/>
          <w:sz w:val="19"/>
          <w:szCs w:val="19"/>
          <w:color w:val="auto"/>
        </w:rPr>
        <w:t xml:space="preserve">”); provided that if the Plan Investment Fiduciary fails to deliver an Interim Closing Asset Valuation pursuant to this </w:t>
      </w:r>
      <w:r>
        <w:rPr>
          <w:rFonts w:ascii="Arial" w:cs="Arial" w:eastAsia="Arial" w:hAnsi="Arial"/>
          <w:sz w:val="19"/>
          <w:szCs w:val="19"/>
          <w:u w:val="single" w:color="auto"/>
          <w:color w:val="auto"/>
        </w:rPr>
        <w:t>Section 2.10(a)</w:t>
      </w:r>
      <w:r>
        <w:rPr>
          <w:rFonts w:ascii="Arial" w:cs="Arial" w:eastAsia="Arial" w:hAnsi="Arial"/>
          <w:sz w:val="19"/>
          <w:szCs w:val="19"/>
          <w:color w:val="auto"/>
        </w:rPr>
        <w:t>, the Insurer shall deliver to the Company an Interim Closing Asset</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Valuation with respect to Broker Quote Public Bonds, [ *** ] in connection with its calculation of the Interim Post-Closing Final Premium in accordance with the methodologies set forth in </w:t>
      </w:r>
      <w:r>
        <w:rPr>
          <w:rFonts w:ascii="Arial" w:cs="Arial" w:eastAsia="Arial" w:hAnsi="Arial"/>
          <w:sz w:val="22"/>
          <w:szCs w:val="22"/>
          <w:u w:val="single" w:color="auto"/>
          <w:color w:val="auto"/>
        </w:rPr>
        <w:t>Appendix 2.6</w:t>
      </w:r>
      <w:r>
        <w:rPr>
          <w:rFonts w:ascii="Arial" w:cs="Arial" w:eastAsia="Arial" w:hAnsi="Arial"/>
          <w:sz w:val="22"/>
          <w:szCs w:val="22"/>
          <w:color w:val="auto"/>
        </w:rPr>
        <w:t>.</w:t>
      </w:r>
    </w:p>
    <w:p>
      <w:pPr>
        <w:spacing w:after="0" w:line="233" w:lineRule="exact"/>
        <w:rPr>
          <w:sz w:val="20"/>
          <w:szCs w:val="20"/>
          <w:color w:val="auto"/>
        </w:rPr>
      </w:pPr>
    </w:p>
    <w:p>
      <w:pPr>
        <w:ind w:left="1560" w:hanging="904"/>
        <w:spacing w:after="0"/>
        <w:tabs>
          <w:tab w:leader="none" w:pos="15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If the Closing Date has occurred on or prior to December 10, 2012, then on or prior to December 20, 2012:</w:t>
      </w:r>
    </w:p>
    <w:p>
      <w:pPr>
        <w:spacing w:after="0" w:line="56" w:lineRule="exact"/>
        <w:rPr>
          <w:rFonts w:ascii="Arial" w:cs="Arial" w:eastAsia="Arial" w:hAnsi="Arial"/>
          <w:sz w:val="19"/>
          <w:szCs w:val="19"/>
          <w:color w:val="auto"/>
        </w:rPr>
      </w:pPr>
    </w:p>
    <w:p>
      <w:pPr>
        <w:jc w:val="both"/>
        <w:ind w:left="660" w:firstLine="645"/>
        <w:spacing w:after="0" w:line="281" w:lineRule="auto"/>
        <w:tabs>
          <w:tab w:leader="none" w:pos="21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Insurer shall deliver to the Company a calculation of the Interim Post-Closing Post-Solicitation Premium. The “</w:t>
      </w:r>
      <w:r>
        <w:rPr>
          <w:rFonts w:ascii="Arial" w:cs="Arial" w:eastAsia="Arial" w:hAnsi="Arial"/>
          <w:sz w:val="19"/>
          <w:szCs w:val="19"/>
          <w:u w:val="single" w:color="auto"/>
          <w:color w:val="auto"/>
        </w:rPr>
        <w:t>Interim Post-Closing Post-Solicitation Premium</w:t>
      </w:r>
      <w:r>
        <w:rPr>
          <w:rFonts w:ascii="Arial" w:cs="Arial" w:eastAsia="Arial" w:hAnsi="Arial"/>
          <w:sz w:val="19"/>
          <w:szCs w:val="19"/>
          <w:color w:val="auto"/>
        </w:rPr>
        <w:t>” which shall be an amount, calculated by the Insurer, equal to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Preliminary Post-Solicitation Premium, </w:t>
      </w:r>
      <w:r>
        <w:rPr>
          <w:rFonts w:ascii="Arial" w:cs="Arial" w:eastAsia="Arial" w:hAnsi="Arial"/>
          <w:sz w:val="19"/>
          <w:szCs w:val="19"/>
          <w:i w:val="1"/>
          <w:iCs w:val="1"/>
          <w:color w:val="auto"/>
        </w:rPr>
        <w:t>minus</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Interim Post-Closing Single Life Mortality Correction, </w:t>
      </w:r>
      <w:r>
        <w:rPr>
          <w:rFonts w:ascii="Arial" w:cs="Arial" w:eastAsia="Arial" w:hAnsi="Arial"/>
          <w:sz w:val="19"/>
          <w:szCs w:val="19"/>
          <w:i w:val="1"/>
          <w:iCs w:val="1"/>
          <w:color w:val="auto"/>
        </w:rPr>
        <w:t>plus</w:t>
      </w:r>
    </w:p>
    <w:p>
      <w:pPr>
        <w:spacing w:after="0" w:line="2" w:lineRule="exact"/>
        <w:rPr>
          <w:sz w:val="20"/>
          <w:szCs w:val="20"/>
          <w:color w:val="auto"/>
        </w:rPr>
      </w:pPr>
    </w:p>
    <w:p>
      <w:pPr>
        <w:ind w:left="660" w:right="20"/>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w:t>
      </w:r>
      <w:r>
        <w:rPr>
          <w:rFonts w:ascii="Arial" w:cs="Arial" w:eastAsia="Arial" w:hAnsi="Arial"/>
          <w:sz w:val="21"/>
          <w:szCs w:val="21"/>
          <w:color w:val="auto"/>
        </w:rPr>
        <w:t xml:space="preserve">) the Interim Post-Closing [ *** ], </w:t>
      </w:r>
      <w:r>
        <w:rPr>
          <w:rFonts w:ascii="Arial" w:cs="Arial" w:eastAsia="Arial" w:hAnsi="Arial"/>
          <w:sz w:val="21"/>
          <w:szCs w:val="21"/>
          <w:i w:val="1"/>
          <w:iCs w:val="1"/>
          <w:color w:val="auto"/>
        </w:rPr>
        <w:t>plus</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the Interim Post-Closing Additional Classification Error Correction, </w:t>
      </w:r>
      <w:r>
        <w:rPr>
          <w:rFonts w:ascii="Arial" w:cs="Arial" w:eastAsia="Arial" w:hAnsi="Arial"/>
          <w:sz w:val="21"/>
          <w:szCs w:val="21"/>
          <w:i w:val="1"/>
          <w:iCs w:val="1"/>
          <w:color w:val="auto"/>
        </w:rPr>
        <w:t xml:space="preserve">plus </w:t>
      </w:r>
      <w:r>
        <w:rPr>
          <w:rFonts w:ascii="Arial" w:cs="Arial" w:eastAsia="Arial" w:hAnsi="Arial"/>
          <w:sz w:val="21"/>
          <w:szCs w:val="21"/>
          <w:color w:val="auto"/>
        </w:rPr>
        <w:t>(</w:t>
      </w:r>
      <w:r>
        <w:rPr>
          <w:rFonts w:ascii="Arial" w:cs="Arial" w:eastAsia="Arial" w:hAnsi="Arial"/>
          <w:sz w:val="21"/>
          <w:szCs w:val="21"/>
          <w:u w:val="single" w:color="auto"/>
          <w:color w:val="auto"/>
        </w:rPr>
        <w:t>E</w:t>
      </w:r>
      <w:r>
        <w:rPr>
          <w:rFonts w:ascii="Arial" w:cs="Arial" w:eastAsia="Arial" w:hAnsi="Arial"/>
          <w:sz w:val="21"/>
          <w:szCs w:val="21"/>
          <w:color w:val="auto"/>
        </w:rPr>
        <w:t>) the Interim Post-Closing Benefit Amount Correction (for the avoidance of doubt, the Interim Post-Closing [</w:t>
      </w:r>
    </w:p>
    <w:p>
      <w:pPr>
        <w:ind w:left="660" w:right="20" w:hanging="4"/>
        <w:spacing w:after="0" w:line="246" w:lineRule="auto"/>
        <w:tabs>
          <w:tab w:leader="none" w:pos="1377" w:val="left"/>
        </w:tabs>
        <w:numPr>
          <w:ilvl w:val="0"/>
          <w:numId w:val="90"/>
        </w:numPr>
        <w:rPr>
          <w:rFonts w:ascii="Arial" w:cs="Arial" w:eastAsia="Arial" w:hAnsi="Arial"/>
          <w:sz w:val="22"/>
          <w:szCs w:val="22"/>
          <w:color w:val="auto"/>
        </w:rPr>
      </w:pPr>
      <w:r>
        <w:rPr>
          <w:rFonts w:ascii="Arial" w:cs="Arial" w:eastAsia="Arial" w:hAnsi="Arial"/>
          <w:sz w:val="22"/>
          <w:szCs w:val="22"/>
          <w:color w:val="auto"/>
        </w:rPr>
        <w:t>], the Interim Post-Closing Additional Classification Error Correction and the Interim Post-Closing Benefit Amount Correction could be negative numbers);</w:t>
      </w:r>
    </w:p>
    <w:p>
      <w:pPr>
        <w:spacing w:after="0" w:line="233" w:lineRule="exact"/>
        <w:rPr>
          <w:rFonts w:ascii="Arial" w:cs="Arial" w:eastAsia="Arial" w:hAnsi="Arial"/>
          <w:sz w:val="22"/>
          <w:szCs w:val="22"/>
          <w:color w:val="auto"/>
        </w:rPr>
      </w:pPr>
    </w:p>
    <w:p>
      <w:pPr>
        <w:ind w:left="660" w:firstLine="645"/>
        <w:spacing w:after="0" w:line="263" w:lineRule="auto"/>
        <w:tabs>
          <w:tab w:leader="none" w:pos="2221"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Insurer shall calculate and deliver to the Company, and the Company and the Insurer shall jointly direct the Independent Third Party to deliver to the Company and the Insurer,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1" w:right="239" w:bottom="1440" w:gutter="0" w:footer="0" w:header="0"/>
        </w:sectPr>
      </w:pPr>
    </w:p>
    <w:bookmarkStart w:id="128" w:name="page129"/>
    <w:bookmarkEnd w:id="128"/>
    <w:p>
      <w:pPr>
        <w:ind w:left="660"/>
        <w:spacing w:after="0" w:line="248" w:lineRule="auto"/>
        <w:rPr>
          <w:sz w:val="20"/>
          <w:szCs w:val="20"/>
          <w:color w:val="auto"/>
        </w:rPr>
      </w:pPr>
      <w:r>
        <w:rPr>
          <w:rFonts w:ascii="Arial" w:cs="Arial" w:eastAsia="Arial" w:hAnsi="Arial"/>
          <w:sz w:val="22"/>
          <w:szCs w:val="22"/>
          <w:color w:val="auto"/>
        </w:rPr>
        <w:t xml:space="preserve">calculation of the Interim Post-Closing Final Premium in the form of </w:t>
      </w:r>
      <w:r>
        <w:rPr>
          <w:rFonts w:ascii="Arial" w:cs="Arial" w:eastAsia="Arial" w:hAnsi="Arial"/>
          <w:sz w:val="22"/>
          <w:szCs w:val="22"/>
          <w:u w:val="single" w:color="auto"/>
          <w:color w:val="auto"/>
        </w:rPr>
        <w:t>Appendix 2.7</w:t>
      </w:r>
      <w:r>
        <w:rPr>
          <w:rFonts w:ascii="Arial" w:cs="Arial" w:eastAsia="Arial" w:hAnsi="Arial"/>
          <w:sz w:val="22"/>
          <w:szCs w:val="22"/>
          <w:color w:val="auto"/>
        </w:rPr>
        <w:t xml:space="preserve"> (including a proposed Annuity Exhibit). The “</w:t>
      </w:r>
      <w:r>
        <w:rPr>
          <w:rFonts w:ascii="Arial" w:cs="Arial" w:eastAsia="Arial" w:hAnsi="Arial"/>
          <w:sz w:val="22"/>
          <w:szCs w:val="22"/>
          <w:u w:val="single" w:color="auto"/>
          <w:color w:val="auto"/>
        </w:rPr>
        <w:t>Interim Post-Closing Final Premium</w:t>
      </w:r>
      <w:r>
        <w:rPr>
          <w:rFonts w:ascii="Arial" w:cs="Arial" w:eastAsia="Arial" w:hAnsi="Arial"/>
          <w:sz w:val="22"/>
          <w:szCs w:val="22"/>
          <w:color w:val="auto"/>
        </w:rPr>
        <w:t>” shall be equal to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the Interim Post-Closing Post-Solicitation Premium </w:t>
      </w:r>
      <w:r>
        <w:rPr>
          <w:rFonts w:ascii="Arial" w:cs="Arial" w:eastAsia="Arial" w:hAnsi="Arial"/>
          <w:sz w:val="22"/>
          <w:szCs w:val="22"/>
          <w:i w:val="1"/>
          <w:iCs w:val="1"/>
          <w:color w:val="auto"/>
        </w:rPr>
        <w:t xml:space="preserve">multiplied by </w:t>
      </w:r>
      <w:r>
        <w:rPr>
          <w:rFonts w:ascii="Arial" w:cs="Arial" w:eastAsia="Arial" w:hAnsi="Arial"/>
          <w:sz w:val="22"/>
          <w:szCs w:val="22"/>
          <w:color w:val="auto"/>
        </w:rPr>
        <w:t>(</w:t>
      </w:r>
      <w:r>
        <w:rPr>
          <w:rFonts w:ascii="Arial" w:cs="Arial" w:eastAsia="Arial" w:hAnsi="Arial"/>
          <w:sz w:val="22"/>
          <w:szCs w:val="22"/>
          <w:u w:val="single" w:color="auto"/>
          <w:color w:val="auto"/>
        </w:rPr>
        <w:t>B</w:t>
      </w:r>
      <w:r>
        <w:rPr>
          <w:rFonts w:ascii="Arial" w:cs="Arial" w:eastAsia="Arial" w:hAnsi="Arial"/>
          <w:sz w:val="22"/>
          <w:szCs w:val="22"/>
          <w:color w:val="auto"/>
        </w:rPr>
        <w:t>) 100% plus the Closing Date Adjustment,</w:t>
      </w:r>
      <w:r>
        <w:rPr>
          <w:rFonts w:ascii="Arial" w:cs="Arial" w:eastAsia="Arial" w:hAnsi="Arial"/>
          <w:sz w:val="22"/>
          <w:szCs w:val="22"/>
          <w:i w:val="1"/>
          <w:iCs w:val="1"/>
          <w:color w:val="auto"/>
        </w:rPr>
        <w:t xml:space="preserve"> multiplied by </w:t>
      </w:r>
      <w:r>
        <w:rPr>
          <w:rFonts w:ascii="Arial" w:cs="Arial" w:eastAsia="Arial" w:hAnsi="Arial"/>
          <w:sz w:val="22"/>
          <w:szCs w:val="22"/>
          <w:color w:val="auto"/>
        </w:rPr>
        <w:t>(</w:t>
      </w:r>
      <w:r>
        <w:rPr>
          <w:rFonts w:ascii="Arial" w:cs="Arial" w:eastAsia="Arial" w:hAnsi="Arial"/>
          <w:sz w:val="22"/>
          <w:szCs w:val="22"/>
          <w:u w:val="single" w:color="auto"/>
          <w:color w:val="auto"/>
        </w:rPr>
        <w:t>C</w:t>
      </w:r>
      <w:r>
        <w:rPr>
          <w:rFonts w:ascii="Arial" w:cs="Arial" w:eastAsia="Arial" w:hAnsi="Arial"/>
          <w:sz w:val="22"/>
          <w:szCs w:val="22"/>
          <w:color w:val="auto"/>
        </w:rPr>
        <w:t>) the sum of (</w:t>
      </w:r>
      <w:r>
        <w:rPr>
          <w:rFonts w:ascii="Arial" w:cs="Arial" w:eastAsia="Arial" w:hAnsi="Arial"/>
          <w:sz w:val="22"/>
          <w:szCs w:val="22"/>
          <w:u w:val="single" w:color="auto"/>
          <w:color w:val="auto"/>
        </w:rPr>
        <w:t>I</w:t>
      </w:r>
      <w:r>
        <w:rPr>
          <w:rFonts w:ascii="Arial" w:cs="Arial" w:eastAsia="Arial" w:hAnsi="Arial"/>
          <w:sz w:val="22"/>
          <w:szCs w:val="22"/>
          <w:color w:val="auto"/>
        </w:rPr>
        <w:t>) the Closing CMA Adjustment</w:t>
      </w:r>
      <w:r>
        <w:rPr>
          <w:rFonts w:ascii="Arial" w:cs="Arial" w:eastAsia="Arial" w:hAnsi="Arial"/>
          <w:sz w:val="22"/>
          <w:szCs w:val="22"/>
          <w:i w:val="1"/>
          <w:iCs w:val="1"/>
          <w:color w:val="auto"/>
        </w:rPr>
        <w:t xml:space="preserve"> </w:t>
      </w:r>
      <w:r>
        <w:rPr>
          <w:rFonts w:ascii="Arial" w:cs="Arial" w:eastAsia="Arial" w:hAnsi="Arial"/>
          <w:sz w:val="22"/>
          <w:szCs w:val="22"/>
          <w:color w:val="auto"/>
        </w:rPr>
        <w:t>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the Closing SCA Adjustment,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100% plus the Closing PFS Adjustment, </w:t>
      </w:r>
      <w:r>
        <w:rPr>
          <w:rFonts w:ascii="Arial" w:cs="Arial" w:eastAsia="Arial" w:hAnsi="Arial"/>
          <w:sz w:val="22"/>
          <w:szCs w:val="22"/>
          <w:i w:val="1"/>
          <w:iCs w:val="1"/>
          <w:color w:val="auto"/>
        </w:rPr>
        <w:t>plus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the Closing [ *** ] Adjustment, </w:t>
      </w:r>
      <w:r>
        <w:rPr>
          <w:rFonts w:ascii="Arial" w:cs="Arial" w:eastAsia="Arial" w:hAnsi="Arial"/>
          <w:sz w:val="22"/>
          <w:szCs w:val="22"/>
          <w:i w:val="1"/>
          <w:iCs w:val="1"/>
          <w:color w:val="auto"/>
        </w:rPr>
        <w:t>plus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the Incremental Interim [ *** ] Adjustment; and</w:t>
      </w:r>
    </w:p>
    <w:p>
      <w:pPr>
        <w:spacing w:after="0" w:line="233" w:lineRule="exact"/>
        <w:rPr>
          <w:sz w:val="20"/>
          <w:szCs w:val="20"/>
          <w:color w:val="auto"/>
        </w:rPr>
      </w:pPr>
    </w:p>
    <w:p>
      <w:pPr>
        <w:ind w:left="660" w:right="20" w:firstLine="645"/>
        <w:spacing w:after="0" w:line="263" w:lineRule="auto"/>
        <w:tabs>
          <w:tab w:leader="none" w:pos="2281"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Insurer shall produce and deliver to the Company and the Independent Third Party an updated Transferred Assets Schedule.</w:t>
      </w:r>
    </w:p>
    <w:p>
      <w:pPr>
        <w:spacing w:after="0" w:line="215" w:lineRule="exact"/>
        <w:rPr>
          <w:rFonts w:ascii="Arial" w:cs="Arial" w:eastAsia="Arial" w:hAnsi="Arial"/>
          <w:sz w:val="22"/>
          <w:szCs w:val="22"/>
          <w:color w:val="auto"/>
        </w:rPr>
      </w:pPr>
    </w:p>
    <w:p>
      <w:pPr>
        <w:ind w:left="1540" w:hanging="884"/>
        <w:spacing w:after="0"/>
        <w:tabs>
          <w:tab w:leader="none" w:pos="1540" w:val="left"/>
        </w:tabs>
        <w:numPr>
          <w:ilvl w:val="0"/>
          <w:numId w:val="92"/>
        </w:numPr>
        <w:rPr>
          <w:rFonts w:ascii="Arial" w:cs="Arial" w:eastAsia="Arial" w:hAnsi="Arial"/>
          <w:sz w:val="21"/>
          <w:szCs w:val="21"/>
          <w:color w:val="auto"/>
        </w:rPr>
      </w:pPr>
      <w:r>
        <w:rPr>
          <w:rFonts w:ascii="Arial" w:cs="Arial" w:eastAsia="Arial" w:hAnsi="Arial"/>
          <w:sz w:val="21"/>
          <w:szCs w:val="21"/>
          <w:color w:val="auto"/>
        </w:rPr>
        <w:t>Within 5 Business Days of the delivery by the Insurer of the calculation of the Interim Post-Closing Final</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Premium:</w:t>
      </w:r>
    </w:p>
    <w:p>
      <w:pPr>
        <w:spacing w:after="0" w:line="242" w:lineRule="exact"/>
        <w:rPr>
          <w:rFonts w:ascii="Arial" w:cs="Arial" w:eastAsia="Arial" w:hAnsi="Arial"/>
          <w:sz w:val="21"/>
          <w:szCs w:val="21"/>
          <w:color w:val="auto"/>
        </w:rPr>
      </w:pPr>
    </w:p>
    <w:p>
      <w:pPr>
        <w:jc w:val="both"/>
        <w:ind w:left="660" w:firstLine="645"/>
        <w:spacing w:after="0" w:line="248" w:lineRule="auto"/>
        <w:tabs>
          <w:tab w:leader="none" w:pos="21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if the sum of (</w:t>
      </w:r>
      <w:r>
        <w:rPr>
          <w:rFonts w:ascii="Arial" w:cs="Arial" w:eastAsia="Arial" w:hAnsi="Arial"/>
          <w:sz w:val="22"/>
          <w:szCs w:val="22"/>
          <w:u w:val="single" w:color="auto"/>
          <w:color w:val="auto"/>
        </w:rPr>
        <w:t>A</w:t>
      </w:r>
      <w:r>
        <w:rPr>
          <w:rFonts w:ascii="Arial" w:cs="Arial" w:eastAsia="Arial" w:hAnsi="Arial"/>
          <w:sz w:val="22"/>
          <w:szCs w:val="22"/>
          <w:color w:val="auto"/>
        </w:rPr>
        <w:t>) the aggregate value of the assets in the Final Plan Portfolio specified in the Interim Closing Asset Valuation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the amount of the Cash Closing Payment exceeds the amount of the Interim Post-Closing Final Premium, then, subject to the execution by the Plan Trustee of an amendment of the Group Annuity Contract in connection with </w:t>
      </w:r>
      <w:r>
        <w:rPr>
          <w:rFonts w:ascii="Arial" w:cs="Arial" w:eastAsia="Arial" w:hAnsi="Arial"/>
          <w:sz w:val="22"/>
          <w:szCs w:val="22"/>
          <w:u w:val="single" w:color="auto"/>
          <w:color w:val="auto"/>
        </w:rPr>
        <w:t>Section 2.19</w:t>
      </w:r>
      <w:r>
        <w:rPr>
          <w:rFonts w:ascii="Arial" w:cs="Arial" w:eastAsia="Arial" w:hAnsi="Arial"/>
          <w:sz w:val="22"/>
          <w:szCs w:val="22"/>
          <w:color w:val="auto"/>
        </w:rPr>
        <w:t>, either Insurer Parent or the Insurer shall pay to the Plan Trustee an amount, in Cash, equal to such excess (the “</w:t>
      </w:r>
      <w:r>
        <w:rPr>
          <w:rFonts w:ascii="Arial" w:cs="Arial" w:eastAsia="Arial" w:hAnsi="Arial"/>
          <w:sz w:val="22"/>
          <w:szCs w:val="22"/>
          <w:u w:val="single" w:color="auto"/>
          <w:color w:val="auto"/>
        </w:rPr>
        <w:t>Interim Post-Closing Insurer Payment</w:t>
      </w:r>
      <w:r>
        <w:rPr>
          <w:rFonts w:ascii="Arial" w:cs="Arial" w:eastAsia="Arial" w:hAnsi="Arial"/>
          <w:sz w:val="22"/>
          <w:szCs w:val="22"/>
          <w:color w:val="auto"/>
        </w:rPr>
        <w:t>”); and</w:t>
      </w:r>
    </w:p>
    <w:p>
      <w:pPr>
        <w:spacing w:after="0" w:line="233" w:lineRule="exact"/>
        <w:rPr>
          <w:sz w:val="20"/>
          <w:szCs w:val="20"/>
          <w:color w:val="auto"/>
        </w:rPr>
      </w:pPr>
    </w:p>
    <w:p>
      <w:pPr>
        <w:jc w:val="both"/>
        <w:ind w:left="660" w:firstLine="645"/>
        <w:spacing w:after="0" w:line="263" w:lineRule="auto"/>
        <w:tabs>
          <w:tab w:leader="none" w:pos="2221" w:val="left"/>
        </w:tabs>
        <w:numPr>
          <w:ilvl w:val="1"/>
          <w:numId w:val="93"/>
        </w:numPr>
        <w:rPr>
          <w:rFonts w:ascii="Arial" w:cs="Arial" w:eastAsia="Arial" w:hAnsi="Arial"/>
          <w:sz w:val="21"/>
          <w:szCs w:val="21"/>
          <w:color w:val="auto"/>
        </w:rPr>
      </w:pPr>
      <w:r>
        <w:rPr>
          <w:rFonts w:ascii="Arial" w:cs="Arial" w:eastAsia="Arial" w:hAnsi="Arial"/>
          <w:sz w:val="21"/>
          <w:szCs w:val="21"/>
          <w:color w:val="auto"/>
        </w:rPr>
        <w:t>if the amount of the Interim Post-Closing Final Premium exceeds the sum of (</w:t>
      </w:r>
      <w:r>
        <w:rPr>
          <w:rFonts w:ascii="Arial" w:cs="Arial" w:eastAsia="Arial" w:hAnsi="Arial"/>
          <w:sz w:val="21"/>
          <w:szCs w:val="21"/>
          <w:u w:val="single" w:color="auto"/>
          <w:color w:val="auto"/>
        </w:rPr>
        <w:t>A</w:t>
      </w:r>
      <w:r>
        <w:rPr>
          <w:rFonts w:ascii="Arial" w:cs="Arial" w:eastAsia="Arial" w:hAnsi="Arial"/>
          <w:sz w:val="21"/>
          <w:szCs w:val="21"/>
          <w:color w:val="auto"/>
        </w:rPr>
        <w:t>) the aggregate value of the assets in the Final Plan Portfolio specified in the Interim Closing Asset Valuation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the amount of the Cash Closing Payment, then, subject to the execution by the Insurer of an amendment of the Group Annuity Contract in connection with </w:t>
      </w:r>
      <w:r>
        <w:rPr>
          <w:rFonts w:ascii="Arial" w:cs="Arial" w:eastAsia="Arial" w:hAnsi="Arial"/>
          <w:sz w:val="21"/>
          <w:szCs w:val="21"/>
          <w:u w:val="single" w:color="auto"/>
          <w:color w:val="auto"/>
        </w:rPr>
        <w:t>Section 2.19</w:t>
      </w:r>
      <w:r>
        <w:rPr>
          <w:rFonts w:ascii="Arial" w:cs="Arial" w:eastAsia="Arial" w:hAnsi="Arial"/>
          <w:sz w:val="21"/>
          <w:szCs w:val="21"/>
          <w:color w:val="auto"/>
        </w:rPr>
        <w:t>, the Independent Fiduciary shall irrevocably direct the Plan Trustee to pay to the Insurer an amount, in Cash, equal to such excess (the “</w:t>
      </w:r>
      <w:r>
        <w:rPr>
          <w:rFonts w:ascii="Arial" w:cs="Arial" w:eastAsia="Arial" w:hAnsi="Arial"/>
          <w:sz w:val="21"/>
          <w:szCs w:val="21"/>
          <w:u w:val="single" w:color="auto"/>
          <w:color w:val="auto"/>
        </w:rPr>
        <w:t>Interim Post-Closing Plan Payment</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firstLine="656"/>
        <w:spacing w:after="0" w:line="271" w:lineRule="auto"/>
        <w:tabs>
          <w:tab w:leader="none" w:pos="1549"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The Company shall make available to the Plan, Cash in the amount necessary to enable the Plan Trustee to pay all amounts that it is directed to pay to the Insurer by the Independent Fiduciary pursuant to this </w:t>
      </w:r>
      <w:r>
        <w:rPr>
          <w:rFonts w:ascii="Arial" w:cs="Arial" w:eastAsia="Arial" w:hAnsi="Arial"/>
          <w:sz w:val="21"/>
          <w:szCs w:val="21"/>
          <w:u w:val="single" w:color="auto"/>
          <w:color w:val="auto"/>
        </w:rPr>
        <w:t>Section 2.10</w:t>
      </w:r>
      <w:r>
        <w:rPr>
          <w:rFonts w:ascii="Arial" w:cs="Arial" w:eastAsia="Arial" w:hAnsi="Arial"/>
          <w:sz w:val="21"/>
          <w:szCs w:val="21"/>
          <w:color w:val="auto"/>
        </w:rPr>
        <w:t>. The Plan Trustee shall unconditionally pay all such amounts to the Insurer pursuant to the Plan Trustee Agreement.</w:t>
      </w:r>
    </w:p>
    <w:p>
      <w:pPr>
        <w:spacing w:after="0" w:line="208" w:lineRule="exact"/>
        <w:rPr>
          <w:rFonts w:ascii="Arial" w:cs="Arial" w:eastAsia="Arial" w:hAnsi="Arial"/>
          <w:sz w:val="21"/>
          <w:szCs w:val="21"/>
          <w:color w:val="auto"/>
        </w:rPr>
      </w:pPr>
    </w:p>
    <w:p>
      <w:pPr>
        <w:jc w:val="both"/>
        <w:ind w:firstLine="656"/>
        <w:spacing w:after="0" w:line="250" w:lineRule="auto"/>
        <w:tabs>
          <w:tab w:leader="none" w:pos="1536"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Three (3) Business Days prior to the date of the Insurer's delivery of the Interim Post-Closing Premium, the Company and the Insurer shall jointly direct the Independent Third Party to prepare an Interim Post-Closing Final Premium, which it shall deliver to the Company and the Insurer on the same date that the Insurer delivers its calculation of the Interim Post-Closing Final Premium.</w:t>
      </w:r>
    </w:p>
    <w:p>
      <w:pPr>
        <w:spacing w:after="0" w:line="200" w:lineRule="exact"/>
        <w:rPr>
          <w:sz w:val="20"/>
          <w:szCs w:val="20"/>
          <w:color w:val="auto"/>
        </w:rPr>
      </w:pPr>
    </w:p>
    <w:p>
      <w:pPr>
        <w:spacing w:after="0" w:line="24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Final Valuation of Final Plan Portfolio and Post-Closing Final Premium</w:t>
      </w:r>
      <w:r>
        <w:rPr>
          <w:rFonts w:ascii="Arial" w:cs="Arial" w:eastAsia="Arial" w:hAnsi="Arial"/>
          <w:sz w:val="19"/>
          <w:szCs w:val="19"/>
          <w:color w:val="auto"/>
        </w:rPr>
        <w:t>.</w:t>
      </w:r>
    </w:p>
    <w:p>
      <w:pPr>
        <w:spacing w:after="0" w:line="260" w:lineRule="exact"/>
        <w:rPr>
          <w:sz w:val="20"/>
          <w:szCs w:val="20"/>
          <w:color w:val="auto"/>
        </w:rPr>
      </w:pPr>
    </w:p>
    <w:p>
      <w:pPr>
        <w:ind w:left="1180" w:hanging="524"/>
        <w:spacing w:after="0"/>
        <w:tabs>
          <w:tab w:leader="none" w:pos="11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On or prior to the day that is 80 days following the Closing Date, the Plan Investment Fiduciary shall deliver to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40" w:type="dxa"/>
            <w:vAlign w:val="bottom"/>
            <w:gridSpan w:val="11"/>
          </w:tcPr>
          <w:p>
            <w:pPr>
              <w:spacing w:after="0"/>
              <w:rPr>
                <w:sz w:val="20"/>
                <w:szCs w:val="20"/>
                <w:color w:val="auto"/>
              </w:rPr>
            </w:pPr>
            <w:r>
              <w:rPr>
                <w:rFonts w:ascii="Arial" w:cs="Arial" w:eastAsia="Arial" w:hAnsi="Arial"/>
                <w:sz w:val="22"/>
                <w:szCs w:val="22"/>
                <w:color w:val="auto"/>
                <w:w w:val="93"/>
              </w:rPr>
              <w:t>Insurer a calculation of the value of each asset in the Final Plan Portfolio, (A) with respect to the [   ***</w:t>
            </w:r>
          </w:p>
        </w:tc>
        <w:tc>
          <w:tcPr>
            <w:tcW w:w="2180" w:type="dxa"/>
            <w:vAlign w:val="bottom"/>
            <w:gridSpan w:val="3"/>
          </w:tcPr>
          <w:p>
            <w:pPr>
              <w:jc w:val="right"/>
              <w:spacing w:after="0"/>
              <w:rPr>
                <w:sz w:val="20"/>
                <w:szCs w:val="20"/>
                <w:color w:val="auto"/>
              </w:rPr>
            </w:pPr>
            <w:r>
              <w:rPr>
                <w:rFonts w:ascii="Arial" w:cs="Arial" w:eastAsia="Arial" w:hAnsi="Arial"/>
                <w:sz w:val="22"/>
                <w:szCs w:val="22"/>
                <w:color w:val="auto"/>
              </w:rPr>
              <w:t>] included in the Final</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r>
      <w:tr>
        <w:trPr>
          <w:trHeight w:val="269"/>
        </w:trPr>
        <w:tc>
          <w:tcPr>
            <w:tcW w:w="4700" w:type="dxa"/>
            <w:vAlign w:val="bottom"/>
            <w:gridSpan w:val="7"/>
          </w:tcPr>
          <w:p>
            <w:pPr>
              <w:spacing w:after="0"/>
              <w:rPr>
                <w:sz w:val="20"/>
                <w:szCs w:val="20"/>
                <w:color w:val="auto"/>
              </w:rPr>
            </w:pPr>
            <w:r>
              <w:rPr>
                <w:rFonts w:ascii="Arial" w:cs="Arial" w:eastAsia="Arial" w:hAnsi="Arial"/>
                <w:sz w:val="22"/>
                <w:szCs w:val="22"/>
                <w:color w:val="auto"/>
                <w:w w:val="98"/>
              </w:rPr>
              <w:t>Plan Portfolio, valued in an amount equal to the [</w:t>
            </w:r>
          </w:p>
        </w:tc>
        <w:tc>
          <w:tcPr>
            <w:tcW w:w="8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5920" w:type="dxa"/>
            <w:vAlign w:val="bottom"/>
            <w:gridSpan w:val="6"/>
          </w:tcPr>
          <w:p>
            <w:pPr>
              <w:jc w:val="right"/>
              <w:spacing w:after="0"/>
              <w:rPr>
                <w:sz w:val="20"/>
                <w:szCs w:val="20"/>
                <w:color w:val="auto"/>
              </w:rPr>
            </w:pPr>
            <w:r>
              <w:rPr>
                <w:rFonts w:ascii="Arial" w:cs="Arial" w:eastAsia="Arial" w:hAnsi="Arial"/>
                <w:sz w:val="22"/>
                <w:szCs w:val="22"/>
                <w:color w:val="auto"/>
                <w:w w:val="99"/>
              </w:rPr>
              <w:t>] in connection with calculation of the Final Pre-Closing Asset</w:t>
            </w:r>
          </w:p>
        </w:tc>
      </w:tr>
      <w:tr>
        <w:trPr>
          <w:trHeight w:val="224"/>
        </w:trPr>
        <w:tc>
          <w:tcPr>
            <w:tcW w:w="3920" w:type="dxa"/>
            <w:vAlign w:val="bottom"/>
            <w:gridSpan w:val="6"/>
          </w:tcPr>
          <w:p>
            <w:pPr>
              <w:spacing w:after="0" w:line="224" w:lineRule="exact"/>
              <w:rPr>
                <w:sz w:val="20"/>
                <w:szCs w:val="20"/>
                <w:color w:val="auto"/>
              </w:rPr>
            </w:pPr>
            <w:r>
              <w:rPr>
                <w:rFonts w:ascii="Arial" w:cs="Arial" w:eastAsia="Arial" w:hAnsi="Arial"/>
                <w:sz w:val="22"/>
                <w:szCs w:val="22"/>
                <w:color w:val="auto"/>
              </w:rPr>
              <w:t>Valuation (B) with respect to each [   ***</w:t>
            </w:r>
          </w:p>
        </w:tc>
        <w:tc>
          <w:tcPr>
            <w:tcW w:w="5320" w:type="dxa"/>
            <w:vAlign w:val="bottom"/>
            <w:gridSpan w:val="5"/>
          </w:tcPr>
          <w:p>
            <w:pPr>
              <w:ind w:left="220"/>
              <w:spacing w:after="0" w:line="224" w:lineRule="exact"/>
              <w:rPr>
                <w:sz w:val="20"/>
                <w:szCs w:val="20"/>
                <w:color w:val="auto"/>
              </w:rPr>
            </w:pPr>
            <w:r>
              <w:rPr>
                <w:rFonts w:ascii="Arial" w:cs="Arial" w:eastAsia="Arial" w:hAnsi="Arial"/>
                <w:sz w:val="22"/>
                <w:szCs w:val="22"/>
                <w:color w:val="auto"/>
                <w:w w:val="94"/>
              </w:rPr>
              <w:t>] in the Final Plan Portfolio, valued in an amount equal [</w:t>
            </w:r>
          </w:p>
        </w:tc>
        <w:tc>
          <w:tcPr>
            <w:tcW w:w="800" w:type="dxa"/>
            <w:vAlign w:val="bottom"/>
          </w:tcPr>
          <w:p>
            <w:pPr>
              <w:jc w:val="right"/>
              <w:ind w:right="232"/>
              <w:spacing w:after="0" w:line="224" w:lineRule="exact"/>
              <w:rPr>
                <w:sz w:val="20"/>
                <w:szCs w:val="20"/>
                <w:color w:val="auto"/>
              </w:rPr>
            </w:pPr>
            <w:r>
              <w:rPr>
                <w:rFonts w:ascii="Arial" w:cs="Arial" w:eastAsia="Arial" w:hAnsi="Arial"/>
                <w:sz w:val="22"/>
                <w:szCs w:val="22"/>
                <w:color w:val="auto"/>
              </w:rPr>
              <w:t>***</w:t>
            </w:r>
          </w:p>
        </w:tc>
        <w:tc>
          <w:tcPr>
            <w:tcW w:w="1380" w:type="dxa"/>
            <w:vAlign w:val="bottom"/>
            <w:gridSpan w:val="2"/>
          </w:tcPr>
          <w:p>
            <w:pPr>
              <w:jc w:val="right"/>
              <w:spacing w:after="0" w:line="224" w:lineRule="exact"/>
              <w:rPr>
                <w:sz w:val="20"/>
                <w:szCs w:val="20"/>
                <w:color w:val="auto"/>
              </w:rPr>
            </w:pPr>
            <w:r>
              <w:rPr>
                <w:rFonts w:ascii="Arial" w:cs="Arial" w:eastAsia="Arial" w:hAnsi="Arial"/>
                <w:sz w:val="22"/>
                <w:szCs w:val="22"/>
                <w:color w:val="auto"/>
                <w:w w:val="94"/>
              </w:rPr>
              <w:t>] in connection</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94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9"/>
        </w:trPr>
        <w:tc>
          <w:tcPr>
            <w:tcW w:w="10040" w:type="dxa"/>
            <w:vAlign w:val="bottom"/>
            <w:gridSpan w:val="12"/>
          </w:tcPr>
          <w:p>
            <w:pPr>
              <w:spacing w:after="0"/>
              <w:rPr>
                <w:sz w:val="20"/>
                <w:szCs w:val="20"/>
                <w:color w:val="auto"/>
              </w:rPr>
            </w:pPr>
            <w:r>
              <w:rPr>
                <w:rFonts w:ascii="Arial" w:cs="Arial" w:eastAsia="Arial" w:hAnsi="Arial"/>
                <w:sz w:val="22"/>
                <w:szCs w:val="22"/>
                <w:color w:val="auto"/>
                <w:w w:val="91"/>
              </w:rPr>
              <w:t>with calculation of the Interim Closing Asset Valuation or, if there has not been an Interim Closing Valuation, the [</w:t>
            </w:r>
          </w:p>
        </w:tc>
        <w:tc>
          <w:tcPr>
            <w:tcW w:w="7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640" w:type="dxa"/>
            <w:vAlign w:val="bottom"/>
          </w:tcPr>
          <w:p>
            <w:pPr>
              <w:jc w:val="right"/>
              <w:spacing w:after="0"/>
              <w:rPr>
                <w:sz w:val="20"/>
                <w:szCs w:val="20"/>
                <w:color w:val="auto"/>
              </w:rPr>
            </w:pPr>
            <w:r>
              <w:rPr>
                <w:rFonts w:ascii="Arial" w:cs="Arial" w:eastAsia="Arial" w:hAnsi="Arial"/>
                <w:sz w:val="22"/>
                <w:szCs w:val="22"/>
                <w:color w:val="auto"/>
              </w:rPr>
              <w:t>] and</w:t>
            </w:r>
          </w:p>
        </w:tc>
      </w:tr>
      <w:tr>
        <w:trPr>
          <w:trHeight w:val="224"/>
        </w:trPr>
        <w:tc>
          <w:tcPr>
            <w:tcW w:w="2600" w:type="dxa"/>
            <w:vAlign w:val="bottom"/>
            <w:gridSpan w:val="5"/>
          </w:tcPr>
          <w:p>
            <w:pPr>
              <w:spacing w:after="0" w:line="224" w:lineRule="exact"/>
              <w:rPr>
                <w:sz w:val="20"/>
                <w:szCs w:val="20"/>
                <w:color w:val="auto"/>
              </w:rPr>
            </w:pPr>
            <w:r>
              <w:rPr>
                <w:rFonts w:ascii="Arial" w:cs="Arial" w:eastAsia="Arial" w:hAnsi="Arial"/>
                <w:sz w:val="22"/>
                <w:szCs w:val="22"/>
                <w:color w:val="auto"/>
              </w:rPr>
              <w:t>(C) with respect to [   ***</w:t>
            </w:r>
          </w:p>
        </w:tc>
        <w:tc>
          <w:tcPr>
            <w:tcW w:w="8820" w:type="dxa"/>
            <w:vAlign w:val="bottom"/>
            <w:gridSpan w:val="9"/>
          </w:tcPr>
          <w:p>
            <w:pPr>
              <w:jc w:val="right"/>
              <w:spacing w:after="0" w:line="224" w:lineRule="exact"/>
              <w:rPr>
                <w:sz w:val="20"/>
                <w:szCs w:val="20"/>
                <w:color w:val="auto"/>
              </w:rPr>
            </w:pPr>
            <w:r>
              <w:rPr>
                <w:rFonts w:ascii="Arial" w:cs="Arial" w:eastAsia="Arial" w:hAnsi="Arial"/>
                <w:sz w:val="22"/>
                <w:szCs w:val="22"/>
                <w:color w:val="auto"/>
                <w:w w:val="91"/>
              </w:rPr>
              <w:t>] in the Final Plan Portfolio as valued as of the close of business on the day immediately preceding</w:t>
            </w: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the Closing Date in accordance with the methodology set forth in </w:t>
      </w:r>
      <w:r>
        <w:rPr>
          <w:rFonts w:ascii="Arial" w:cs="Arial" w:eastAsia="Arial" w:hAnsi="Arial"/>
          <w:sz w:val="22"/>
          <w:szCs w:val="22"/>
          <w:u w:val="single" w:color="auto"/>
          <w:color w:val="auto"/>
        </w:rPr>
        <w:t>Appendix 2.6</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Closing Asset Valuation</w:t>
      </w:r>
      <w:r>
        <w:rPr>
          <w:rFonts w:ascii="Arial" w:cs="Arial" w:eastAsia="Arial" w:hAnsi="Arial"/>
          <w:sz w:val="22"/>
          <w:szCs w:val="22"/>
          <w:color w:val="auto"/>
        </w:rPr>
        <w:t>”); provided that if the Plan Investment Fiduciary fails to deliver a Closing Asset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1" w:right="239" w:bottom="1440" w:gutter="0" w:footer="0" w:header="0"/>
        </w:sectPr>
      </w:pPr>
    </w:p>
    <w:bookmarkStart w:id="129" w:name="page130"/>
    <w:bookmarkEnd w:id="129"/>
    <w:p>
      <w:pPr>
        <w:spacing w:after="0"/>
        <w:rPr>
          <w:sz w:val="20"/>
          <w:szCs w:val="20"/>
          <w:color w:val="auto"/>
        </w:rPr>
      </w:pPr>
      <w:r>
        <w:rPr>
          <w:rFonts w:ascii="Arial" w:cs="Arial" w:eastAsia="Arial" w:hAnsi="Arial"/>
          <w:sz w:val="19"/>
          <w:szCs w:val="19"/>
          <w:color w:val="auto"/>
        </w:rPr>
        <w:t xml:space="preserve">Valuation pursuant to this </w:t>
      </w:r>
      <w:r>
        <w:rPr>
          <w:rFonts w:ascii="Arial" w:cs="Arial" w:eastAsia="Arial" w:hAnsi="Arial"/>
          <w:sz w:val="19"/>
          <w:szCs w:val="19"/>
          <w:u w:val="single" w:color="auto"/>
          <w:color w:val="auto"/>
        </w:rPr>
        <w:t>Section 2.11(a)</w:t>
      </w:r>
      <w:r>
        <w:rPr>
          <w:rFonts w:ascii="Arial" w:cs="Arial" w:eastAsia="Arial" w:hAnsi="Arial"/>
          <w:sz w:val="19"/>
          <w:szCs w:val="19"/>
          <w:color w:val="auto"/>
        </w:rPr>
        <w:t>, the Insurer shall deliver to the Company a Closing Asset Valuation in connection with its</w:t>
      </w:r>
    </w:p>
    <w:p>
      <w:pPr>
        <w:spacing w:after="0" w:line="56"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 xml:space="preserve">calculation of the Post-Closing Final Premium, with respect to [ *** ], in accordance with the methodologies set forth in </w:t>
      </w:r>
      <w:r>
        <w:rPr>
          <w:rFonts w:ascii="Arial" w:cs="Arial" w:eastAsia="Arial" w:hAnsi="Arial"/>
          <w:sz w:val="22"/>
          <w:szCs w:val="22"/>
          <w:u w:val="single" w:color="auto"/>
          <w:color w:val="auto"/>
        </w:rPr>
        <w:t>Appendix 2.6</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97" w:lineRule="auto"/>
        <w:tabs>
          <w:tab w:leader="none" w:pos="1142" w:val="left"/>
        </w:tabs>
        <w:numPr>
          <w:ilvl w:val="0"/>
          <w:numId w:val="96"/>
        </w:numPr>
        <w:rPr>
          <w:rFonts w:ascii="Arial" w:cs="Arial" w:eastAsia="Arial" w:hAnsi="Arial"/>
          <w:sz w:val="19"/>
          <w:szCs w:val="19"/>
          <w:color w:val="auto"/>
        </w:rPr>
      </w:pPr>
      <w:r>
        <w:rPr>
          <w:rFonts w:ascii="Arial" w:cs="Arial" w:eastAsia="Arial" w:hAnsi="Arial"/>
          <w:sz w:val="19"/>
          <w:szCs w:val="19"/>
          <w:color w:val="auto"/>
        </w:rPr>
        <w:t>From and after the Closing until the determination of the Post-Closing Final Premium, the Insurer will, in accordance with the Insurer's standard verification practices and procedures, review the Social Security Master Death file and the Lexis Nexis Accurint tool to attempt to determine if any Covered Lives or Contingent Lives are deceased. If either such data source indicates that a Covered Life or Contingent Life is deceased, the life will be deemed deceased, subject to the Insurer's standard verification practices and procedures. The Insurer will provide monthly updates of such mortality review.</w:t>
      </w:r>
    </w:p>
    <w:p>
      <w:pPr>
        <w:spacing w:after="0" w:line="187" w:lineRule="exact"/>
        <w:rPr>
          <w:rFonts w:ascii="Arial" w:cs="Arial" w:eastAsia="Arial" w:hAnsi="Arial"/>
          <w:sz w:val="19"/>
          <w:szCs w:val="19"/>
          <w:color w:val="auto"/>
        </w:rPr>
      </w:pPr>
    </w:p>
    <w:p>
      <w:pPr>
        <w:ind w:firstLine="656"/>
        <w:spacing w:after="0" w:line="263" w:lineRule="auto"/>
        <w:tabs>
          <w:tab w:leader="none" w:pos="1164" w:val="left"/>
        </w:tabs>
        <w:numPr>
          <w:ilvl w:val="0"/>
          <w:numId w:val="96"/>
        </w:numPr>
        <w:rPr>
          <w:rFonts w:ascii="Arial" w:cs="Arial" w:eastAsia="Arial" w:hAnsi="Arial"/>
          <w:sz w:val="22"/>
          <w:szCs w:val="22"/>
          <w:color w:val="auto"/>
        </w:rPr>
      </w:pPr>
      <w:r>
        <w:rPr>
          <w:rFonts w:ascii="Arial" w:cs="Arial" w:eastAsia="Arial" w:hAnsi="Arial"/>
          <w:sz w:val="22"/>
          <w:szCs w:val="22"/>
          <w:color w:val="auto"/>
        </w:rPr>
        <w:t>On or prior to the date that is 90 days following the Closing Date, but in no event earlier than March 1, 2013 (such date shall be the agreed upon Expected Data Finalization Date under the Group Annuity Contract):</w:t>
      </w:r>
    </w:p>
    <w:p>
      <w:pPr>
        <w:spacing w:after="0" w:line="215" w:lineRule="exact"/>
        <w:rPr>
          <w:sz w:val="20"/>
          <w:szCs w:val="20"/>
          <w:color w:val="auto"/>
        </w:rPr>
      </w:pPr>
    </w:p>
    <w:p>
      <w:pPr>
        <w:jc w:val="both"/>
        <w:ind w:left="660" w:firstLine="645"/>
        <w:spacing w:after="0" w:line="288" w:lineRule="auto"/>
        <w:tabs>
          <w:tab w:leader="none" w:pos="21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Insurer shall deliver to the Company a calculation of the Post-Closing Post-Solicitation Premium. The “</w:t>
      </w:r>
      <w:r>
        <w:rPr>
          <w:rFonts w:ascii="Arial" w:cs="Arial" w:eastAsia="Arial" w:hAnsi="Arial"/>
          <w:sz w:val="19"/>
          <w:szCs w:val="19"/>
          <w:u w:val="single" w:color="auto"/>
          <w:color w:val="auto"/>
        </w:rPr>
        <w:t>Post-Closing Post-Solicitation Premium</w:t>
      </w:r>
      <w:r>
        <w:rPr>
          <w:rFonts w:ascii="Arial" w:cs="Arial" w:eastAsia="Arial" w:hAnsi="Arial"/>
          <w:sz w:val="19"/>
          <w:szCs w:val="19"/>
          <w:color w:val="auto"/>
        </w:rPr>
        <w:t>” shall be an amount, calculated by the Insurer, equal to (</w:t>
      </w:r>
      <w:r>
        <w:rPr>
          <w:rFonts w:ascii="Arial" w:cs="Arial" w:eastAsia="Arial" w:hAnsi="Arial"/>
          <w:sz w:val="19"/>
          <w:szCs w:val="19"/>
          <w:u w:val="single" w:color="auto"/>
          <w:color w:val="auto"/>
        </w:rPr>
        <w:t>A</w:t>
      </w:r>
      <w:r>
        <w:rPr>
          <w:rFonts w:ascii="Arial" w:cs="Arial" w:eastAsia="Arial" w:hAnsi="Arial"/>
          <w:sz w:val="19"/>
          <w:szCs w:val="19"/>
          <w:color w:val="auto"/>
        </w:rPr>
        <w:t>) the Interim Post-Closing Post-Solicitation Premium, or if no Interim Post-Closing Post-Solicitation Premium was delivered, the Preliminary</w:t>
      </w:r>
    </w:p>
    <w:p>
      <w:pPr>
        <w:spacing w:after="0" w:line="1" w:lineRule="exact"/>
        <w:rPr>
          <w:sz w:val="20"/>
          <w:szCs w:val="20"/>
          <w:color w:val="auto"/>
        </w:rPr>
      </w:pPr>
    </w:p>
    <w:p>
      <w:pPr>
        <w:ind w:left="660"/>
        <w:spacing w:after="0" w:line="382" w:lineRule="auto"/>
        <w:rPr>
          <w:sz w:val="20"/>
          <w:szCs w:val="20"/>
          <w:color w:val="auto"/>
        </w:rPr>
      </w:pPr>
      <w:r>
        <w:rPr>
          <w:rFonts w:ascii="Arial" w:cs="Arial" w:eastAsia="Arial" w:hAnsi="Arial"/>
          <w:sz w:val="21"/>
          <w:szCs w:val="21"/>
          <w:color w:val="auto"/>
        </w:rPr>
        <w:t xml:space="preserve">Post-Solicitation Premium, </w:t>
      </w:r>
      <w:r>
        <w:rPr>
          <w:rFonts w:ascii="Arial" w:cs="Arial" w:eastAsia="Arial" w:hAnsi="Arial"/>
          <w:sz w:val="21"/>
          <w:szCs w:val="21"/>
          <w:i w:val="1"/>
          <w:iCs w:val="1"/>
          <w:color w:val="auto"/>
        </w:rPr>
        <w:t>minus</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the Final Single Life Mortality Correction, </w:t>
      </w:r>
      <w:r>
        <w:rPr>
          <w:rFonts w:ascii="Arial" w:cs="Arial" w:eastAsia="Arial" w:hAnsi="Arial"/>
          <w:sz w:val="21"/>
          <w:szCs w:val="21"/>
          <w:i w:val="1"/>
          <w:iCs w:val="1"/>
          <w:color w:val="auto"/>
        </w:rPr>
        <w:t>plus</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the Final [ *** ], </w:t>
      </w:r>
      <w:r>
        <w:rPr>
          <w:rFonts w:ascii="Arial" w:cs="Arial" w:eastAsia="Arial" w:hAnsi="Arial"/>
          <w:sz w:val="21"/>
          <w:szCs w:val="21"/>
          <w:i w:val="1"/>
          <w:iCs w:val="1"/>
          <w:color w:val="auto"/>
        </w:rPr>
        <w:t>plus</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the Final Additional Classification Error Correction, </w:t>
      </w:r>
      <w:r>
        <w:rPr>
          <w:rFonts w:ascii="Arial" w:cs="Arial" w:eastAsia="Arial" w:hAnsi="Arial"/>
          <w:sz w:val="21"/>
          <w:szCs w:val="21"/>
          <w:i w:val="1"/>
          <w:iCs w:val="1"/>
          <w:color w:val="auto"/>
        </w:rPr>
        <w:t>plus</w:t>
      </w:r>
      <w:r>
        <w:rPr>
          <w:rFonts w:ascii="Arial" w:cs="Arial" w:eastAsia="Arial" w:hAnsi="Arial"/>
          <w:sz w:val="21"/>
          <w:szCs w:val="21"/>
          <w:color w:val="auto"/>
        </w:rPr>
        <w:t xml:space="preserve"> (</w:t>
      </w:r>
      <w:r>
        <w:rPr>
          <w:rFonts w:ascii="Arial" w:cs="Arial" w:eastAsia="Arial" w:hAnsi="Arial"/>
          <w:sz w:val="21"/>
          <w:szCs w:val="21"/>
          <w:u w:val="single" w:color="auto"/>
          <w:color w:val="auto"/>
        </w:rPr>
        <w:t>E</w:t>
      </w:r>
      <w:r>
        <w:rPr>
          <w:rFonts w:ascii="Arial" w:cs="Arial" w:eastAsia="Arial" w:hAnsi="Arial"/>
          <w:sz w:val="21"/>
          <w:szCs w:val="21"/>
          <w:color w:val="auto"/>
        </w:rPr>
        <w:t>) the Final Benefit Amount Correction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doubt, the Final [ *** ], the Final Additional Classification Error Correction and the Final Benefit Amount Correction could be negative numbers);</w:t>
      </w:r>
    </w:p>
    <w:p>
      <w:pPr>
        <w:spacing w:after="0" w:line="215" w:lineRule="exact"/>
        <w:rPr>
          <w:sz w:val="20"/>
          <w:szCs w:val="20"/>
          <w:color w:val="auto"/>
        </w:rPr>
      </w:pPr>
    </w:p>
    <w:p>
      <w:pPr>
        <w:jc w:val="both"/>
        <w:ind w:left="660" w:firstLine="645"/>
        <w:spacing w:after="0" w:line="286" w:lineRule="auto"/>
        <w:tabs>
          <w:tab w:leader="none" w:pos="2221"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the Insurer shall calculate and deliver to the Company a calculation of the Post-Closing Final Premium in the form of </w:t>
      </w:r>
      <w:r>
        <w:rPr>
          <w:rFonts w:ascii="Arial" w:cs="Arial" w:eastAsia="Arial" w:hAnsi="Arial"/>
          <w:sz w:val="19"/>
          <w:szCs w:val="19"/>
          <w:u w:val="single" w:color="auto"/>
          <w:color w:val="auto"/>
        </w:rPr>
        <w:t>Appendix 2.7</w:t>
      </w:r>
      <w:r>
        <w:rPr>
          <w:rFonts w:ascii="Arial" w:cs="Arial" w:eastAsia="Arial" w:hAnsi="Arial"/>
          <w:sz w:val="19"/>
          <w:szCs w:val="19"/>
          <w:color w:val="auto"/>
        </w:rPr>
        <w:t xml:space="preserve"> (including a proposed Annuity Exhibit). The “</w:t>
      </w:r>
      <w:r>
        <w:rPr>
          <w:rFonts w:ascii="Arial" w:cs="Arial" w:eastAsia="Arial" w:hAnsi="Arial"/>
          <w:sz w:val="19"/>
          <w:szCs w:val="19"/>
          <w:u w:val="single" w:color="auto"/>
          <w:color w:val="auto"/>
        </w:rPr>
        <w:t>Post-Closing Final Premium</w:t>
      </w:r>
      <w:r>
        <w:rPr>
          <w:rFonts w:ascii="Arial" w:cs="Arial" w:eastAsia="Arial" w:hAnsi="Arial"/>
          <w:sz w:val="19"/>
          <w:szCs w:val="19"/>
          <w:color w:val="auto"/>
        </w:rPr>
        <w:t>” shall be equal to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Post-Closing Post-Solicitation Premium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100% plus the Closing Date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the sum of (</w:t>
      </w:r>
      <w:r>
        <w:rPr>
          <w:rFonts w:ascii="Arial" w:cs="Arial" w:eastAsia="Arial" w:hAnsi="Arial"/>
          <w:sz w:val="19"/>
          <w:szCs w:val="19"/>
          <w:u w:val="single" w:color="auto"/>
          <w:color w:val="auto"/>
        </w:rPr>
        <w:t>I</w:t>
      </w:r>
      <w:r>
        <w:rPr>
          <w:rFonts w:ascii="Arial" w:cs="Arial" w:eastAsia="Arial" w:hAnsi="Arial"/>
          <w:sz w:val="19"/>
          <w:szCs w:val="19"/>
          <w:color w:val="auto"/>
        </w:rPr>
        <w:t>) the Closing CMA Adjustment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Closing SCA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100% plus the Closing</w:t>
      </w:r>
    </w:p>
    <w:tbl>
      <w:tblPr>
        <w:tblLayout w:type="fixed"/>
        <w:tblInd w:w="660" w:type="dxa"/>
        <w:tblCellMar>
          <w:top w:w="0" w:type="dxa"/>
          <w:left w:w="0" w:type="dxa"/>
          <w:bottom w:w="0" w:type="dxa"/>
          <w:right w:w="0" w:type="dxa"/>
        </w:tblCellMar>
      </w:tblPr>
      <w:tr>
        <w:trPr>
          <w:trHeight w:val="209"/>
        </w:trPr>
        <w:tc>
          <w:tcPr>
            <w:tcW w:w="3540" w:type="dxa"/>
            <w:vAlign w:val="bottom"/>
            <w:gridSpan w:val="3"/>
          </w:tcPr>
          <w:p>
            <w:pPr>
              <w:spacing w:after="0" w:line="209" w:lineRule="exact"/>
              <w:rPr>
                <w:sz w:val="20"/>
                <w:szCs w:val="20"/>
                <w:color w:val="auto"/>
              </w:rPr>
            </w:pPr>
            <w:r>
              <w:rPr>
                <w:rFonts w:ascii="Arial" w:cs="Arial" w:eastAsia="Arial" w:hAnsi="Arial"/>
                <w:sz w:val="22"/>
                <w:szCs w:val="22"/>
                <w:color w:val="auto"/>
                <w:w w:val="93"/>
              </w:rPr>
              <w:t xml:space="preserve">PFS Adjustment, </w:t>
            </w:r>
            <w:r>
              <w:rPr>
                <w:rFonts w:ascii="Arial" w:cs="Arial" w:eastAsia="Arial" w:hAnsi="Arial"/>
                <w:sz w:val="22"/>
                <w:szCs w:val="22"/>
                <w:i w:val="1"/>
                <w:iCs w:val="1"/>
                <w:color w:val="auto"/>
                <w:w w:val="93"/>
              </w:rPr>
              <w:t>plus</w:t>
            </w:r>
            <w:r>
              <w:rPr>
                <w:rFonts w:ascii="Arial" w:cs="Arial" w:eastAsia="Arial" w:hAnsi="Arial"/>
                <w:sz w:val="22"/>
                <w:szCs w:val="22"/>
                <w:color w:val="auto"/>
                <w:w w:val="93"/>
              </w:rPr>
              <w:t xml:space="preserve"> (E) the Closing [</w:t>
            </w:r>
          </w:p>
        </w:tc>
        <w:tc>
          <w:tcPr>
            <w:tcW w:w="660" w:type="dxa"/>
            <w:vAlign w:val="bottom"/>
          </w:tcPr>
          <w:p>
            <w:pPr>
              <w:jc w:val="right"/>
              <w:ind w:right="72"/>
              <w:spacing w:after="0" w:line="209" w:lineRule="exact"/>
              <w:rPr>
                <w:sz w:val="20"/>
                <w:szCs w:val="20"/>
                <w:color w:val="auto"/>
              </w:rPr>
            </w:pPr>
            <w:r>
              <w:rPr>
                <w:rFonts w:ascii="Arial" w:cs="Arial" w:eastAsia="Arial" w:hAnsi="Arial"/>
                <w:sz w:val="22"/>
                <w:szCs w:val="22"/>
                <w:color w:val="auto"/>
              </w:rPr>
              <w:t>***</w:t>
            </w:r>
          </w:p>
        </w:tc>
        <w:tc>
          <w:tcPr>
            <w:tcW w:w="6260" w:type="dxa"/>
            <w:vAlign w:val="bottom"/>
            <w:gridSpan w:val="3"/>
          </w:tcPr>
          <w:p>
            <w:pPr>
              <w:ind w:left="240"/>
              <w:spacing w:after="0" w:line="209" w:lineRule="exact"/>
              <w:rPr>
                <w:sz w:val="20"/>
                <w:szCs w:val="20"/>
                <w:color w:val="auto"/>
              </w:rPr>
            </w:pPr>
            <w:r>
              <w:rPr>
                <w:rFonts w:ascii="Arial" w:cs="Arial" w:eastAsia="Arial" w:hAnsi="Arial"/>
                <w:sz w:val="22"/>
                <w:szCs w:val="22"/>
                <w:color w:val="auto"/>
                <w:w w:val="99"/>
              </w:rPr>
              <w:t xml:space="preserve">] Adjustment, </w:t>
            </w:r>
            <w:r>
              <w:rPr>
                <w:rFonts w:ascii="Arial" w:cs="Arial" w:eastAsia="Arial" w:hAnsi="Arial"/>
                <w:sz w:val="22"/>
                <w:szCs w:val="22"/>
                <w:i w:val="1"/>
                <w:iCs w:val="1"/>
                <w:color w:val="auto"/>
                <w:w w:val="99"/>
              </w:rPr>
              <w:t>plus</w:t>
            </w:r>
            <w:r>
              <w:rPr>
                <w:rFonts w:ascii="Arial" w:cs="Arial" w:eastAsia="Arial" w:hAnsi="Arial"/>
                <w:sz w:val="22"/>
                <w:szCs w:val="22"/>
                <w:color w:val="auto"/>
                <w:w w:val="99"/>
              </w:rPr>
              <w:t xml:space="preserve"> (F) the sum of the Incremental Interim [   ***</w:t>
            </w:r>
          </w:p>
        </w:tc>
        <w:tc>
          <w:tcPr>
            <w:tcW w:w="300" w:type="dxa"/>
            <w:vAlign w:val="bottom"/>
          </w:tcPr>
          <w:p>
            <w:pPr>
              <w:jc w:val="right"/>
              <w:spacing w:after="0" w:line="209" w:lineRule="exact"/>
              <w:rPr>
                <w:sz w:val="20"/>
                <w:szCs w:val="20"/>
                <w:color w:val="auto"/>
              </w:rPr>
            </w:pPr>
            <w:r>
              <w:rPr>
                <w:rFonts w:ascii="Arial" w:cs="Arial" w:eastAsia="Arial" w:hAnsi="Arial"/>
                <w:sz w:val="22"/>
                <w:szCs w:val="22"/>
                <w:color w:val="auto"/>
              </w:rPr>
              <w:t>]</w:t>
            </w:r>
          </w:p>
        </w:tc>
      </w:tr>
      <w:tr>
        <w:trPr>
          <w:trHeight w:val="20"/>
        </w:trPr>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87"/>
        </w:trPr>
        <w:tc>
          <w:tcPr>
            <w:tcW w:w="3540" w:type="dxa"/>
            <w:vAlign w:val="bottom"/>
            <w:gridSpan w:val="3"/>
          </w:tcPr>
          <w:p>
            <w:pPr>
              <w:spacing w:after="0"/>
              <w:rPr>
                <w:sz w:val="20"/>
                <w:szCs w:val="20"/>
                <w:color w:val="auto"/>
              </w:rPr>
            </w:pPr>
            <w:r>
              <w:rPr>
                <w:rFonts w:ascii="Arial" w:cs="Arial" w:eastAsia="Arial" w:hAnsi="Arial"/>
                <w:sz w:val="22"/>
                <w:szCs w:val="22"/>
                <w:color w:val="auto"/>
                <w:w w:val="93"/>
              </w:rPr>
              <w:t>Adjustment and the Incremental Final [</w:t>
            </w:r>
          </w:p>
        </w:tc>
        <w:tc>
          <w:tcPr>
            <w:tcW w:w="6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6260" w:type="dxa"/>
            <w:vAlign w:val="bottom"/>
            <w:gridSpan w:val="3"/>
          </w:tcPr>
          <w:p>
            <w:pPr>
              <w:ind w:left="180"/>
              <w:spacing w:after="0"/>
              <w:rPr>
                <w:sz w:val="20"/>
                <w:szCs w:val="20"/>
                <w:color w:val="auto"/>
              </w:rPr>
            </w:pPr>
            <w:r>
              <w:rPr>
                <w:rFonts w:ascii="Arial" w:cs="Arial" w:eastAsia="Arial" w:hAnsi="Arial"/>
                <w:sz w:val="22"/>
                <w:szCs w:val="22"/>
                <w:color w:val="auto"/>
              </w:rPr>
              <w:t>] Adjustment, and</w:t>
            </w:r>
          </w:p>
        </w:tc>
        <w:tc>
          <w:tcPr>
            <w:tcW w:w="300" w:type="dxa"/>
            <w:vAlign w:val="bottom"/>
          </w:tcPr>
          <w:p>
            <w:pPr>
              <w:spacing w:after="0"/>
              <w:rPr>
                <w:sz w:val="24"/>
                <w:szCs w:val="24"/>
                <w:color w:val="auto"/>
              </w:rPr>
            </w:pPr>
          </w:p>
        </w:tc>
      </w:tr>
    </w:tbl>
    <w:p>
      <w:pPr>
        <w:spacing w:after="0" w:line="239" w:lineRule="exact"/>
        <w:rPr>
          <w:sz w:val="20"/>
          <w:szCs w:val="20"/>
          <w:color w:val="auto"/>
        </w:rPr>
      </w:pPr>
    </w:p>
    <w:p>
      <w:pPr>
        <w:ind w:left="660" w:right="20" w:firstLine="645"/>
        <w:spacing w:after="0" w:line="263" w:lineRule="auto"/>
        <w:tabs>
          <w:tab w:leader="none" w:pos="2281"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Insurer shall produce and deliver to the Company and the Independent Third Party an updated Transferred Assets Schedule.</w:t>
      </w:r>
    </w:p>
    <w:p>
      <w:pPr>
        <w:spacing w:after="0" w:line="215" w:lineRule="exact"/>
        <w:rPr>
          <w:rFonts w:ascii="Arial" w:cs="Arial" w:eastAsia="Arial" w:hAnsi="Arial"/>
          <w:sz w:val="22"/>
          <w:szCs w:val="22"/>
          <w:color w:val="auto"/>
        </w:rPr>
      </w:pPr>
    </w:p>
    <w:p>
      <w:pPr>
        <w:jc w:val="both"/>
        <w:ind w:firstLine="656"/>
        <w:spacing w:after="0" w:line="312" w:lineRule="auto"/>
        <w:tabs>
          <w:tab w:leader="none" w:pos="116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Three (3) Business Days prior to the date of the Insurer's delivery of the Post-Closing Final Premium, the Company and the Insurer shall jointly direct the Independent Third Party to prepare a Post-Closing Final Premium, which it shall deliver to the Company and the Insurer on the same date that the Insurer delivers its calculation of the Post-Closing Final Premium.</w:t>
      </w:r>
    </w:p>
    <w:p>
      <w:pPr>
        <w:spacing w:after="0" w:line="13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Post-Closing Final Premium and Closing Asset Valuation Disputes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86" w:lineRule="auto"/>
        <w:tabs>
          <w:tab w:leader="none" w:pos="118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Within ten (10) days following the delivery by the Insurer of the calculation of the Post-Closing Final Premium in accordance with </w:t>
      </w:r>
      <w:r>
        <w:rPr>
          <w:rFonts w:ascii="Arial" w:cs="Arial" w:eastAsia="Arial" w:hAnsi="Arial"/>
          <w:sz w:val="19"/>
          <w:szCs w:val="19"/>
          <w:u w:val="single" w:color="auto"/>
          <w:color w:val="auto"/>
        </w:rPr>
        <w:t>Section 2.11(c)(ii)</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2.12(b)</w:t>
      </w:r>
      <w:r>
        <w:rPr>
          <w:rFonts w:ascii="Arial" w:cs="Arial" w:eastAsia="Arial" w:hAnsi="Arial"/>
          <w:sz w:val="19"/>
          <w:szCs w:val="19"/>
          <w:color w:val="auto"/>
        </w:rPr>
        <w:t>, (</w:t>
      </w:r>
      <w:r>
        <w:rPr>
          <w:rFonts w:ascii="Arial" w:cs="Arial" w:eastAsia="Arial" w:hAnsi="Arial"/>
          <w:sz w:val="19"/>
          <w:szCs w:val="19"/>
          <w:u w:val="single" w:color="auto"/>
          <w:color w:val="auto"/>
        </w:rPr>
        <w:t>i</w:t>
      </w:r>
      <w:r>
        <w:rPr>
          <w:rFonts w:ascii="Arial" w:cs="Arial" w:eastAsia="Arial" w:hAnsi="Arial"/>
          <w:sz w:val="19"/>
          <w:szCs w:val="19"/>
          <w:color w:val="auto"/>
        </w:rPr>
        <w:t>) the Company or the Insurer may dispute any component of the calculation of the Post-Closing Post-Solicitation Premium, the Post-Closing Final Premium, or any other item set forth in the calculation of the Post-Closing Final Premium (or any component of a prior calculation of the premium), including whether [</w:t>
      </w:r>
    </w:p>
    <w:p>
      <w:pPr>
        <w:spacing w:after="0" w:line="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 and any Single Life Mortality Corrections, [ *** ], Benefit Amount Corrections, and Signing and Additional Classification Errors; and (</w:t>
      </w:r>
      <w:r>
        <w:rPr>
          <w:rFonts w:ascii="Arial" w:cs="Arial" w:eastAsia="Arial" w:hAnsi="Arial"/>
          <w:sz w:val="22"/>
          <w:szCs w:val="22"/>
          <w:u w:val="single" w:color="auto"/>
          <w:color w:val="auto"/>
        </w:rPr>
        <w:t>ii</w:t>
      </w:r>
      <w:r>
        <w:rPr>
          <w:rFonts w:ascii="Arial" w:cs="Arial" w:eastAsia="Arial" w:hAnsi="Arial"/>
          <w:sz w:val="22"/>
          <w:szCs w:val="22"/>
          <w:color w:val="auto"/>
        </w:rPr>
        <w:t>) the Insurer may dispute the Closing Asset Valuation. Any such dispute (an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91" w:right="2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Arbitration Dispute</w:t>
      </w:r>
      <w:r>
        <w:rPr>
          <w:rFonts w:ascii="Arial" w:cs="Arial" w:eastAsia="Arial" w:hAnsi="Arial"/>
          <w:sz w:val="22"/>
          <w:szCs w:val="22"/>
          <w:color w:val="auto"/>
        </w:rPr>
        <w:t xml:space="preserve">”) shall be resolved in accordance with the procedures set forth in </w:t>
      </w:r>
      <w:r>
        <w:rPr>
          <w:rFonts w:ascii="Arial" w:cs="Arial" w:eastAsia="Arial" w:hAnsi="Arial"/>
          <w:sz w:val="22"/>
          <w:szCs w:val="22"/>
          <w:u w:val="single" w:color="auto"/>
          <w:color w:val="auto"/>
        </w:rPr>
        <w:t>Appendix 2.12</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88" w:lineRule="auto"/>
        <w:tabs>
          <w:tab w:leader="none" w:pos="114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Section 2.12(a), (i) if the Company shall have made the election set forth in clause (1) of </w:t>
      </w:r>
      <w:r>
        <w:rPr>
          <w:rFonts w:ascii="Arial" w:cs="Arial" w:eastAsia="Arial" w:hAnsi="Arial"/>
          <w:sz w:val="19"/>
          <w:szCs w:val="19"/>
          <w:u w:val="single" w:color="auto"/>
          <w:color w:val="auto"/>
        </w:rPr>
        <w:t>Section 2.9(e)</w:t>
      </w:r>
      <w:r>
        <w:rPr>
          <w:rFonts w:ascii="Arial" w:cs="Arial" w:eastAsia="Arial" w:hAnsi="Arial"/>
          <w:sz w:val="19"/>
          <w:szCs w:val="19"/>
          <w:color w:val="auto"/>
        </w:rPr>
        <w:t xml:space="preserve"> or clause (1) of </w:t>
      </w:r>
      <w:r>
        <w:rPr>
          <w:rFonts w:ascii="Arial" w:cs="Arial" w:eastAsia="Arial" w:hAnsi="Arial"/>
          <w:sz w:val="19"/>
          <w:szCs w:val="19"/>
          <w:u w:val="single" w:color="auto"/>
          <w:color w:val="auto"/>
        </w:rPr>
        <w:t>Section 2.9(f)</w:t>
      </w:r>
      <w:r>
        <w:rPr>
          <w:rFonts w:ascii="Arial" w:cs="Arial" w:eastAsia="Arial" w:hAnsi="Arial"/>
          <w:sz w:val="19"/>
          <w:szCs w:val="19"/>
          <w:color w:val="auto"/>
        </w:rPr>
        <w:t xml:space="preserve"> the Insurer shall not have the right to dispute any component of the calculation of the Post-Closing Post-Solicitation Premium, the Post-Closing Final Premium, or any other item set forth in the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calculation of the Post-Closing Final Premium (other than (A) whether an [ *** ], (B) the In-Kind Asset Information or (C) the Closing Asset Valuation) and (ii) the Company shall not have the right to dispute the Closing Asset Valuation.</w:t>
      </w:r>
    </w:p>
    <w:p>
      <w:pPr>
        <w:spacing w:after="0" w:line="233" w:lineRule="exact"/>
        <w:rPr>
          <w:sz w:val="20"/>
          <w:szCs w:val="20"/>
          <w:color w:val="auto"/>
        </w:rPr>
      </w:pPr>
    </w:p>
    <w:p>
      <w:pPr>
        <w:jc w:val="both"/>
        <w:ind w:firstLine="656"/>
        <w:spacing w:after="0" w:line="291" w:lineRule="auto"/>
        <w:tabs>
          <w:tab w:leader="none" w:pos="12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component of the calculation of (</w:t>
      </w:r>
      <w:r>
        <w:rPr>
          <w:rFonts w:ascii="Arial" w:cs="Arial" w:eastAsia="Arial" w:hAnsi="Arial"/>
          <w:sz w:val="19"/>
          <w:szCs w:val="19"/>
          <w:u w:val="single" w:color="auto"/>
          <w:color w:val="auto"/>
        </w:rPr>
        <w:t>i</w:t>
      </w:r>
      <w:r>
        <w:rPr>
          <w:rFonts w:ascii="Arial" w:cs="Arial" w:eastAsia="Arial" w:hAnsi="Arial"/>
          <w:sz w:val="19"/>
          <w:szCs w:val="19"/>
          <w:color w:val="auto"/>
        </w:rPr>
        <w:t>) the Post-Closing Post-Solicitation Premium or (</w:t>
      </w:r>
      <w:r>
        <w:rPr>
          <w:rFonts w:ascii="Arial" w:cs="Arial" w:eastAsia="Arial" w:hAnsi="Arial"/>
          <w:sz w:val="19"/>
          <w:szCs w:val="19"/>
          <w:u w:val="single" w:color="auto"/>
          <w:color w:val="auto"/>
        </w:rPr>
        <w:t>ii</w:t>
      </w:r>
      <w:r>
        <w:rPr>
          <w:rFonts w:ascii="Arial" w:cs="Arial" w:eastAsia="Arial" w:hAnsi="Arial"/>
          <w:sz w:val="19"/>
          <w:szCs w:val="19"/>
          <w:color w:val="auto"/>
        </w:rPr>
        <w:t>) the Post-Closing Final Premium, or any other item set forth in the calculation of the Post-Closing Final Premium, including the Closing Asset Valuation,</w:t>
      </w:r>
    </w:p>
    <w:p>
      <w:pPr>
        <w:spacing w:after="0" w:line="1" w:lineRule="exact"/>
        <w:rPr>
          <w:sz w:val="20"/>
          <w:szCs w:val="20"/>
          <w:color w:val="auto"/>
        </w:rPr>
      </w:pPr>
    </w:p>
    <w:p>
      <w:pPr>
        <w:spacing w:after="0"/>
        <w:tabs>
          <w:tab w:leader="none" w:pos="1580" w:val="left"/>
          <w:tab w:leader="none" w:pos="2280" w:val="left"/>
        </w:tabs>
        <w:rPr>
          <w:sz w:val="20"/>
          <w:szCs w:val="20"/>
          <w:color w:val="auto"/>
        </w:rPr>
      </w:pPr>
      <w:r>
        <w:rPr>
          <w:rFonts w:ascii="Arial" w:cs="Arial" w:eastAsia="Arial" w:hAnsi="Arial"/>
          <w:sz w:val="22"/>
          <w:szCs w:val="22"/>
          <w:color w:val="auto"/>
        </w:rPr>
        <w:t>or whether an [</w:t>
        <w:tab/>
        <w:t>***</w:t>
      </w:r>
      <w:r>
        <w:rPr>
          <w:sz w:val="20"/>
          <w:szCs w:val="20"/>
          <w:color w:val="auto"/>
        </w:rPr>
        <w:tab/>
      </w:r>
      <w:r>
        <w:rPr>
          <w:rFonts w:ascii="Arial" w:cs="Arial" w:eastAsia="Arial" w:hAnsi="Arial"/>
          <w:sz w:val="19"/>
          <w:szCs w:val="19"/>
          <w:color w:val="auto"/>
        </w:rPr>
        <w:t xml:space="preserve">] which is not disputed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shall be final and binding on the Parties.</w:t>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True-Up Payment Upon Resolution of Post-Closing Final Premium and Closing Asset Valuation Disputes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53" w:lineRule="auto"/>
        <w:tabs>
          <w:tab w:leader="none" w:pos="113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By the earlier of (</w:t>
      </w:r>
      <w:r>
        <w:rPr>
          <w:rFonts w:ascii="Arial" w:cs="Arial" w:eastAsia="Arial" w:hAnsi="Arial"/>
          <w:sz w:val="22"/>
          <w:szCs w:val="22"/>
          <w:u w:val="single" w:color="auto"/>
          <w:color w:val="auto"/>
        </w:rPr>
        <w:t>x</w:t>
      </w:r>
      <w:r>
        <w:rPr>
          <w:rFonts w:ascii="Arial" w:cs="Arial" w:eastAsia="Arial" w:hAnsi="Arial"/>
          <w:sz w:val="22"/>
          <w:szCs w:val="22"/>
          <w:color w:val="auto"/>
        </w:rPr>
        <w:t xml:space="preserve">) the date that is five (5) Business Days following the final resolution of all disputes in accordance with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y</w:t>
      </w:r>
      <w:r>
        <w:rPr>
          <w:rFonts w:ascii="Arial" w:cs="Arial" w:eastAsia="Arial" w:hAnsi="Arial"/>
          <w:sz w:val="22"/>
          <w:szCs w:val="22"/>
          <w:color w:val="auto"/>
        </w:rPr>
        <w:t>) the later of the date that is (</w:t>
      </w:r>
      <w:r>
        <w:rPr>
          <w:rFonts w:ascii="Arial" w:cs="Arial" w:eastAsia="Arial" w:hAnsi="Arial"/>
          <w:sz w:val="22"/>
          <w:szCs w:val="22"/>
          <w:u w:val="single" w:color="auto"/>
          <w:color w:val="auto"/>
        </w:rPr>
        <w:t>1</w:t>
      </w:r>
      <w:r>
        <w:rPr>
          <w:rFonts w:ascii="Arial" w:cs="Arial" w:eastAsia="Arial" w:hAnsi="Arial"/>
          <w:sz w:val="22"/>
          <w:szCs w:val="22"/>
          <w:color w:val="auto"/>
        </w:rPr>
        <w:t>) 175 days following the end of the PBGC Review Period and (</w:t>
      </w:r>
      <w:r>
        <w:rPr>
          <w:rFonts w:ascii="Arial" w:cs="Arial" w:eastAsia="Arial" w:hAnsi="Arial"/>
          <w:sz w:val="22"/>
          <w:szCs w:val="22"/>
          <w:u w:val="single" w:color="auto"/>
          <w:color w:val="auto"/>
        </w:rPr>
        <w:t>2</w:t>
      </w:r>
      <w:r>
        <w:rPr>
          <w:rFonts w:ascii="Arial" w:cs="Arial" w:eastAsia="Arial" w:hAnsi="Arial"/>
          <w:sz w:val="22"/>
          <w:szCs w:val="22"/>
          <w:color w:val="auto"/>
        </w:rPr>
        <w:t>) 145 days following the Closing Date:</w:t>
      </w:r>
    </w:p>
    <w:p>
      <w:pPr>
        <w:spacing w:after="0" w:line="226" w:lineRule="exact"/>
        <w:rPr>
          <w:rFonts w:ascii="Arial" w:cs="Arial" w:eastAsia="Arial" w:hAnsi="Arial"/>
          <w:sz w:val="22"/>
          <w:szCs w:val="22"/>
          <w:color w:val="auto"/>
        </w:rPr>
      </w:pPr>
    </w:p>
    <w:p>
      <w:pPr>
        <w:jc w:val="both"/>
        <w:ind w:left="660" w:firstLine="645"/>
        <w:spacing w:after="0" w:line="291" w:lineRule="auto"/>
        <w:tabs>
          <w:tab w:leader="none" w:pos="1752"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if (A) the sum of (</w:t>
      </w:r>
      <w:r>
        <w:rPr>
          <w:rFonts w:ascii="Arial" w:cs="Arial" w:eastAsia="Arial" w:hAnsi="Arial"/>
          <w:sz w:val="19"/>
          <w:szCs w:val="19"/>
          <w:u w:val="single" w:color="auto"/>
          <w:color w:val="auto"/>
        </w:rPr>
        <w:t>x</w:t>
      </w:r>
      <w:r>
        <w:rPr>
          <w:rFonts w:ascii="Arial" w:cs="Arial" w:eastAsia="Arial" w:hAnsi="Arial"/>
          <w:sz w:val="19"/>
          <w:szCs w:val="19"/>
          <w:color w:val="auto"/>
        </w:rPr>
        <w:t xml:space="preserve">) the aggregate Closing Asset Valuation of the assets in the Final Plan Portfolio (as may be adjusted following the resolution of disputes in accordance with </w:t>
      </w:r>
      <w:r>
        <w:rPr>
          <w:rFonts w:ascii="Arial" w:cs="Arial" w:eastAsia="Arial" w:hAnsi="Arial"/>
          <w:sz w:val="19"/>
          <w:szCs w:val="19"/>
          <w:u w:val="single" w:color="auto"/>
          <w:color w:val="auto"/>
        </w:rPr>
        <w:t>Section 2.12(a)</w:t>
      </w:r>
      <w:r>
        <w:rPr>
          <w:rFonts w:ascii="Arial" w:cs="Arial" w:eastAsia="Arial" w:hAnsi="Arial"/>
          <w:sz w:val="19"/>
          <w:szCs w:val="19"/>
          <w:color w:val="auto"/>
        </w:rPr>
        <w:t>) and (</w:t>
      </w:r>
      <w:r>
        <w:rPr>
          <w:rFonts w:ascii="Arial" w:cs="Arial" w:eastAsia="Arial" w:hAnsi="Arial"/>
          <w:sz w:val="19"/>
          <w:szCs w:val="19"/>
          <w:u w:val="single" w:color="auto"/>
          <w:color w:val="auto"/>
        </w:rPr>
        <w:t>y</w:t>
      </w:r>
      <w:r>
        <w:rPr>
          <w:rFonts w:ascii="Arial" w:cs="Arial" w:eastAsia="Arial" w:hAnsi="Arial"/>
          <w:sz w:val="19"/>
          <w:szCs w:val="19"/>
          <w:color w:val="auto"/>
        </w:rPr>
        <w:t>) the amount of the Cash Closing</w:t>
      </w:r>
    </w:p>
    <w:p>
      <w:pPr>
        <w:spacing w:after="0" w:line="1"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 xml:space="preserve">Payment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 *** ], if any, </w:t>
      </w:r>
      <w:r>
        <w:rPr>
          <w:rFonts w:ascii="Arial" w:cs="Arial" w:eastAsia="Arial" w:hAnsi="Arial"/>
          <w:sz w:val="22"/>
          <w:szCs w:val="22"/>
          <w:i w:val="1"/>
          <w:iCs w:val="1"/>
          <w:color w:val="auto"/>
        </w:rPr>
        <w:t>plus</w:t>
      </w:r>
      <w:r>
        <w:rPr>
          <w:rFonts w:ascii="Arial" w:cs="Arial" w:eastAsia="Arial" w:hAnsi="Arial"/>
          <w:sz w:val="22"/>
          <w:szCs w:val="22"/>
          <w:color w:val="auto"/>
        </w:rPr>
        <w:t xml:space="preserve"> (C) the Interim Post-Closing Plan Payment, exceeds the amount of the Post-Closing Final Premium (as may be adjusted following the resolution of any disputes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2.12(a)</w:t>
      </w:r>
      <w:r>
        <w:rPr>
          <w:rFonts w:ascii="Arial" w:cs="Arial" w:eastAsia="Arial" w:hAnsi="Arial"/>
          <w:sz w:val="22"/>
          <w:szCs w:val="22"/>
          <w:color w:val="auto"/>
        </w:rPr>
        <w:t xml:space="preserve">), if any, then, subject to the execution by the Plan Trustee of an amendment of the Group Annuity Contract in connection with </w:t>
      </w:r>
      <w:r>
        <w:rPr>
          <w:rFonts w:ascii="Arial" w:cs="Arial" w:eastAsia="Arial" w:hAnsi="Arial"/>
          <w:sz w:val="22"/>
          <w:szCs w:val="22"/>
          <w:u w:val="single" w:color="auto"/>
          <w:color w:val="auto"/>
        </w:rPr>
        <w:t>Section 2.19</w:t>
      </w:r>
      <w:r>
        <w:rPr>
          <w:rFonts w:ascii="Arial" w:cs="Arial" w:eastAsia="Arial" w:hAnsi="Arial"/>
          <w:sz w:val="22"/>
          <w:szCs w:val="22"/>
          <w:color w:val="auto"/>
        </w:rPr>
        <w:t>, either Insurer Parent or the Insurer shall pay to the Plan Trustee an amount, in Cash, equal to such excess; and</w:t>
      </w:r>
    </w:p>
    <w:p>
      <w:pPr>
        <w:spacing w:after="0" w:line="236" w:lineRule="exact"/>
        <w:rPr>
          <w:sz w:val="20"/>
          <w:szCs w:val="20"/>
          <w:color w:val="auto"/>
        </w:rPr>
      </w:pPr>
    </w:p>
    <w:p>
      <w:pPr>
        <w:jc w:val="both"/>
        <w:ind w:left="660" w:firstLine="645"/>
        <w:spacing w:after="0" w:line="260" w:lineRule="auto"/>
        <w:tabs>
          <w:tab w:leader="none" w:pos="1913" w:val="left"/>
        </w:tabs>
        <w:numPr>
          <w:ilvl w:val="2"/>
          <w:numId w:val="105"/>
        </w:numPr>
        <w:rPr>
          <w:rFonts w:ascii="Arial" w:cs="Arial" w:eastAsia="Arial" w:hAnsi="Arial"/>
          <w:sz w:val="21"/>
          <w:szCs w:val="21"/>
          <w:color w:val="auto"/>
        </w:rPr>
      </w:pPr>
      <w:r>
        <w:rPr>
          <w:rFonts w:ascii="Arial" w:cs="Arial" w:eastAsia="Arial" w:hAnsi="Arial"/>
          <w:sz w:val="21"/>
          <w:szCs w:val="21"/>
          <w:color w:val="auto"/>
        </w:rPr>
        <w:t xml:space="preserve">if (A) the amount of the Post-Closing Final Premium (as adjusted following the resolution of disputes in accordance with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Interim Post-Closing Insurer Payment, if any, </w:t>
      </w:r>
      <w:r>
        <w:rPr>
          <w:rFonts w:ascii="Arial" w:cs="Arial" w:eastAsia="Arial" w:hAnsi="Arial"/>
          <w:sz w:val="21"/>
          <w:szCs w:val="21"/>
          <w:i w:val="1"/>
          <w:iCs w:val="1"/>
          <w:color w:val="auto"/>
        </w:rPr>
        <w:t>minus</w:t>
      </w:r>
      <w:r>
        <w:rPr>
          <w:rFonts w:ascii="Arial" w:cs="Arial" w:eastAsia="Arial" w:hAnsi="Arial"/>
          <w:sz w:val="21"/>
          <w:szCs w:val="21"/>
          <w:color w:val="auto"/>
        </w:rPr>
        <w:t xml:space="preserve"> (C) the Interim Post-Closing Plan Payment, exceeds the sum of (</w:t>
      </w:r>
      <w:r>
        <w:rPr>
          <w:rFonts w:ascii="Arial" w:cs="Arial" w:eastAsia="Arial" w:hAnsi="Arial"/>
          <w:sz w:val="21"/>
          <w:szCs w:val="21"/>
          <w:u w:val="single" w:color="auto"/>
          <w:color w:val="auto"/>
        </w:rPr>
        <w:t>x</w:t>
      </w:r>
      <w:r>
        <w:rPr>
          <w:rFonts w:ascii="Arial" w:cs="Arial" w:eastAsia="Arial" w:hAnsi="Arial"/>
          <w:sz w:val="21"/>
          <w:szCs w:val="21"/>
          <w:color w:val="auto"/>
        </w:rPr>
        <w:t xml:space="preserve">) the aggregate Closing Asset Valuation of the assets in the Final Plan Portfolio (as may be adjusted following the resolution of any disputes in accordance with </w:t>
      </w:r>
      <w:r>
        <w:rPr>
          <w:rFonts w:ascii="Arial" w:cs="Arial" w:eastAsia="Arial" w:hAnsi="Arial"/>
          <w:sz w:val="21"/>
          <w:szCs w:val="21"/>
          <w:u w:val="single" w:color="auto"/>
          <w:color w:val="auto"/>
        </w:rPr>
        <w:t>Section 2.12(a)</w:t>
      </w:r>
      <w:r>
        <w:rPr>
          <w:rFonts w:ascii="Arial" w:cs="Arial" w:eastAsia="Arial" w:hAnsi="Arial"/>
          <w:sz w:val="21"/>
          <w:szCs w:val="21"/>
          <w:color w:val="auto"/>
        </w:rPr>
        <w:t>) and (</w:t>
      </w:r>
      <w:r>
        <w:rPr>
          <w:rFonts w:ascii="Arial" w:cs="Arial" w:eastAsia="Arial" w:hAnsi="Arial"/>
          <w:sz w:val="21"/>
          <w:szCs w:val="21"/>
          <w:u w:val="single" w:color="auto"/>
          <w:color w:val="auto"/>
        </w:rPr>
        <w:t>y</w:t>
      </w:r>
      <w:r>
        <w:rPr>
          <w:rFonts w:ascii="Arial" w:cs="Arial" w:eastAsia="Arial" w:hAnsi="Arial"/>
          <w:sz w:val="21"/>
          <w:szCs w:val="21"/>
          <w:color w:val="auto"/>
        </w:rPr>
        <w:t xml:space="preserve">) the amount of the Cash Closing Payment, then, subject to the execution by the Insurer of an amendment of the Group Annuity Contract in connection with </w:t>
      </w:r>
      <w:r>
        <w:rPr>
          <w:rFonts w:ascii="Arial" w:cs="Arial" w:eastAsia="Arial" w:hAnsi="Arial"/>
          <w:sz w:val="21"/>
          <w:szCs w:val="21"/>
          <w:u w:val="single" w:color="auto"/>
          <w:color w:val="auto"/>
        </w:rPr>
        <w:t>Section 2.19</w:t>
      </w:r>
      <w:r>
        <w:rPr>
          <w:rFonts w:ascii="Arial" w:cs="Arial" w:eastAsia="Arial" w:hAnsi="Arial"/>
          <w:sz w:val="21"/>
          <w:szCs w:val="21"/>
          <w:color w:val="auto"/>
        </w:rPr>
        <w:t>, the Independent Fiduciary shall irrevocably direct the Plan Trustee to pay to the Insurer, an amount, in Cash, equal to such.</w:t>
      </w:r>
    </w:p>
    <w:p>
      <w:pPr>
        <w:spacing w:after="0" w:line="221" w:lineRule="exact"/>
        <w:rPr>
          <w:rFonts w:ascii="Arial" w:cs="Arial" w:eastAsia="Arial" w:hAnsi="Arial"/>
          <w:sz w:val="21"/>
          <w:szCs w:val="21"/>
          <w:color w:val="auto"/>
        </w:rPr>
      </w:pPr>
    </w:p>
    <w:p>
      <w:pPr>
        <w:jc w:val="both"/>
        <w:ind w:firstLine="656"/>
        <w:spacing w:after="0" w:line="271" w:lineRule="auto"/>
        <w:tabs>
          <w:tab w:leader="none" w:pos="1187" w:val="left"/>
        </w:tabs>
        <w:numPr>
          <w:ilvl w:val="1"/>
          <w:numId w:val="106"/>
        </w:numPr>
        <w:rPr>
          <w:rFonts w:ascii="Arial" w:cs="Arial" w:eastAsia="Arial" w:hAnsi="Arial"/>
          <w:sz w:val="21"/>
          <w:szCs w:val="21"/>
          <w:color w:val="auto"/>
        </w:rPr>
      </w:pPr>
      <w:r>
        <w:rPr>
          <w:rFonts w:ascii="Arial" w:cs="Arial" w:eastAsia="Arial" w:hAnsi="Arial"/>
          <w:sz w:val="21"/>
          <w:szCs w:val="21"/>
          <w:color w:val="auto"/>
        </w:rPr>
        <w:t xml:space="preserve">The Company shall make available to the Plan, Cash in the amount necessary to enable the Plan Trustee to pay all amounts that it is directed to pay to the Insurer by the Independent Fiduciary pursuant to this </w:t>
      </w:r>
      <w:r>
        <w:rPr>
          <w:rFonts w:ascii="Arial" w:cs="Arial" w:eastAsia="Arial" w:hAnsi="Arial"/>
          <w:sz w:val="21"/>
          <w:szCs w:val="21"/>
          <w:u w:val="single" w:color="auto"/>
          <w:color w:val="auto"/>
        </w:rPr>
        <w:t>Section 2.13</w:t>
      </w:r>
      <w:r>
        <w:rPr>
          <w:rFonts w:ascii="Arial" w:cs="Arial" w:eastAsia="Arial" w:hAnsi="Arial"/>
          <w:sz w:val="21"/>
          <w:szCs w:val="21"/>
          <w:color w:val="auto"/>
        </w:rPr>
        <w:t>. The Plan Trustee shall unconditionally pay all such amounts to the Insurer pursuant to the Plan Trustee Agreement.</w:t>
      </w:r>
    </w:p>
    <w:p>
      <w:pPr>
        <w:spacing w:after="0" w:line="161" w:lineRule="exact"/>
        <w:rPr>
          <w:rFonts w:ascii="Arial" w:cs="Arial" w:eastAsia="Arial" w:hAnsi="Arial"/>
          <w:sz w:val="21"/>
          <w:szCs w:val="21"/>
          <w:color w:val="auto"/>
        </w:rPr>
      </w:pPr>
    </w:p>
    <w:p>
      <w:pPr>
        <w:ind w:left="400" w:hanging="392"/>
        <w:spacing w:after="0"/>
        <w:tabs>
          <w:tab w:leader="none" w:pos="40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TCF</w:t>
      </w:r>
    </w:p>
    <w:p>
      <w:pPr>
        <w:spacing w:after="0" w:line="23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TCF</w:t>
      </w:r>
      <w:r>
        <w:rPr>
          <w:rFonts w:ascii="Arial" w:cs="Arial" w:eastAsia="Arial" w:hAnsi="Arial"/>
          <w:sz w:val="19"/>
          <w:szCs w:val="19"/>
          <w:color w:val="auto"/>
        </w:rPr>
        <w:t>.</w:t>
      </w:r>
    </w:p>
    <w:p>
      <w:pPr>
        <w:spacing w:after="0" w:line="260" w:lineRule="exact"/>
        <w:rPr>
          <w:sz w:val="20"/>
          <w:szCs w:val="20"/>
          <w:color w:val="auto"/>
        </w:rPr>
      </w:pPr>
    </w:p>
    <w:p>
      <w:pPr>
        <w:ind w:left="1540" w:hanging="884"/>
        <w:spacing w:after="0"/>
        <w:tabs>
          <w:tab w:leader="none" w:pos="15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Company shall deposit into the Escrow Account, by wire transfer of immediately available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91" w:right="239" w:bottom="1440" w:gutter="0" w:footer="0" w:header="0"/>
        </w:sectPr>
      </w:pPr>
    </w:p>
    <w:bookmarkStart w:id="131" w:name="page132"/>
    <w:bookmarkEnd w:id="131"/>
    <w:p>
      <w:pPr>
        <w:jc w:val="both"/>
        <w:spacing w:after="0" w:line="253" w:lineRule="auto"/>
        <w:rPr>
          <w:sz w:val="20"/>
          <w:szCs w:val="20"/>
          <w:color w:val="auto"/>
        </w:rPr>
      </w:pPr>
      <w:r>
        <w:rPr>
          <w:rFonts w:ascii="Arial" w:cs="Arial" w:eastAsia="Arial" w:hAnsi="Arial"/>
          <w:sz w:val="22"/>
          <w:szCs w:val="22"/>
          <w:color w:val="auto"/>
        </w:rPr>
        <w:t xml:space="preserve">funds, the TCF on the Business Day following the DTFA Execution Date and the 5th Business Day of each calendar month thereafter (starting in July of 2012), until the earlier to occur of the Closing Date and the termination of this Agreement in accordance with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X.</w:t>
      </w:r>
    </w:p>
    <w:p>
      <w:pPr>
        <w:spacing w:after="0" w:line="226" w:lineRule="exact"/>
        <w:rPr>
          <w:sz w:val="20"/>
          <w:szCs w:val="20"/>
          <w:color w:val="auto"/>
        </w:rPr>
      </w:pPr>
    </w:p>
    <w:p>
      <w:pPr>
        <w:ind w:firstLine="656"/>
        <w:spacing w:after="0" w:line="263" w:lineRule="auto"/>
        <w:tabs>
          <w:tab w:leader="none" w:pos="1549" w:val="left"/>
        </w:tabs>
        <w:numPr>
          <w:ilvl w:val="1"/>
          <w:numId w:val="109"/>
        </w:numPr>
        <w:rPr>
          <w:rFonts w:ascii="Arial" w:cs="Arial" w:eastAsia="Arial" w:hAnsi="Arial"/>
          <w:sz w:val="22"/>
          <w:szCs w:val="22"/>
          <w:color w:val="auto"/>
        </w:rPr>
      </w:pPr>
      <w:r>
        <w:rPr>
          <w:rFonts w:ascii="Arial" w:cs="Arial" w:eastAsia="Arial" w:hAnsi="Arial"/>
          <w:sz w:val="22"/>
          <w:szCs w:val="22"/>
          <w:color w:val="auto"/>
        </w:rPr>
        <w:t>The Company shall pay any and all fees and other amounts that may become due and payable to the Escrow Agent pursuant to the Escrow Agreement.</w:t>
      </w:r>
    </w:p>
    <w:p>
      <w:pPr>
        <w:spacing w:after="0" w:line="384" w:lineRule="exact"/>
        <w:rPr>
          <w:rFonts w:ascii="Arial" w:cs="Arial" w:eastAsia="Arial" w:hAnsi="Arial"/>
          <w:sz w:val="22"/>
          <w:szCs w:val="22"/>
          <w:color w:val="auto"/>
        </w:rPr>
      </w:pPr>
    </w:p>
    <w:p>
      <w:pPr>
        <w:ind w:left="380" w:hanging="372"/>
        <w:spacing w:after="0"/>
        <w:tabs>
          <w:tab w:leader="none" w:pos="38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Section 2.15 Access and Cooperation. The Company, the Insurer and their respective Representatives will be entitled to reasonable access during normal business hours to examine and be provided copies of (a) the work papers and files related to the preparation of, or support for, the calculations and valuations contemplated by this Article II, including any such work papers or files related to POINT and (b) the relevant books and records of the Insurer or the Company, as applicable, and to discuss with the Insurer's or the Company's, as applicable, employees and Representatives involved with respect thereto; provided, however, that notwithstanding anything to the contrary set forth herein, other than as set forth in Section 11.7, the Company and its Representatives shall not have access to the Insurer Provided Life-by-Life Information or any work papers or other information that discloses or reveals Insurer Provided Life-by-Life Information, nor shall the Company or any of its Representatives attempt to derive, directly or indirectly, Insurer Provided Life-by-Life Information from any other information provided to the Company, the Company's Affiliates or Representatives or the Company's Affiliates' Representatives. Should, notwithstanding the foregoing, the Company or any of its Representatives obtain Insurer Provided Life-by-Life Information, whether directly or indirectly, or through a process of derivation, they hereby agree to transfer any rights in such information to the Insurer.</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Data Updates</w:t>
      </w:r>
      <w:r>
        <w:rPr>
          <w:rFonts w:ascii="Arial" w:cs="Arial" w:eastAsia="Arial" w:hAnsi="Arial"/>
          <w:sz w:val="22"/>
          <w:szCs w:val="22"/>
          <w:color w:val="auto"/>
        </w:rPr>
        <w:t>. The Insurer shall have reasonable access to all updates to data, including benefit amounts, benefit forms, dates of birth, dates of death, gender, and lives missing from the original data provided by Towers Watson that relate to the premium payable to the Insurer, in each case limited to data in connection with Priced Lives who are Covered Lives, Contingent Lives and Beneficiaries.</w:t>
      </w:r>
    </w:p>
    <w:p>
      <w:pPr>
        <w:spacing w:after="0" w:line="200" w:lineRule="exact"/>
        <w:rPr>
          <w:sz w:val="20"/>
          <w:szCs w:val="20"/>
          <w:color w:val="auto"/>
        </w:rPr>
      </w:pPr>
    </w:p>
    <w:p>
      <w:pPr>
        <w:spacing w:after="0" w:line="2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Business Day Adjustments</w:t>
      </w:r>
      <w:r>
        <w:rPr>
          <w:rFonts w:ascii="Arial" w:cs="Arial" w:eastAsia="Arial" w:hAnsi="Arial"/>
          <w:sz w:val="22"/>
          <w:szCs w:val="22"/>
          <w:color w:val="auto"/>
        </w:rPr>
        <w:t xml:space="preserve">. If any calculation set forth in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is to be performed as of a day that is not a Business Day, such calculation shall be performed as of the immediately preceding Business Day.</w:t>
      </w:r>
    </w:p>
    <w:p>
      <w:pPr>
        <w:spacing w:after="0" w:line="3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Adjustment to the Target Closing Date</w:t>
      </w:r>
      <w:r>
        <w:rPr>
          <w:rFonts w:ascii="Arial" w:cs="Arial" w:eastAsia="Arial" w:hAnsi="Arial"/>
          <w:sz w:val="22"/>
          <w:szCs w:val="22"/>
          <w:color w:val="auto"/>
        </w:rPr>
        <w:t>. If subsequent to the calculation or delivery of a calculation or other deliverable that was required to be performed or delivered as of, on or prior to a day that is some number of days prior to the Target Closing Date, the Target Closing Date is adjusted so that it is a later date, the applicable Party shall re-calculate or deliver such calculation or other deliverable as of, on or prior, as applicable, to such number of days prior to the Target Closing Date as so adjusted.</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2.19</w:t>
      </w:r>
      <w:r>
        <w:rPr>
          <w:sz w:val="20"/>
          <w:szCs w:val="20"/>
          <w:color w:val="auto"/>
        </w:rPr>
        <w:tab/>
      </w:r>
      <w:r>
        <w:rPr>
          <w:rFonts w:ascii="Arial" w:cs="Arial" w:eastAsia="Arial" w:hAnsi="Arial"/>
          <w:sz w:val="19"/>
          <w:szCs w:val="19"/>
          <w:u w:val="single" w:color="auto"/>
          <w:color w:val="auto"/>
        </w:rPr>
        <w:t>Amendments to the Group Annuity Contract</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48" w:lineRule="auto"/>
        <w:tabs>
          <w:tab w:leader="none" w:pos="153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Within five Business Days following the delivery by the Insurer of the calculation of the Interim Post-Closing Final Premium, the Insurer shall amend the Group Annuity Contract, and the Independent Fiduciary shall irrevocably direct the Plan Trustee to amend the Group Annuity Contract, in each case, to reflect any differences between (</w:t>
      </w:r>
      <w:r>
        <w:rPr>
          <w:rFonts w:ascii="Arial" w:cs="Arial" w:eastAsia="Arial" w:hAnsi="Arial"/>
          <w:sz w:val="22"/>
          <w:szCs w:val="22"/>
          <w:u w:val="single" w:color="auto"/>
          <w:color w:val="auto"/>
        </w:rPr>
        <w:t>A</w:t>
      </w:r>
      <w:r>
        <w:rPr>
          <w:rFonts w:ascii="Arial" w:cs="Arial" w:eastAsia="Arial" w:hAnsi="Arial"/>
          <w:sz w:val="22"/>
          <w:szCs w:val="22"/>
          <w:color w:val="auto"/>
        </w:rPr>
        <w:t>) the amount of the Interim Post-Closing Final Premium and the amount of the Closing Final Premium, (</w:t>
      </w:r>
      <w:r>
        <w:rPr>
          <w:rFonts w:ascii="Arial" w:cs="Arial" w:eastAsia="Arial" w:hAnsi="Arial"/>
          <w:sz w:val="22"/>
          <w:szCs w:val="22"/>
          <w:u w:val="single" w:color="auto"/>
          <w:color w:val="auto"/>
        </w:rPr>
        <w:t>B</w:t>
      </w:r>
      <w:r>
        <w:rPr>
          <w:rFonts w:ascii="Arial" w:cs="Arial" w:eastAsia="Arial" w:hAnsi="Arial"/>
          <w:sz w:val="22"/>
          <w:szCs w:val="22"/>
          <w:color w:val="auto"/>
        </w:rPr>
        <w:t>) the Annuity Exhibit delivered in connection with the calculation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1" w:right="239" w:bottom="1440" w:gutter="0" w:footer="0" w:header="0"/>
        </w:sectPr>
      </w:pPr>
    </w:p>
    <w:bookmarkStart w:id="132" w:name="page133"/>
    <w:bookmarkEnd w:id="132"/>
    <w:p>
      <w:pPr>
        <w:jc w:val="both"/>
        <w:spacing w:after="0" w:line="271" w:lineRule="auto"/>
        <w:rPr>
          <w:sz w:val="20"/>
          <w:szCs w:val="20"/>
          <w:color w:val="auto"/>
        </w:rPr>
      </w:pPr>
      <w:r>
        <w:rPr>
          <w:rFonts w:ascii="Arial" w:cs="Arial" w:eastAsia="Arial" w:hAnsi="Arial"/>
          <w:sz w:val="21"/>
          <w:szCs w:val="21"/>
          <w:color w:val="auto"/>
        </w:rPr>
        <w:t>of the Interim Post-Closing Final Premium and the Annuity Exhibit delivered in connection with the delivery of calculation of the Closing Final Premium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the Transferred Assets Schedule delivered in connection with the calculation of the Interim Post-Closing Final Premium and the Transferred Assets Schedule delivered pursuant to </w:t>
      </w:r>
      <w:r>
        <w:rPr>
          <w:rFonts w:ascii="Arial" w:cs="Arial" w:eastAsia="Arial" w:hAnsi="Arial"/>
          <w:sz w:val="21"/>
          <w:szCs w:val="21"/>
          <w:u w:val="single" w:color="auto"/>
          <w:color w:val="auto"/>
        </w:rPr>
        <w:t>Section 2.9(a)</w:t>
      </w:r>
      <w:r>
        <w:rPr>
          <w:rFonts w:ascii="Arial" w:cs="Arial" w:eastAsia="Arial" w:hAnsi="Arial"/>
          <w:sz w:val="21"/>
          <w:szCs w:val="21"/>
          <w:color w:val="auto"/>
        </w:rPr>
        <w:t>.</w:t>
      </w:r>
    </w:p>
    <w:p>
      <w:pPr>
        <w:spacing w:after="0" w:line="208" w:lineRule="exact"/>
        <w:rPr>
          <w:sz w:val="20"/>
          <w:szCs w:val="20"/>
          <w:color w:val="auto"/>
        </w:rPr>
      </w:pPr>
    </w:p>
    <w:p>
      <w:pPr>
        <w:jc w:val="both"/>
        <w:ind w:firstLine="656"/>
        <w:spacing w:after="0" w:line="286" w:lineRule="auto"/>
        <w:tabs>
          <w:tab w:leader="none" w:pos="154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By the earlier of (</w:t>
      </w:r>
      <w:r>
        <w:rPr>
          <w:rFonts w:ascii="Arial" w:cs="Arial" w:eastAsia="Arial" w:hAnsi="Arial"/>
          <w:sz w:val="19"/>
          <w:szCs w:val="19"/>
          <w:u w:val="single" w:color="auto"/>
          <w:color w:val="auto"/>
        </w:rPr>
        <w:t>x</w:t>
      </w:r>
      <w:r>
        <w:rPr>
          <w:rFonts w:ascii="Arial" w:cs="Arial" w:eastAsia="Arial" w:hAnsi="Arial"/>
          <w:sz w:val="19"/>
          <w:szCs w:val="19"/>
          <w:color w:val="auto"/>
        </w:rPr>
        <w:t xml:space="preserve">) the date that is five (5) Business Days following the final resolution of all disputes in accordance with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the later of the date that is (</w:t>
      </w:r>
      <w:r>
        <w:rPr>
          <w:rFonts w:ascii="Arial" w:cs="Arial" w:eastAsia="Arial" w:hAnsi="Arial"/>
          <w:sz w:val="19"/>
          <w:szCs w:val="19"/>
          <w:u w:val="single" w:color="auto"/>
          <w:color w:val="auto"/>
        </w:rPr>
        <w:t>1</w:t>
      </w:r>
      <w:r>
        <w:rPr>
          <w:rFonts w:ascii="Arial" w:cs="Arial" w:eastAsia="Arial" w:hAnsi="Arial"/>
          <w:sz w:val="19"/>
          <w:szCs w:val="19"/>
          <w:color w:val="auto"/>
        </w:rPr>
        <w:t>) 175 days following the end of the PBGC Review Period and (</w:t>
      </w:r>
      <w:r>
        <w:rPr>
          <w:rFonts w:ascii="Arial" w:cs="Arial" w:eastAsia="Arial" w:hAnsi="Arial"/>
          <w:sz w:val="19"/>
          <w:szCs w:val="19"/>
          <w:u w:val="single" w:color="auto"/>
          <w:color w:val="auto"/>
        </w:rPr>
        <w:t>2</w:t>
      </w:r>
      <w:r>
        <w:rPr>
          <w:rFonts w:ascii="Arial" w:cs="Arial" w:eastAsia="Arial" w:hAnsi="Arial"/>
          <w:sz w:val="19"/>
          <w:szCs w:val="19"/>
          <w:color w:val="auto"/>
        </w:rPr>
        <w:t>) 145 days following the Closing Date, the Insurer shall amend the Group Annuity Contract, and the Independent Fiduciary shall irrevocably direct the Plan Trustee to amend the Group Annuity Contract, in each case, to reflect any differences between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amount of the Post-Closing Final Premium (as adjusted following the resolution of any disputes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2.12(a)</w:t>
      </w:r>
      <w:r>
        <w:rPr>
          <w:rFonts w:ascii="Arial" w:cs="Arial" w:eastAsia="Arial" w:hAnsi="Arial"/>
          <w:sz w:val="19"/>
          <w:szCs w:val="19"/>
          <w:color w:val="auto"/>
        </w:rPr>
        <w:t>) and the amount of the Interim Post-Closing Final Premium, or if no Interim Post-Closing Final Premium was delivered, the Closing Final Premium,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Annuity Exhibit delivered in connection with the calculation of the Post-Closing Final Premium (as adjusted following the resolution of any disputes in accordance with </w:t>
      </w:r>
      <w:r>
        <w:rPr>
          <w:rFonts w:ascii="Arial" w:cs="Arial" w:eastAsia="Arial" w:hAnsi="Arial"/>
          <w:sz w:val="19"/>
          <w:szCs w:val="19"/>
          <w:u w:val="single" w:color="auto"/>
          <w:color w:val="auto"/>
        </w:rPr>
        <w:t>Section 2.12(a)</w:t>
      </w:r>
      <w:r>
        <w:rPr>
          <w:rFonts w:ascii="Arial" w:cs="Arial" w:eastAsia="Arial" w:hAnsi="Arial"/>
          <w:sz w:val="19"/>
          <w:szCs w:val="19"/>
          <w:color w:val="auto"/>
        </w:rPr>
        <w:t>) and the Annuity Exhibit delivered in connection with the delivery of calculation of the Interim Post-Closing Final Premium, or if no Interim Post-Closing Final Premium was delivered, the Annuity Exhibit delivered in connection with the delivery of the calculation of the Closing Final Premium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the Transferred Assets Schedule delivered in connection with the calculation of the Post-Closing Final Premium (as adjusted following the resolution of any disputes in accordance with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and the Transferred Assets Schedule delivered pursuant to </w:t>
      </w:r>
      <w:r>
        <w:rPr>
          <w:rFonts w:ascii="Arial" w:cs="Arial" w:eastAsia="Arial" w:hAnsi="Arial"/>
          <w:sz w:val="19"/>
          <w:szCs w:val="19"/>
          <w:u w:val="single" w:color="auto"/>
          <w:color w:val="auto"/>
        </w:rPr>
        <w:t>Section 2.10(b)(iii)</w:t>
      </w:r>
      <w:r>
        <w:rPr>
          <w:rFonts w:ascii="Arial" w:cs="Arial" w:eastAsia="Arial" w:hAnsi="Arial"/>
          <w:sz w:val="19"/>
          <w:szCs w:val="19"/>
          <w:color w:val="auto"/>
        </w:rPr>
        <w:t xml:space="preserve"> or if no Transferred Assets Schedule was delivered pursuant to </w:t>
      </w:r>
      <w:r>
        <w:rPr>
          <w:rFonts w:ascii="Arial" w:cs="Arial" w:eastAsia="Arial" w:hAnsi="Arial"/>
          <w:sz w:val="19"/>
          <w:szCs w:val="19"/>
          <w:u w:val="single" w:color="auto"/>
          <w:color w:val="auto"/>
        </w:rPr>
        <w:t>Section 2.10(b)(iii)</w:t>
      </w:r>
      <w:r>
        <w:rPr>
          <w:rFonts w:ascii="Arial" w:cs="Arial" w:eastAsia="Arial" w:hAnsi="Arial"/>
          <w:sz w:val="19"/>
          <w:szCs w:val="19"/>
          <w:color w:val="auto"/>
        </w:rPr>
        <w:t xml:space="preserve">, the Transferred Assets Schedule delivered pursuant to </w:t>
      </w:r>
      <w:r>
        <w:rPr>
          <w:rFonts w:ascii="Arial" w:cs="Arial" w:eastAsia="Arial" w:hAnsi="Arial"/>
          <w:sz w:val="19"/>
          <w:szCs w:val="19"/>
          <w:u w:val="single" w:color="auto"/>
          <w:color w:val="auto"/>
        </w:rPr>
        <w:t>Section 2.9(a)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2.20</w:t>
      </w:r>
      <w:r>
        <w:rPr>
          <w:sz w:val="20"/>
          <w:szCs w:val="20"/>
          <w:color w:val="auto"/>
        </w:rPr>
        <w:tab/>
      </w:r>
      <w:r>
        <w:rPr>
          <w:rFonts w:ascii="Arial" w:cs="Arial" w:eastAsia="Arial" w:hAnsi="Arial"/>
          <w:sz w:val="19"/>
          <w:szCs w:val="19"/>
          <w:u w:val="single" w:color="auto"/>
          <w:color w:val="auto"/>
        </w:rPr>
        <w:t>Amendments to the Procedures Manual and Identified CD-ROM</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88" w:lineRule="auto"/>
        <w:tabs>
          <w:tab w:leader="none" w:pos="113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Within thirty (30) days following the DTFA Execution Date, the Insurer shall deliver an updated Identified CD-ROM and Procedures Manual, to reflect, in the Insurer's judgment, the Agreed Updates. Within ten (10) Business Days following the receipt of such updated Identified CD-ROM and Procedures Manual, the Company shall either (</w:t>
      </w:r>
      <w:r>
        <w:rPr>
          <w:rFonts w:ascii="Arial" w:cs="Arial" w:eastAsia="Arial" w:hAnsi="Arial"/>
          <w:sz w:val="19"/>
          <w:szCs w:val="19"/>
          <w:u w:val="single" w:color="auto"/>
          <w:color w:val="auto"/>
        </w:rPr>
        <w:t>i</w:t>
      </w:r>
      <w:r>
        <w:rPr>
          <w:rFonts w:ascii="Arial" w:cs="Arial" w:eastAsia="Arial" w:hAnsi="Arial"/>
          <w:sz w:val="19"/>
          <w:szCs w:val="19"/>
          <w:color w:val="auto"/>
        </w:rPr>
        <w:t>) consent in writing to such updated Identified CD-ROM and Procedures Manual (such consent not to be unreasonably withheld, delayed or conditioned)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inform the Insurer in writing of any disagreements with such updated Identified CD-ROM or Procedures Manual. In the event that the Company informs the Insurer of any such disagreement, the Insurer and the Company shall cooperate in good faith to resolve any such disagreement as soon as practical. The Procedures Manual and the Identified CD-ROM updated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2.20(a)</w:t>
      </w:r>
      <w:r>
        <w:rPr>
          <w:rFonts w:ascii="Arial" w:cs="Arial" w:eastAsia="Arial" w:hAnsi="Arial"/>
          <w:sz w:val="19"/>
          <w:szCs w:val="19"/>
          <w:color w:val="auto"/>
        </w:rPr>
        <w:t xml:space="preserve"> shall, following the consent of the Company or the resolution of any disagreements in connection with the preceding sentence, be binding on the Parties and such updated Identified CD-ROM (which shall be updated following the certification provided by the Independent Third Party in connection with </w:t>
      </w:r>
      <w:r>
        <w:rPr>
          <w:rFonts w:ascii="Arial" w:cs="Arial" w:eastAsia="Arial" w:hAnsi="Arial"/>
          <w:sz w:val="19"/>
          <w:szCs w:val="19"/>
          <w:u w:val="single" w:color="auto"/>
          <w:color w:val="auto"/>
        </w:rPr>
        <w:t>Section 2.4(c)</w:t>
      </w:r>
      <w:r>
        <w:rPr>
          <w:rFonts w:ascii="Arial" w:cs="Arial" w:eastAsia="Arial" w:hAnsi="Arial"/>
          <w:sz w:val="19"/>
          <w:szCs w:val="19"/>
          <w:color w:val="auto"/>
        </w:rPr>
        <w:t>) shall be initialed by the Company and the Insurer and shall replace any previous versions of the Identified CD-ROM.</w:t>
      </w:r>
    </w:p>
    <w:p>
      <w:pPr>
        <w:spacing w:after="0" w:line="195" w:lineRule="exact"/>
        <w:rPr>
          <w:rFonts w:ascii="Arial" w:cs="Arial" w:eastAsia="Arial" w:hAnsi="Arial"/>
          <w:sz w:val="19"/>
          <w:szCs w:val="19"/>
          <w:color w:val="auto"/>
        </w:rPr>
      </w:pPr>
    </w:p>
    <w:p>
      <w:pPr>
        <w:jc w:val="both"/>
        <w:ind w:firstLine="656"/>
        <w:spacing w:after="0" w:line="247" w:lineRule="auto"/>
        <w:tabs>
          <w:tab w:leader="none" w:pos="119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If the Company or the Insurer identify any error or omission in the Procedures Manual or the Identified CD-ROM (other than an error or omission that would be resolved by an Agreed Update), the Company or the Insurer, as applicable, shall promptly inform the other and the Company and the Insurer shall cooperate in good faith to update the Procedures Manual or the Identified CD-ROM to resolve such error or omission, and such updated Identified CD-ROM shall be initialed by the Company and the Insurer. The Procedures Manual or the Identified CD-ROM, as updated pursuant to this </w:t>
      </w:r>
      <w:r>
        <w:rPr>
          <w:rFonts w:ascii="Arial" w:cs="Arial" w:eastAsia="Arial" w:hAnsi="Arial"/>
          <w:sz w:val="22"/>
          <w:szCs w:val="22"/>
          <w:u w:val="single" w:color="auto"/>
          <w:color w:val="auto"/>
        </w:rPr>
        <w:t>Section 2.20(b)</w:t>
      </w:r>
      <w:r>
        <w:rPr>
          <w:rFonts w:ascii="Arial" w:cs="Arial" w:eastAsia="Arial" w:hAnsi="Arial"/>
          <w:sz w:val="22"/>
          <w:szCs w:val="22"/>
          <w:color w:val="auto"/>
        </w:rPr>
        <w:t>, shall be binding on the Parties.</w:t>
      </w:r>
    </w:p>
    <w:p>
      <w:pPr>
        <w:spacing w:after="0" w:line="200" w:lineRule="exact"/>
        <w:rPr>
          <w:sz w:val="20"/>
          <w:szCs w:val="20"/>
          <w:color w:val="auto"/>
        </w:rPr>
      </w:pPr>
    </w:p>
    <w:p>
      <w:pPr>
        <w:spacing w:after="0" w:line="250" w:lineRule="exact"/>
        <w:rPr>
          <w:sz w:val="20"/>
          <w:szCs w:val="20"/>
          <w:color w:val="auto"/>
        </w:rPr>
      </w:pPr>
    </w:p>
    <w:p>
      <w:pPr>
        <w:ind w:left="660"/>
        <w:spacing w:after="0"/>
        <w:tabs>
          <w:tab w:leader="none" w:pos="1940" w:val="left"/>
          <w:tab w:leader="none" w:pos="2280" w:val="left"/>
          <w:tab w:leader="none" w:pos="2980" w:val="left"/>
        </w:tabs>
        <w:rPr>
          <w:sz w:val="20"/>
          <w:szCs w:val="20"/>
          <w:color w:val="auto"/>
        </w:rPr>
      </w:pPr>
      <w:r>
        <w:rPr>
          <w:rFonts w:ascii="Arial" w:cs="Arial" w:eastAsia="Arial" w:hAnsi="Arial"/>
          <w:sz w:val="22"/>
          <w:szCs w:val="22"/>
          <w:color w:val="auto"/>
        </w:rPr>
        <w:t>Section 2.21</w:t>
        <w:tab/>
        <w:t>[</w:t>
        <w:tab/>
        <w:t>***</w:t>
      </w:r>
      <w:r>
        <w:rPr>
          <w:sz w:val="20"/>
          <w:szCs w:val="20"/>
          <w:color w:val="auto"/>
        </w:rPr>
        <w:tab/>
      </w:r>
      <w:r>
        <w:rPr>
          <w:rFonts w:ascii="Arial" w:cs="Arial" w:eastAsia="Arial" w:hAnsi="Arial"/>
          <w:sz w:val="21"/>
          <w:szCs w:val="21"/>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91" w:right="239" w:bottom="1440" w:gutter="0" w:footer="0" w:header="0"/>
        </w:sectPr>
      </w:pPr>
    </w:p>
    <w:bookmarkStart w:id="133" w:name="page134"/>
    <w:bookmarkEnd w:id="133"/>
    <w:p>
      <w:pPr>
        <w:ind w:left="1160" w:hanging="504"/>
        <w:spacing w:after="0"/>
        <w:tabs>
          <w:tab w:leader="none" w:pos="11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prior to the later of the date that is (</w:t>
      </w:r>
      <w:r>
        <w:rPr>
          <w:rFonts w:ascii="Arial" w:cs="Arial" w:eastAsia="Arial" w:hAnsi="Arial"/>
          <w:sz w:val="19"/>
          <w:szCs w:val="19"/>
          <w:u w:val="single" w:color="auto"/>
          <w:color w:val="auto"/>
        </w:rPr>
        <w:t>1</w:t>
      </w:r>
      <w:r>
        <w:rPr>
          <w:rFonts w:ascii="Arial" w:cs="Arial" w:eastAsia="Arial" w:hAnsi="Arial"/>
          <w:sz w:val="19"/>
          <w:szCs w:val="19"/>
          <w:color w:val="auto"/>
        </w:rPr>
        <w:t>) 175 days following the end of the PBGC Review Period and (</w:t>
      </w:r>
      <w:r>
        <w:rPr>
          <w:rFonts w:ascii="Arial" w:cs="Arial" w:eastAsia="Arial" w:hAnsi="Arial"/>
          <w:sz w:val="19"/>
          <w:szCs w:val="19"/>
          <w:u w:val="single" w:color="auto"/>
          <w:color w:val="auto"/>
        </w:rPr>
        <w:t>2</w:t>
      </w:r>
      <w:r>
        <w:rPr>
          <w:rFonts w:ascii="Arial" w:cs="Arial" w:eastAsia="Arial" w:hAnsi="Arial"/>
          <w:sz w:val="19"/>
          <w:szCs w:val="19"/>
          <w:color w:val="auto"/>
        </w:rPr>
        <w:t>) 145 days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gridSpan w:val="6"/>
          </w:tcPr>
          <w:p>
            <w:pPr>
              <w:spacing w:after="0"/>
              <w:rPr>
                <w:sz w:val="20"/>
                <w:szCs w:val="20"/>
                <w:color w:val="auto"/>
              </w:rPr>
            </w:pPr>
            <w:r>
              <w:rPr>
                <w:rFonts w:ascii="Arial" w:cs="Arial" w:eastAsia="Arial" w:hAnsi="Arial"/>
                <w:sz w:val="22"/>
                <w:szCs w:val="22"/>
                <w:color w:val="auto"/>
              </w:rPr>
              <w:t>following the Closing Date, [   ***</w:t>
            </w:r>
          </w:p>
        </w:tc>
        <w:tc>
          <w:tcPr>
            <w:tcW w:w="8000" w:type="dxa"/>
            <w:vAlign w:val="bottom"/>
            <w:gridSpan w:val="5"/>
          </w:tcPr>
          <w:p>
            <w:pPr>
              <w:ind w:left="220"/>
              <w:spacing w:after="0"/>
              <w:rPr>
                <w:sz w:val="20"/>
                <w:szCs w:val="20"/>
                <w:color w:val="auto"/>
              </w:rPr>
            </w:pPr>
            <w:r>
              <w:rPr>
                <w:rFonts w:ascii="Arial" w:cs="Arial" w:eastAsia="Arial" w:hAnsi="Arial"/>
                <w:sz w:val="22"/>
                <w:szCs w:val="22"/>
                <w:color w:val="auto"/>
                <w:w w:val="95"/>
              </w:rPr>
              <w:t>] to the Insurer at Closing is identified by either the Insurer or the Company as [   ***</w:t>
            </w:r>
          </w:p>
        </w:tc>
      </w:tr>
      <w:tr>
        <w:trPr>
          <w:trHeight w:val="224"/>
        </w:trPr>
        <w:tc>
          <w:tcPr>
            <w:tcW w:w="9260" w:type="dxa"/>
            <w:vAlign w:val="bottom"/>
            <w:gridSpan w:val="8"/>
          </w:tcPr>
          <w:p>
            <w:pPr>
              <w:ind w:left="240"/>
              <w:spacing w:after="0" w:line="224" w:lineRule="exact"/>
              <w:rPr>
                <w:sz w:val="20"/>
                <w:szCs w:val="20"/>
                <w:color w:val="auto"/>
              </w:rPr>
            </w:pPr>
            <w:r>
              <w:rPr>
                <w:rFonts w:ascii="Arial" w:cs="Arial" w:eastAsia="Arial" w:hAnsi="Arial"/>
                <w:sz w:val="22"/>
                <w:szCs w:val="22"/>
                <w:color w:val="auto"/>
                <w:w w:val="94"/>
              </w:rPr>
              <w:t>], (x) the Insurer or the Company, as applicable, shall promptly inform the other, and, if such [   ***</w:t>
            </w:r>
          </w:p>
        </w:tc>
        <w:tc>
          <w:tcPr>
            <w:tcW w:w="2160" w:type="dxa"/>
            <w:vAlign w:val="bottom"/>
            <w:gridSpan w:val="3"/>
          </w:tcPr>
          <w:p>
            <w:pPr>
              <w:ind w:left="200"/>
              <w:spacing w:after="0" w:line="224" w:lineRule="exact"/>
              <w:rPr>
                <w:sz w:val="20"/>
                <w:szCs w:val="20"/>
                <w:color w:val="auto"/>
              </w:rPr>
            </w:pPr>
            <w:r>
              <w:rPr>
                <w:rFonts w:ascii="Arial" w:cs="Arial" w:eastAsia="Arial" w:hAnsi="Arial"/>
                <w:sz w:val="22"/>
                <w:szCs w:val="22"/>
                <w:color w:val="auto"/>
                <w:w w:val="91"/>
              </w:rPr>
              <w:t>], (y) the Insurer shall,</w:t>
            </w:r>
          </w:p>
        </w:tc>
      </w:tr>
      <w:tr>
        <w:trPr>
          <w:trHeight w:val="20"/>
        </w:trPr>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7"/>
        </w:trPr>
        <w:tc>
          <w:tcPr>
            <w:tcW w:w="2140" w:type="dxa"/>
            <w:vAlign w:val="bottom"/>
            <w:gridSpan w:val="3"/>
          </w:tcPr>
          <w:p>
            <w:pPr>
              <w:spacing w:after="0" w:line="237" w:lineRule="exact"/>
              <w:rPr>
                <w:sz w:val="20"/>
                <w:szCs w:val="20"/>
                <w:color w:val="auto"/>
              </w:rPr>
            </w:pPr>
            <w:r>
              <w:rPr>
                <w:rFonts w:ascii="Arial" w:cs="Arial" w:eastAsia="Arial" w:hAnsi="Arial"/>
                <w:sz w:val="22"/>
                <w:szCs w:val="22"/>
                <w:color w:val="auto"/>
              </w:rPr>
              <w:t>within 5 days, [   ***</w:t>
            </w:r>
          </w:p>
        </w:tc>
        <w:tc>
          <w:tcPr>
            <w:tcW w:w="4620" w:type="dxa"/>
            <w:vAlign w:val="bottom"/>
            <w:gridSpan w:val="4"/>
          </w:tcPr>
          <w:p>
            <w:pPr>
              <w:ind w:left="180"/>
              <w:spacing w:after="0" w:line="237" w:lineRule="exact"/>
              <w:rPr>
                <w:sz w:val="20"/>
                <w:szCs w:val="20"/>
                <w:color w:val="auto"/>
              </w:rPr>
            </w:pPr>
            <w:r>
              <w:rPr>
                <w:rFonts w:ascii="Arial" w:cs="Arial" w:eastAsia="Arial" w:hAnsi="Arial"/>
                <w:sz w:val="22"/>
                <w:szCs w:val="22"/>
                <w:color w:val="auto"/>
                <w:w w:val="98"/>
              </w:rPr>
              <w:t>] and (z) the Independent Fiduciary shall [   ***</w:t>
            </w:r>
          </w:p>
        </w:tc>
        <w:tc>
          <w:tcPr>
            <w:tcW w:w="2500" w:type="dxa"/>
            <w:vAlign w:val="bottom"/>
          </w:tcPr>
          <w:p>
            <w:pPr>
              <w:jc w:val="right"/>
              <w:ind w:right="2092"/>
              <w:spacing w:after="0" w:line="237"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ind w:firstLine="656"/>
        <w:spacing w:after="0" w:line="271" w:lineRule="auto"/>
        <w:tabs>
          <w:tab w:leader="none" w:pos="118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The Company shall make available to the Plan, Cash in the amount necessary to enable the Plan Trustee to pay all amounts that it is directed to pay to the Insurer by the Independent Fiduciary pursuant to this </w:t>
      </w:r>
      <w:r>
        <w:rPr>
          <w:rFonts w:ascii="Arial" w:cs="Arial" w:eastAsia="Arial" w:hAnsi="Arial"/>
          <w:sz w:val="21"/>
          <w:szCs w:val="21"/>
          <w:u w:val="single" w:color="auto"/>
          <w:color w:val="auto"/>
        </w:rPr>
        <w:t>Section 2.21</w:t>
      </w:r>
      <w:r>
        <w:rPr>
          <w:rFonts w:ascii="Arial" w:cs="Arial" w:eastAsia="Arial" w:hAnsi="Arial"/>
          <w:sz w:val="21"/>
          <w:szCs w:val="21"/>
          <w:color w:val="auto"/>
        </w:rPr>
        <w:t>. The Plan Trustee shall unconditionally pay all such amounts to the Insurer pursuant to the Plan Trustee Agreement.</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2.22 </w:t>
      </w:r>
      <w:r>
        <w:rPr>
          <w:rFonts w:ascii="Arial" w:cs="Arial" w:eastAsia="Arial" w:hAnsi="Arial"/>
          <w:sz w:val="22"/>
          <w:szCs w:val="22"/>
          <w:u w:val="single" w:color="auto"/>
          <w:color w:val="auto"/>
        </w:rPr>
        <w:t>Return of Additional Premium Due To Late Discovery of Mortality</w:t>
      </w:r>
      <w:r>
        <w:rPr>
          <w:rFonts w:ascii="Arial" w:cs="Arial" w:eastAsia="Arial" w:hAnsi="Arial"/>
          <w:sz w:val="22"/>
          <w:szCs w:val="22"/>
          <w:color w:val="auto"/>
        </w:rPr>
        <w:t xml:space="preserve">. Notwithstanding Sections 2.10-2.13 (and any arbitration relating thereto), if after the date that is 7 days prior to the date that the Post-Closing Final Premium is delivered pursuant to </w:t>
      </w:r>
      <w:r>
        <w:rPr>
          <w:rFonts w:ascii="Arial" w:cs="Arial" w:eastAsia="Arial" w:hAnsi="Arial"/>
          <w:sz w:val="22"/>
          <w:szCs w:val="22"/>
          <w:u w:val="single" w:color="auto"/>
          <w:color w:val="auto"/>
        </w:rPr>
        <w:t>Section 2.11(c)(ii)</w:t>
      </w:r>
      <w:r>
        <w:rPr>
          <w:rFonts w:ascii="Arial" w:cs="Arial" w:eastAsia="Arial" w:hAnsi="Arial"/>
          <w:sz w:val="22"/>
          <w:szCs w:val="22"/>
          <w:color w:val="auto"/>
        </w:rPr>
        <w:t xml:space="preserve"> and prior to the date that is ninety (90) days after the Annuity Commencement Date, the Insurer discovers additional data corrections relating to deaths of Covered Lives and Contingent Lives that occurred prior to the Annuity Commencement Date, the Insurer shall return the portion of the Post-Closing Final Premium relating to such deaths to the Plan or, in the event that the Plan is no longer in existence, to the Company, within twenty (20) days thereafter. The Company shall have no rights to dispute such calculation.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2.23</w:t>
            </w:r>
          </w:p>
        </w:tc>
        <w:tc>
          <w:tcPr>
            <w:tcW w:w="2600" w:type="dxa"/>
            <w:vAlign w:val="bottom"/>
            <w:gridSpan w:val="4"/>
          </w:tcPr>
          <w:p>
            <w:pPr>
              <w:spacing w:after="0"/>
              <w:rPr>
                <w:sz w:val="20"/>
                <w:szCs w:val="20"/>
                <w:color w:val="auto"/>
              </w:rPr>
            </w:pPr>
            <w:r>
              <w:rPr>
                <w:rFonts w:ascii="Arial" w:cs="Arial" w:eastAsia="Arial" w:hAnsi="Arial"/>
                <w:sz w:val="22"/>
                <w:szCs w:val="22"/>
                <w:color w:val="auto"/>
              </w:rPr>
              <w:t>Reimbursement of [   ***</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526"/>
        </w:trPr>
        <w:tc>
          <w:tcPr>
            <w:tcW w:w="1060" w:type="dxa"/>
            <w:vAlign w:val="bottom"/>
          </w:tcPr>
          <w:p>
            <w:pPr>
              <w:ind w:left="660"/>
              <w:spacing w:after="0"/>
              <w:rPr>
                <w:sz w:val="20"/>
                <w:szCs w:val="20"/>
                <w:color w:val="auto"/>
              </w:rPr>
            </w:pPr>
            <w:r>
              <w:rPr>
                <w:rFonts w:ascii="Arial" w:cs="Arial" w:eastAsia="Arial" w:hAnsi="Arial"/>
                <w:sz w:val="22"/>
                <w:szCs w:val="22"/>
                <w:color w:val="auto"/>
              </w:rPr>
              <w:t>(a)</w:t>
            </w:r>
          </w:p>
        </w:tc>
        <w:tc>
          <w:tcPr>
            <w:tcW w:w="6600" w:type="dxa"/>
            <w:vAlign w:val="bottom"/>
            <w:gridSpan w:val="8"/>
          </w:tcPr>
          <w:p>
            <w:pPr>
              <w:jc w:val="right"/>
              <w:ind w:right="92"/>
              <w:spacing w:after="0"/>
              <w:rPr>
                <w:sz w:val="20"/>
                <w:szCs w:val="20"/>
                <w:color w:val="auto"/>
              </w:rPr>
            </w:pPr>
            <w:r>
              <w:rPr>
                <w:rFonts w:ascii="Arial" w:cs="Arial" w:eastAsia="Arial" w:hAnsi="Arial"/>
                <w:sz w:val="22"/>
                <w:szCs w:val="22"/>
                <w:color w:val="auto"/>
                <w:w w:val="94"/>
              </w:rPr>
              <w:t>If, during the period from and after the Closing Date through the [   ***</w:t>
            </w:r>
          </w:p>
        </w:tc>
        <w:tc>
          <w:tcPr>
            <w:tcW w:w="3740" w:type="dxa"/>
            <w:vAlign w:val="bottom"/>
          </w:tcPr>
          <w:p>
            <w:pPr>
              <w:ind w:left="200"/>
              <w:spacing w:after="0"/>
              <w:rPr>
                <w:sz w:val="20"/>
                <w:szCs w:val="20"/>
                <w:color w:val="auto"/>
              </w:rPr>
            </w:pPr>
            <w:r>
              <w:rPr>
                <w:rFonts w:ascii="Arial" w:cs="Arial" w:eastAsia="Arial" w:hAnsi="Arial"/>
                <w:sz w:val="22"/>
                <w:szCs w:val="22"/>
                <w:color w:val="auto"/>
                <w:w w:val="88"/>
              </w:rPr>
              <w:t>] of the Closing Date, the Insurer made a</w:t>
            </w:r>
          </w:p>
        </w:tc>
      </w:tr>
      <w:tr>
        <w:trPr>
          <w:trHeight w:val="275"/>
        </w:trPr>
        <w:tc>
          <w:tcPr>
            <w:tcW w:w="1960" w:type="dxa"/>
            <w:vAlign w:val="bottom"/>
            <w:gridSpan w:val="2"/>
          </w:tcPr>
          <w:p>
            <w:pPr>
              <w:spacing w:after="0"/>
              <w:rPr>
                <w:sz w:val="20"/>
                <w:szCs w:val="20"/>
                <w:color w:val="auto"/>
              </w:rPr>
            </w:pPr>
            <w:r>
              <w:rPr>
                <w:rFonts w:ascii="Arial" w:cs="Arial" w:eastAsia="Arial" w:hAnsi="Arial"/>
                <w:sz w:val="22"/>
                <w:szCs w:val="22"/>
                <w:color w:val="auto"/>
                <w:w w:val="90"/>
              </w:rPr>
              <w:t>payment to, or had a [</w:t>
            </w:r>
          </w:p>
        </w:tc>
        <w:tc>
          <w:tcPr>
            <w:tcW w:w="720" w:type="dxa"/>
            <w:vAlign w:val="bottom"/>
          </w:tcPr>
          <w:p>
            <w:pPr>
              <w:ind w:left="220"/>
              <w:spacing w:after="0"/>
              <w:rPr>
                <w:sz w:val="20"/>
                <w:szCs w:val="20"/>
                <w:color w:val="auto"/>
              </w:rPr>
            </w:pPr>
            <w:r>
              <w:rPr>
                <w:rFonts w:ascii="Arial" w:cs="Arial" w:eastAsia="Arial" w:hAnsi="Arial"/>
                <w:sz w:val="22"/>
                <w:szCs w:val="22"/>
                <w:color w:val="auto"/>
              </w:rPr>
              <w:t>***</w:t>
            </w:r>
          </w:p>
        </w:tc>
        <w:tc>
          <w:tcPr>
            <w:tcW w:w="4980" w:type="dxa"/>
            <w:vAlign w:val="bottom"/>
            <w:gridSpan w:val="6"/>
          </w:tcPr>
          <w:p>
            <w:pPr>
              <w:jc w:val="right"/>
              <w:ind w:right="1752"/>
              <w:spacing w:after="0"/>
              <w:rPr>
                <w:sz w:val="20"/>
                <w:szCs w:val="20"/>
                <w:color w:val="auto"/>
              </w:rPr>
            </w:pPr>
            <w:r>
              <w:rPr>
                <w:rFonts w:ascii="Arial" w:cs="Arial" w:eastAsia="Arial" w:hAnsi="Arial"/>
                <w:sz w:val="22"/>
                <w:szCs w:val="22"/>
                <w:color w:val="auto"/>
                <w:w w:val="97"/>
              </w:rPr>
              <w:t>] at Closing, due to the following:</w:t>
            </w:r>
          </w:p>
        </w:tc>
        <w:tc>
          <w:tcPr>
            <w:tcW w:w="3740" w:type="dxa"/>
            <w:vAlign w:val="bottom"/>
          </w:tcPr>
          <w:p>
            <w:pPr>
              <w:spacing w:after="0"/>
              <w:rPr>
                <w:sz w:val="23"/>
                <w:szCs w:val="23"/>
                <w:color w:val="auto"/>
              </w:rPr>
            </w:pPr>
          </w:p>
        </w:tc>
      </w:tr>
      <w:tr>
        <w:trPr>
          <w:trHeight w:val="495"/>
        </w:trPr>
        <w:tc>
          <w:tcPr>
            <w:tcW w:w="10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22"/>
                <w:szCs w:val="22"/>
                <w:color w:val="auto"/>
              </w:rPr>
              <w:t>(i)</w:t>
            </w:r>
          </w:p>
        </w:tc>
        <w:tc>
          <w:tcPr>
            <w:tcW w:w="2900" w:type="dxa"/>
            <w:vAlign w:val="bottom"/>
            <w:gridSpan w:val="5"/>
          </w:tcPr>
          <w:p>
            <w:pPr>
              <w:ind w:left="200"/>
              <w:spacing w:after="0"/>
              <w:rPr>
                <w:sz w:val="20"/>
                <w:szCs w:val="20"/>
                <w:color w:val="auto"/>
              </w:rPr>
            </w:pPr>
            <w:r>
              <w:rPr>
                <w:rFonts w:ascii="Arial" w:cs="Arial" w:eastAsia="Arial" w:hAnsi="Arial"/>
                <w:sz w:val="22"/>
                <w:szCs w:val="22"/>
                <w:color w:val="auto"/>
                <w:w w:val="94"/>
              </w:rPr>
              <w:t>an obligation pursuant to an [</w:t>
            </w:r>
          </w:p>
        </w:tc>
        <w:tc>
          <w:tcPr>
            <w:tcW w:w="6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5860" w:type="dxa"/>
            <w:vAlign w:val="bottom"/>
            <w:gridSpan w:val="2"/>
          </w:tcPr>
          <w:p>
            <w:pPr>
              <w:ind w:left="320"/>
              <w:spacing w:after="0"/>
              <w:rPr>
                <w:sz w:val="20"/>
                <w:szCs w:val="20"/>
                <w:color w:val="auto"/>
              </w:rPr>
            </w:pPr>
            <w:r>
              <w:rPr>
                <w:rFonts w:ascii="Arial" w:cs="Arial" w:eastAsia="Arial" w:hAnsi="Arial"/>
                <w:sz w:val="22"/>
                <w:szCs w:val="22"/>
                <w:color w:val="auto"/>
                <w:w w:val="97"/>
              </w:rPr>
              <w:t>], in whole or in part, or otherwise reimburse or pay to the [</w:t>
            </w:r>
          </w:p>
        </w:tc>
      </w:tr>
      <w:tr>
        <w:trPr>
          <w:trHeight w:val="224"/>
        </w:trPr>
        <w:tc>
          <w:tcPr>
            <w:tcW w:w="1060" w:type="dxa"/>
            <w:vAlign w:val="bottom"/>
          </w:tcPr>
          <w:p>
            <w:pPr>
              <w:ind w:left="660"/>
              <w:spacing w:after="0" w:line="224" w:lineRule="exact"/>
              <w:rPr>
                <w:sz w:val="20"/>
                <w:szCs w:val="20"/>
                <w:color w:val="auto"/>
              </w:rPr>
            </w:pPr>
            <w:r>
              <w:rPr>
                <w:rFonts w:ascii="Arial" w:cs="Arial" w:eastAsia="Arial" w:hAnsi="Arial"/>
                <w:sz w:val="22"/>
                <w:szCs w:val="22"/>
                <w:color w:val="auto"/>
              </w:rPr>
              <w:t>***</w:t>
            </w:r>
          </w:p>
        </w:tc>
        <w:tc>
          <w:tcPr>
            <w:tcW w:w="3800" w:type="dxa"/>
            <w:vAlign w:val="bottom"/>
            <w:gridSpan w:val="6"/>
          </w:tcPr>
          <w:p>
            <w:pPr>
              <w:jc w:val="right"/>
              <w:ind w:right="72"/>
              <w:spacing w:after="0" w:line="224" w:lineRule="exact"/>
              <w:rPr>
                <w:sz w:val="20"/>
                <w:szCs w:val="20"/>
                <w:color w:val="auto"/>
              </w:rPr>
            </w:pPr>
            <w:r>
              <w:rPr>
                <w:rFonts w:ascii="Arial" w:cs="Arial" w:eastAsia="Arial" w:hAnsi="Arial"/>
                <w:sz w:val="22"/>
                <w:szCs w:val="22"/>
                <w:color w:val="auto"/>
                <w:w w:val="98"/>
              </w:rPr>
              <w:t>], prior to the Closing Date, provided [</w:t>
            </w:r>
          </w:p>
        </w:tc>
        <w:tc>
          <w:tcPr>
            <w:tcW w:w="680" w:type="dxa"/>
            <w:vAlign w:val="bottom"/>
          </w:tcPr>
          <w:p>
            <w:pPr>
              <w:jc w:val="right"/>
              <w:ind w:right="152"/>
              <w:spacing w:after="0" w:line="224" w:lineRule="exact"/>
              <w:rPr>
                <w:sz w:val="20"/>
                <w:szCs w:val="20"/>
                <w:color w:val="auto"/>
              </w:rPr>
            </w:pPr>
            <w:r>
              <w:rPr>
                <w:rFonts w:ascii="Arial" w:cs="Arial" w:eastAsia="Arial" w:hAnsi="Arial"/>
                <w:sz w:val="22"/>
                <w:szCs w:val="22"/>
                <w:color w:val="auto"/>
              </w:rPr>
              <w:t>***</w:t>
            </w:r>
          </w:p>
        </w:tc>
        <w:tc>
          <w:tcPr>
            <w:tcW w:w="2120" w:type="dxa"/>
            <w:vAlign w:val="bottom"/>
          </w:tcPr>
          <w:p>
            <w:pPr>
              <w:jc w:val="right"/>
              <w:ind w:right="1772"/>
              <w:spacing w:after="0" w:line="224" w:lineRule="exact"/>
              <w:rPr>
                <w:sz w:val="20"/>
                <w:szCs w:val="20"/>
                <w:color w:val="auto"/>
              </w:rPr>
            </w:pPr>
            <w:r>
              <w:rPr>
                <w:rFonts w:ascii="Arial" w:cs="Arial" w:eastAsia="Arial" w:hAnsi="Arial"/>
                <w:sz w:val="22"/>
                <w:szCs w:val="22"/>
                <w:color w:val="auto"/>
              </w:rPr>
              <w:t>],</w:t>
            </w:r>
          </w:p>
        </w:tc>
        <w:tc>
          <w:tcPr>
            <w:tcW w:w="37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bl>
    <w:p>
      <w:pPr>
        <w:spacing w:after="0" w:line="75" w:lineRule="exact"/>
        <w:rPr>
          <w:sz w:val="20"/>
          <w:szCs w:val="20"/>
          <w:color w:val="auto"/>
        </w:rPr>
      </w:pPr>
    </w:p>
    <w:p>
      <w:pPr>
        <w:ind w:left="2220" w:hanging="915"/>
        <w:spacing w:after="0"/>
        <w:tabs>
          <w:tab w:leader="none" w:pos="22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tax, fee or other governmental charge (including, without limitation, any deductions or offsets relating</w:t>
      </w:r>
    </w:p>
    <w:p>
      <w:pPr>
        <w:spacing w:after="0" w:line="239"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to withholding tax deductions or other payments of taxes) to the extent attributable to [ *** ] prior to the Closing Date, or</w:t>
      </w:r>
    </w:p>
    <w:p>
      <w:pPr>
        <w:sectPr>
          <w:pgSz w:w="11900" w:h="16838" w:orient="portrait"/>
          <w:cols w:equalWidth="0" w:num="1">
            <w:col w:w="11420"/>
          </w:cols>
          <w:pgMar w:left="240" w:top="847" w:right="239" w:bottom="1440" w:gutter="0" w:footer="0" w:header="0"/>
        </w:sect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under the [</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firstLine="414"/>
        <w:spacing w:after="0" w:line="263" w:lineRule="auto"/>
        <w:rPr>
          <w:sz w:val="20"/>
          <w:szCs w:val="20"/>
          <w:color w:val="auto"/>
        </w:rPr>
      </w:pPr>
      <w:r>
        <w:rPr>
          <w:rFonts w:ascii="Arial" w:cs="Arial" w:eastAsia="Arial" w:hAnsi="Arial"/>
          <w:sz w:val="22"/>
          <w:szCs w:val="22"/>
          <w:color w:val="auto"/>
        </w:rPr>
        <w:t>any Losses arising from breach [ *** ], of its representations, warranties or covenants made by it *** ] which arise, accrue or relate to the period prior to the Closing,</w:t>
      </w:r>
    </w:p>
    <w:p>
      <w:pPr>
        <w:spacing w:after="0" w:line="175" w:lineRule="exact"/>
        <w:rPr>
          <w:sz w:val="20"/>
          <w:szCs w:val="20"/>
          <w:color w:val="auto"/>
        </w:rPr>
      </w:pPr>
    </w:p>
    <w:p>
      <w:pPr>
        <w:sectPr>
          <w:pgSz w:w="11900" w:h="16838" w:orient="portrait"/>
          <w:cols w:equalWidth="0" w:num="2">
            <w:col w:w="1620" w:space="240"/>
            <w:col w:w="9560"/>
          </w:cols>
          <w:pgMar w:left="240" w:top="847" w:right="239" w:bottom="1440" w:gutter="0" w:footer="0" w:header="0"/>
          <w:type w:val="continuous"/>
        </w:sectPr>
      </w:pPr>
    </w:p>
    <w:p>
      <w:pPr>
        <w:jc w:val="both"/>
        <w:spacing w:after="0" w:line="284" w:lineRule="auto"/>
        <w:rPr>
          <w:sz w:val="20"/>
          <w:szCs w:val="20"/>
          <w:color w:val="auto"/>
        </w:rPr>
      </w:pPr>
      <w:r>
        <w:rPr>
          <w:rFonts w:ascii="Arial" w:cs="Arial" w:eastAsia="Arial" w:hAnsi="Arial"/>
          <w:sz w:val="19"/>
          <w:szCs w:val="19"/>
          <w:color w:val="auto"/>
        </w:rPr>
        <w:t xml:space="preserve">the Insurer shall deliver notice to the Company setting forth in reasonable detail the amount of the claim and indemnification reimbursement that the Insurer seeks. The Insurer shall also provide such supporting documentation as may be reasonably requested by the Company in connection therewith. The Company shall, within ninety (90) days following its receipt of such notice, remit such amount to the Insurer (or if such claim is disputed in good faith, promptly on resolution of such dispute). For the avoidance of doubt, only those amounts that (i) result in an actual economic loss to the Insurer, and (ii) only with respect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2.23(a)(i)</w:t>
      </w:r>
      <w:r>
        <w:rPr>
          <w:rFonts w:ascii="Arial" w:cs="Arial" w:eastAsia="Arial" w:hAnsi="Arial"/>
          <w:sz w:val="19"/>
          <w:szCs w:val="19"/>
          <w:color w:val="auto"/>
        </w:rPr>
        <w:t xml:space="preserve">, are related to a prior economic gain to the Plan Trustee, on behalf of the Plan, are eligible for payment by the Company pursuant to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The maximum aggregate obligation of the Company to make payments under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w:t>
      </w:r>
    </w:p>
    <w:p>
      <w:pPr>
        <w:spacing w:after="0" w:line="4" w:lineRule="exact"/>
        <w:rPr>
          <w:sz w:val="20"/>
          <w:szCs w:val="20"/>
          <w:color w:val="auto"/>
        </w:rPr>
      </w:pPr>
    </w:p>
    <w:p>
      <w:pPr>
        <w:ind w:firstLine="8"/>
        <w:spacing w:after="0" w:line="246" w:lineRule="auto"/>
        <w:tabs>
          <w:tab w:leader="none" w:pos="72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 and the Company shall have no other obligations in respect of Transferred Liabilities described in this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other than as provided in this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93" w:lineRule="exact"/>
        <w:rPr>
          <w:sz w:val="20"/>
          <w:szCs w:val="20"/>
          <w:color w:val="auto"/>
        </w:rPr>
      </w:pPr>
    </w:p>
    <w:p>
      <w:pPr>
        <w:ind w:left="660"/>
        <w:spacing w:after="0"/>
        <w:tabs>
          <w:tab w:leader="none" w:pos="1100" w:val="left"/>
          <w:tab w:leader="none" w:pos="7080" w:val="left"/>
          <w:tab w:leader="none" w:pos="7780" w:val="left"/>
        </w:tabs>
        <w:rPr>
          <w:sz w:val="20"/>
          <w:szCs w:val="20"/>
          <w:color w:val="auto"/>
        </w:rPr>
      </w:pPr>
      <w:r>
        <w:rPr>
          <w:rFonts w:ascii="Arial" w:cs="Arial" w:eastAsia="Arial" w:hAnsi="Arial"/>
          <w:sz w:val="21"/>
          <w:szCs w:val="21"/>
          <w:color w:val="auto"/>
        </w:rPr>
        <w:t>(b)</w:t>
        <w:tab/>
        <w:t>If, during the period from and after the Closing Date through the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of the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47" w:right="239" w:bottom="1440" w:gutter="0" w:footer="0" w:header="0"/>
          <w:type w:val="continuous"/>
        </w:sectPr>
      </w:pPr>
    </w:p>
    <w:bookmarkStart w:id="134" w:name="page135"/>
    <w:bookmarkEnd w:id="134"/>
    <w:p>
      <w:pPr>
        <w:spacing w:after="0"/>
        <w:tabs>
          <w:tab w:leader="none" w:pos="3460" w:val="left"/>
          <w:tab w:leader="none" w:pos="4180" w:val="left"/>
          <w:tab w:leader="none" w:pos="8800" w:val="left"/>
          <w:tab w:leader="none" w:pos="9500" w:val="left"/>
        </w:tabs>
        <w:rPr>
          <w:sz w:val="20"/>
          <w:szCs w:val="20"/>
          <w:color w:val="auto"/>
        </w:rPr>
      </w:pPr>
      <w:r>
        <w:rPr>
          <w:rFonts w:ascii="Arial" w:cs="Arial" w:eastAsia="Arial" w:hAnsi="Arial"/>
          <w:sz w:val="22"/>
          <w:szCs w:val="22"/>
          <w:color w:val="auto"/>
        </w:rPr>
        <w:t>Closing Date, the Insurer receives a [</w:t>
        <w:tab/>
        <w:t>***</w:t>
      </w:r>
      <w:r>
        <w:rPr>
          <w:sz w:val="20"/>
          <w:szCs w:val="20"/>
          <w:color w:val="auto"/>
        </w:rPr>
        <w:tab/>
      </w:r>
      <w:r>
        <w:rPr>
          <w:rFonts w:ascii="Arial" w:cs="Arial" w:eastAsia="Arial" w:hAnsi="Arial"/>
          <w:sz w:val="22"/>
          <w:szCs w:val="22"/>
          <w:color w:val="auto"/>
        </w:rPr>
        <w:t>] to it at Closing, then upon becoming aware that [</w:t>
        <w:tab/>
        <w:t>***</w:t>
      </w:r>
      <w:r>
        <w:rPr>
          <w:sz w:val="20"/>
          <w:szCs w:val="20"/>
          <w:color w:val="auto"/>
        </w:rPr>
        <w:tab/>
      </w:r>
      <w:r>
        <w:rPr>
          <w:rFonts w:ascii="Arial" w:cs="Arial" w:eastAsia="Arial" w:hAnsi="Arial"/>
          <w:sz w:val="19"/>
          <w:szCs w:val="19"/>
          <w:color w:val="auto"/>
        </w:rPr>
        <w:t>], the Insurer shall</w:t>
      </w:r>
    </w:p>
    <w:p>
      <w:pPr>
        <w:spacing w:after="0" w:line="22" w:lineRule="exact"/>
        <w:rPr>
          <w:sz w:val="20"/>
          <w:szCs w:val="20"/>
          <w:color w:val="auto"/>
        </w:rPr>
      </w:pPr>
    </w:p>
    <w:p>
      <w:pPr>
        <w:spacing w:after="0"/>
        <w:tabs>
          <w:tab w:leader="none" w:pos="7560" w:val="left"/>
          <w:tab w:leader="none" w:pos="8260" w:val="left"/>
        </w:tabs>
        <w:rPr>
          <w:sz w:val="20"/>
          <w:szCs w:val="20"/>
          <w:color w:val="auto"/>
        </w:rPr>
      </w:pPr>
      <w:r>
        <w:rPr>
          <w:rFonts w:ascii="Arial" w:cs="Arial" w:eastAsia="Arial" w:hAnsi="Arial"/>
          <w:sz w:val="21"/>
          <w:szCs w:val="21"/>
          <w:color w:val="auto"/>
        </w:rPr>
        <w:t>deliver a notice to the Company setting forth in reasonable detail the amount of the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to such entity as the Company</w:t>
      </w:r>
    </w:p>
    <w:p>
      <w:pPr>
        <w:spacing w:after="0" w:line="4" w:lineRule="exact"/>
        <w:rPr>
          <w:sz w:val="20"/>
          <w:szCs w:val="20"/>
          <w:color w:val="auto"/>
        </w:rPr>
      </w:pPr>
    </w:p>
    <w:p>
      <w:pPr>
        <w:spacing w:after="0"/>
        <w:tabs>
          <w:tab w:leader="none" w:pos="1360" w:val="left"/>
          <w:tab w:leader="none" w:pos="2060" w:val="left"/>
        </w:tabs>
        <w:rPr>
          <w:sz w:val="20"/>
          <w:szCs w:val="20"/>
          <w:color w:val="auto"/>
        </w:rPr>
      </w:pPr>
      <w:r>
        <w:rPr>
          <w:rFonts w:ascii="Arial" w:cs="Arial" w:eastAsia="Arial" w:hAnsi="Arial"/>
          <w:sz w:val="22"/>
          <w:szCs w:val="22"/>
          <w:color w:val="auto"/>
        </w:rPr>
        <w:t>may direct. [</w:t>
        <w:tab/>
        <w:t>***</w:t>
      </w:r>
      <w:r>
        <w:rPr>
          <w:sz w:val="20"/>
          <w:szCs w:val="20"/>
          <w:color w:val="auto"/>
        </w:rPr>
        <w:tab/>
      </w:r>
      <w:r>
        <w:rPr>
          <w:rFonts w:ascii="Arial" w:cs="Arial" w:eastAsia="Arial" w:hAnsi="Arial"/>
          <w:sz w:val="19"/>
          <w:szCs w:val="19"/>
          <w:color w:val="auto"/>
        </w:rPr>
        <w:t>], to the Insurer prior to the second anniversary of the Closing Date with respect to any payment made on</w:t>
      </w:r>
    </w:p>
    <w:p>
      <w:pPr>
        <w:spacing w:after="0" w:line="4" w:lineRule="exact"/>
        <w:rPr>
          <w:sz w:val="20"/>
          <w:szCs w:val="20"/>
          <w:color w:val="auto"/>
        </w:rPr>
      </w:pPr>
    </w:p>
    <w:p>
      <w:pPr>
        <w:spacing w:after="0"/>
        <w:tabs>
          <w:tab w:leader="none" w:pos="6580" w:val="left"/>
          <w:tab w:leader="none" w:pos="7280" w:val="left"/>
        </w:tabs>
        <w:rPr>
          <w:sz w:val="20"/>
          <w:szCs w:val="20"/>
          <w:color w:val="auto"/>
        </w:rPr>
      </w:pPr>
      <w:r>
        <w:rPr>
          <w:rFonts w:ascii="Arial" w:cs="Arial" w:eastAsia="Arial" w:hAnsi="Arial"/>
          <w:sz w:val="21"/>
          <w:szCs w:val="21"/>
          <w:color w:val="auto"/>
        </w:rPr>
        <w:t>behalf of the Plan prior to the Closing Date that is determined under the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to be in excess of the amount that was</w:t>
      </w:r>
    </w:p>
    <w:p>
      <w:pPr>
        <w:spacing w:after="0" w:line="4" w:lineRule="exact"/>
        <w:rPr>
          <w:sz w:val="20"/>
          <w:szCs w:val="20"/>
          <w:color w:val="auto"/>
        </w:rPr>
      </w:pPr>
    </w:p>
    <w:p>
      <w:pPr>
        <w:spacing w:after="0"/>
        <w:tabs>
          <w:tab w:leader="none" w:pos="6600" w:val="left"/>
          <w:tab w:leader="none" w:pos="7320" w:val="left"/>
        </w:tabs>
        <w:rPr>
          <w:sz w:val="20"/>
          <w:szCs w:val="20"/>
          <w:color w:val="auto"/>
        </w:rPr>
      </w:pPr>
      <w:r>
        <w:rPr>
          <w:rFonts w:ascii="Arial" w:cs="Arial" w:eastAsia="Arial" w:hAnsi="Arial"/>
          <w:sz w:val="21"/>
          <w:szCs w:val="21"/>
          <w:color w:val="auto"/>
        </w:rPr>
        <w:t>actually required to paid on behalf of the Plan, but only to the extent the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was reduced by such payment made on</w:t>
      </w:r>
    </w:p>
    <w:p>
      <w:pPr>
        <w:spacing w:after="0" w:line="4" w:lineRule="exact"/>
        <w:rPr>
          <w:sz w:val="20"/>
          <w:szCs w:val="20"/>
          <w:color w:val="auto"/>
        </w:rPr>
      </w:pPr>
    </w:p>
    <w:p>
      <w:pPr>
        <w:spacing w:after="0"/>
        <w:tabs>
          <w:tab w:leader="none" w:pos="10200" w:val="left"/>
          <w:tab w:leader="none" w:pos="10900" w:val="left"/>
        </w:tabs>
        <w:rPr>
          <w:sz w:val="20"/>
          <w:szCs w:val="20"/>
          <w:color w:val="auto"/>
        </w:rPr>
      </w:pPr>
      <w:r>
        <w:rPr>
          <w:rFonts w:ascii="Arial" w:cs="Arial" w:eastAsia="Arial" w:hAnsi="Arial"/>
          <w:sz w:val="19"/>
          <w:szCs w:val="19"/>
          <w:color w:val="auto"/>
        </w:rPr>
        <w:t>behalf of the Plan. The maximum aggregate obligation of the Insurer to make payments under this Section 2.23 is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and</w:t>
      </w:r>
    </w:p>
    <w:p>
      <w:pPr>
        <w:spacing w:after="0" w:line="4" w:lineRule="exact"/>
        <w:rPr>
          <w:sz w:val="20"/>
          <w:szCs w:val="20"/>
          <w:color w:val="auto"/>
        </w:rPr>
      </w:pPr>
    </w:p>
    <w:p>
      <w:pPr>
        <w:spacing w:after="0"/>
        <w:tabs>
          <w:tab w:leader="none" w:pos="5720" w:val="left"/>
          <w:tab w:leader="none" w:pos="6420" w:val="left"/>
          <w:tab w:leader="none" w:pos="8220" w:val="left"/>
          <w:tab w:leader="none" w:pos="8920" w:val="left"/>
        </w:tabs>
        <w:rPr>
          <w:sz w:val="20"/>
          <w:szCs w:val="20"/>
          <w:color w:val="auto"/>
        </w:rPr>
      </w:pPr>
      <w:r>
        <w:rPr>
          <w:rFonts w:ascii="Arial" w:cs="Arial" w:eastAsia="Arial" w:hAnsi="Arial"/>
          <w:sz w:val="21"/>
          <w:szCs w:val="21"/>
          <w:color w:val="auto"/>
        </w:rPr>
        <w:t>the Insurer shall have no other obligations with respect to any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with respect to [</w:t>
        <w:tab/>
        <w:t>***</w:t>
      </w:r>
      <w:r>
        <w:rPr>
          <w:sz w:val="20"/>
          <w:szCs w:val="20"/>
          <w:color w:val="auto"/>
        </w:rPr>
        <w:tab/>
      </w:r>
      <w:r>
        <w:rPr>
          <w:rFonts w:ascii="Arial" w:cs="Arial" w:eastAsia="Arial" w:hAnsi="Arial"/>
          <w:sz w:val="19"/>
          <w:szCs w:val="19"/>
          <w:color w:val="auto"/>
        </w:rPr>
        <w:t>] after the Closing.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COMPANY'S REPRESENTATIONS AND WARRANTIES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hereby represents and warrants to Insurer Parent, the Insurer and the Independent Fiduciary as of the DTFA Execution Date and the Closing Date that, except as set forth in the Company Disclosure Letter:</w:t>
      </w:r>
    </w:p>
    <w:p>
      <w:pPr>
        <w:spacing w:after="0" w:line="3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Due Organization, Good Standing and Corporate Power</w:t>
      </w:r>
      <w:r>
        <w:rPr>
          <w:rFonts w:ascii="Arial" w:cs="Arial" w:eastAsia="Arial" w:hAnsi="Arial"/>
          <w:sz w:val="21"/>
          <w:szCs w:val="21"/>
          <w:color w:val="auto"/>
        </w:rPr>
        <w:t>. The Company is a limited liability company duly organized, validly existing and in good standing under the Laws of the State of Delaware. The Company has all requisite power and authority to enter into and carry out its obligations under this Agreement and the Ancillary Agreements to which it is, or will be at Closing, a party (if any) and to consummate the transactions contemplated to be undertaken by the Company herein or therein. The Company is duly qualified or licensed to do business and is in good standing in each jurisdiction in which its sponsorship of the Plan makes such qualification or licensing necessary, except in such jurisdictions where the failure to be in good standing, or so qualified or licensed is not material.</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Authorization of Agreement; Enforceability</w:t>
      </w:r>
      <w:r>
        <w:rPr>
          <w:rFonts w:ascii="Arial" w:cs="Arial" w:eastAsia="Arial" w:hAnsi="Arial"/>
          <w:sz w:val="21"/>
          <w:szCs w:val="21"/>
          <w:color w:val="auto"/>
        </w:rPr>
        <w:t>. The Company has received all appropriate corporate approvals and no other action on the part of the Company or its Affiliates is necessary to authorize the execution, delivery and performance of this Agreement and the consummation of the transactions contemplated to be undertaken by the Company under this Agreement and the Ancillary Agreements (to the extent a party thereto, if any). This Agreement is, and the Ancillary Agreements (to the extent that the Company is a party thereto, if any), when executed will be, duly executed and delivered by the Company, and each is (or when executed will be) a valid and binding obligation of the Company and enforceable against the Company, in accordance with its terms, except to the extent that its enforceability may be subject to applicable bankruptcy, insolvency, reorganization, moratorium and similar Law affecting the enforcement of creditors' rights generally and by general equitable principles (such exception is the “</w:t>
      </w:r>
      <w:r>
        <w:rPr>
          <w:rFonts w:ascii="Arial" w:cs="Arial" w:eastAsia="Arial" w:hAnsi="Arial"/>
          <w:sz w:val="21"/>
          <w:szCs w:val="21"/>
          <w:u w:val="single" w:color="auto"/>
          <w:color w:val="auto"/>
        </w:rPr>
        <w:t>Enforceability Exception</w:t>
      </w:r>
      <w:r>
        <w:rPr>
          <w:rFonts w:ascii="Arial" w:cs="Arial" w:eastAsia="Arial" w:hAnsi="Arial"/>
          <w:sz w:val="21"/>
          <w:szCs w:val="21"/>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Consents And Approvals; No Violations</w:t>
      </w:r>
      <w:r>
        <w:rPr>
          <w:rFonts w:ascii="Arial" w:cs="Arial" w:eastAsia="Arial" w:hAnsi="Arial"/>
          <w:sz w:val="21"/>
          <w:szCs w:val="21"/>
          <w:color w:val="auto"/>
        </w:rPr>
        <w:t xml:space="preserve">. Assuming the Consents from Governmental Authorities set forth on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of the Company Disclosure Letter have been obtained, the execution, delivery and performance of this Agreement by the Company and the consummation by the Company of the transactions contemplated to be undertaken by the Company pursuant to this Agreement do not (</w:t>
      </w:r>
      <w:r>
        <w:rPr>
          <w:rFonts w:ascii="Arial" w:cs="Arial" w:eastAsia="Arial" w:hAnsi="Arial"/>
          <w:sz w:val="21"/>
          <w:szCs w:val="21"/>
          <w:u w:val="single" w:color="auto"/>
          <w:color w:val="auto"/>
        </w:rPr>
        <w:t>a</w:t>
      </w:r>
      <w:r>
        <w:rPr>
          <w:rFonts w:ascii="Arial" w:cs="Arial" w:eastAsia="Arial" w:hAnsi="Arial"/>
          <w:sz w:val="21"/>
          <w:szCs w:val="21"/>
          <w:color w:val="auto"/>
        </w:rPr>
        <w:t>) violate or conflict with any provision of its certificate or articles of incorporation, bylaws or code of regulations (or the comparable governing documents); (</w:t>
      </w:r>
      <w:r>
        <w:rPr>
          <w:rFonts w:ascii="Arial" w:cs="Arial" w:eastAsia="Arial" w:hAnsi="Arial"/>
          <w:sz w:val="21"/>
          <w:szCs w:val="21"/>
          <w:u w:val="single" w:color="auto"/>
          <w:color w:val="auto"/>
        </w:rPr>
        <w:t>b</w:t>
      </w:r>
      <w:r>
        <w:rPr>
          <w:rFonts w:ascii="Arial" w:cs="Arial" w:eastAsia="Arial" w:hAnsi="Arial"/>
          <w:sz w:val="21"/>
          <w:szCs w:val="21"/>
          <w:color w:val="auto"/>
        </w:rPr>
        <w:t>) violate or conflict with any Law or Order of any Governmental Authority applicable to the Company; (</w:t>
      </w:r>
      <w:r>
        <w:rPr>
          <w:rFonts w:ascii="Arial" w:cs="Arial" w:eastAsia="Arial" w:hAnsi="Arial"/>
          <w:sz w:val="21"/>
          <w:szCs w:val="21"/>
          <w:u w:val="single" w:color="auto"/>
          <w:color w:val="auto"/>
        </w:rPr>
        <w:t>c</w:t>
      </w:r>
      <w:r>
        <w:rPr>
          <w:rFonts w:ascii="Arial" w:cs="Arial" w:eastAsia="Arial" w:hAnsi="Arial"/>
          <w:sz w:val="21"/>
          <w:szCs w:val="21"/>
          <w:color w:val="auto"/>
        </w:rPr>
        <w:t>) require any additional Governmental Approval; or (</w:t>
      </w:r>
      <w:r>
        <w:rPr>
          <w:rFonts w:ascii="Arial" w:cs="Arial" w:eastAsia="Arial" w:hAnsi="Arial"/>
          <w:sz w:val="21"/>
          <w:szCs w:val="21"/>
          <w:u w:val="single" w:color="auto"/>
          <w:color w:val="auto"/>
        </w:rPr>
        <w:t>d</w:t>
      </w:r>
      <w:r>
        <w:rPr>
          <w:rFonts w:ascii="Arial" w:cs="Arial" w:eastAsia="Arial" w:hAnsi="Arial"/>
          <w:sz w:val="21"/>
          <w:szCs w:val="21"/>
          <w:color w:val="auto"/>
        </w:rPr>
        <w:t>) except for the Consents required in connection with [ *** ], require any Consent of or other action by any Person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to which the Company is a party,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1" w:right="239" w:bottom="1440" w:gutter="0" w:footer="0" w:header="0"/>
        </w:sectPr>
      </w:pPr>
    </w:p>
    <w:bookmarkStart w:id="135" w:name="page136"/>
    <w:bookmarkEnd w:id="135"/>
    <w:p>
      <w:pPr>
        <w:jc w:val="both"/>
        <w:spacing w:after="0" w:line="263" w:lineRule="auto"/>
        <w:rPr>
          <w:sz w:val="20"/>
          <w:szCs w:val="20"/>
          <w:color w:val="auto"/>
        </w:rPr>
      </w:pPr>
      <w:r>
        <w:rPr>
          <w:rFonts w:ascii="Arial" w:cs="Arial" w:eastAsia="Arial" w:hAnsi="Arial"/>
          <w:sz w:val="22"/>
          <w:szCs w:val="22"/>
          <w:color w:val="auto"/>
        </w:rPr>
        <w:t>the absence or occurrence of any of the foregoing would have a material adverse impact on the Company's ability to consummate the Transaction.</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Compliance with ERISA and Code</w:t>
      </w:r>
      <w:r>
        <w:rPr>
          <w:rFonts w:ascii="Arial" w:cs="Arial" w:eastAsia="Arial" w:hAnsi="Arial"/>
          <w:sz w:val="19"/>
          <w:szCs w:val="19"/>
          <w:color w:val="auto"/>
        </w:rPr>
        <w:t>. The Plan is maintained under and is subject to ERISA and operated in compliance therewith and with its terms. The Plan is Tax Qualified and its trust is exempt from taxation. The Plan's most recent favorable Determination Letter is dated May 18, 2012 and reflects all changes to the plan through April 30, 2012. All Plan amendments necessary to effect the Lump-Sum Solicitation, and the other transactions contemplated by this Agreement, and the Ancillary Agreements, except for the Plan Termination and Plan Spin-Off, have been duly authorized and made by the Company. The Independent Fiduciary has been duly appointed as a fiduciary of the Plan with respect to the purchase of one or more group annuity contracts as set forth in an engagement letter with the Annuity Committee dated March 16, 2012, as amended (the “</w:t>
      </w:r>
      <w:r>
        <w:rPr>
          <w:rFonts w:ascii="Arial" w:cs="Arial" w:eastAsia="Arial" w:hAnsi="Arial"/>
          <w:sz w:val="19"/>
          <w:szCs w:val="19"/>
          <w:u w:val="single" w:color="auto"/>
          <w:color w:val="auto"/>
        </w:rPr>
        <w:t>IF</w:t>
      </w:r>
      <w:r>
        <w:rPr>
          <w:rFonts w:ascii="Arial" w:cs="Arial" w:eastAsia="Arial" w:hAnsi="Arial"/>
          <w:sz w:val="19"/>
          <w:szCs w:val="19"/>
          <w:color w:val="auto"/>
        </w:rPr>
        <w:t xml:space="preserve"> </w:t>
      </w:r>
      <w:r>
        <w:rPr>
          <w:rFonts w:ascii="Arial" w:cs="Arial" w:eastAsia="Arial" w:hAnsi="Arial"/>
          <w:sz w:val="19"/>
          <w:szCs w:val="19"/>
          <w:u w:val="single" w:color="auto"/>
          <w:color w:val="auto"/>
        </w:rPr>
        <w:t>Engagement Letter</w:t>
      </w:r>
      <w:r>
        <w:rPr>
          <w:rFonts w:ascii="Arial" w:cs="Arial" w:eastAsia="Arial" w:hAnsi="Arial"/>
          <w:sz w:val="19"/>
          <w:szCs w:val="19"/>
          <w:color w:val="auto"/>
        </w:rPr>
        <w:t>”), and has the sole authority and responsibility to (</w:t>
      </w:r>
      <w:r>
        <w:rPr>
          <w:rFonts w:ascii="Arial" w:cs="Arial" w:eastAsia="Arial" w:hAnsi="Arial"/>
          <w:sz w:val="19"/>
          <w:szCs w:val="19"/>
          <w:u w:val="single" w:color="auto"/>
          <w:color w:val="auto"/>
        </w:rPr>
        <w:t>i</w:t>
      </w:r>
      <w:r>
        <w:rPr>
          <w:rFonts w:ascii="Arial" w:cs="Arial" w:eastAsia="Arial" w:hAnsi="Arial"/>
          <w:sz w:val="19"/>
          <w:szCs w:val="19"/>
          <w:color w:val="auto"/>
        </w:rPr>
        <w:t>) determine whether the Transaction satisfies ERISA and applicable guidance, including Interpretative Bulletin 95-1, (</w:t>
      </w:r>
      <w:r>
        <w:rPr>
          <w:rFonts w:ascii="Arial" w:cs="Arial" w:eastAsia="Arial" w:hAnsi="Arial"/>
          <w:sz w:val="19"/>
          <w:szCs w:val="19"/>
          <w:u w:val="single" w:color="auto"/>
          <w:color w:val="auto"/>
        </w:rPr>
        <w:t>ii</w:t>
      </w:r>
      <w:r>
        <w:rPr>
          <w:rFonts w:ascii="Arial" w:cs="Arial" w:eastAsia="Arial" w:hAnsi="Arial"/>
          <w:sz w:val="19"/>
          <w:szCs w:val="19"/>
          <w:color w:val="auto"/>
        </w:rPr>
        <w:t>) direct the Plan Trustee on behalf of the Plan in connection with the transfer of the Transferred Assets in connection with the consummation of the Transaction, (</w:t>
      </w:r>
      <w:r>
        <w:rPr>
          <w:rFonts w:ascii="Arial" w:cs="Arial" w:eastAsia="Arial" w:hAnsi="Arial"/>
          <w:sz w:val="19"/>
          <w:szCs w:val="19"/>
          <w:u w:val="single" w:color="auto"/>
          <w:color w:val="auto"/>
        </w:rPr>
        <w:t>iii</w:t>
      </w:r>
      <w:r>
        <w:rPr>
          <w:rFonts w:ascii="Arial" w:cs="Arial" w:eastAsia="Arial" w:hAnsi="Arial"/>
          <w:sz w:val="19"/>
          <w:szCs w:val="19"/>
          <w:color w:val="auto"/>
        </w:rPr>
        <w:t>) direct the Plan Trustee on behalf of the Plan in connection with the execution or any amendment of the Group Annuity Contract, and (</w:t>
      </w:r>
      <w:r>
        <w:rPr>
          <w:rFonts w:ascii="Arial" w:cs="Arial" w:eastAsia="Arial" w:hAnsi="Arial"/>
          <w:sz w:val="19"/>
          <w:szCs w:val="19"/>
          <w:u w:val="single" w:color="auto"/>
          <w:color w:val="auto"/>
        </w:rPr>
        <w:t>iv</w:t>
      </w:r>
      <w:r>
        <w:rPr>
          <w:rFonts w:ascii="Arial" w:cs="Arial" w:eastAsia="Arial" w:hAnsi="Arial"/>
          <w:sz w:val="19"/>
          <w:szCs w:val="19"/>
          <w:color w:val="auto"/>
        </w:rPr>
        <w:t>) perform the covenants and agreements and make the representations and warranties set forth in this Agreement, the Ancillary Agreements (to the extent a party thereto) and the IF Engagement Letter to be performed or made by the Independent Fiduciary.</w:t>
      </w:r>
    </w:p>
    <w:p>
      <w:pPr>
        <w:spacing w:after="0" w:line="16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No Brokers' Fee</w:t>
      </w:r>
      <w:r>
        <w:rPr>
          <w:rFonts w:ascii="Arial" w:cs="Arial" w:eastAsia="Arial" w:hAnsi="Arial"/>
          <w:sz w:val="19"/>
          <w:szCs w:val="19"/>
          <w:color w:val="auto"/>
        </w:rPr>
        <w:t>. The Company has no Liability for any fee, commission or payment to any broker, finder or agent with respect to the Transactions for which any other Party, or its respective Affiliates or Representatives, could be liable.</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No Discretionary Authority</w:t>
      </w:r>
      <w:r>
        <w:rPr>
          <w:rFonts w:ascii="Arial" w:cs="Arial" w:eastAsia="Arial" w:hAnsi="Arial"/>
          <w:sz w:val="22"/>
          <w:szCs w:val="22"/>
          <w:color w:val="auto"/>
        </w:rPr>
        <w:t>. The Company has no discretionary asset management authority or responsibility regarding management of the Plan Assets.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3.7 </w:t>
      </w:r>
      <w:r>
        <w:rPr>
          <w:rFonts w:ascii="Arial" w:cs="Arial" w:eastAsia="Arial" w:hAnsi="Arial"/>
          <w:sz w:val="19"/>
          <w:szCs w:val="19"/>
          <w:u w:val="single" w:color="auto"/>
          <w:color w:val="auto"/>
        </w:rPr>
        <w:t>Accuracy of Information</w:t>
      </w:r>
      <w:r>
        <w:rPr>
          <w:rFonts w:ascii="Arial" w:cs="Arial" w:eastAsia="Arial" w:hAnsi="Arial"/>
          <w:sz w:val="19"/>
          <w:szCs w:val="19"/>
          <w:color w:val="auto"/>
        </w:rPr>
        <w:t>. To the Company's Knowledge, (</w:t>
      </w:r>
      <w:r>
        <w:rPr>
          <w:rFonts w:ascii="Arial" w:cs="Arial" w:eastAsia="Arial" w:hAnsi="Arial"/>
          <w:sz w:val="19"/>
          <w:szCs w:val="19"/>
          <w:u w:val="single" w:color="auto"/>
          <w:color w:val="auto"/>
        </w:rPr>
        <w:t>a</w:t>
      </w:r>
      <w:r>
        <w:rPr>
          <w:rFonts w:ascii="Arial" w:cs="Arial" w:eastAsia="Arial" w:hAnsi="Arial"/>
          <w:sz w:val="19"/>
          <w:szCs w:val="19"/>
          <w:color w:val="auto"/>
        </w:rPr>
        <w:t>) the data in respect of mortality experience with respect to the Plan through November 30, 2011 that was furnished by or on behalf of the Company or the Plan or any of their respective Affiliates prior to the date hereof to the Insurer, its Affiliates or any of its actuarial, accounting or legal advisors in connection with the negotiation of this Agreement, the Group Annuity Contract, and the transactions contemplated by this Agreement did not contain any material misstatement or material omission; and (</w:t>
      </w:r>
      <w:r>
        <w:rPr>
          <w:rFonts w:ascii="Arial" w:cs="Arial" w:eastAsia="Arial" w:hAnsi="Arial"/>
          <w:sz w:val="19"/>
          <w:szCs w:val="19"/>
          <w:u w:val="single" w:color="auto"/>
          <w:color w:val="auto"/>
        </w:rPr>
        <w:t>b</w:t>
      </w:r>
      <w:r>
        <w:rPr>
          <w:rFonts w:ascii="Arial" w:cs="Arial" w:eastAsia="Arial" w:hAnsi="Arial"/>
          <w:sz w:val="19"/>
          <w:szCs w:val="19"/>
          <w:color w:val="auto"/>
        </w:rPr>
        <w:t>) the data in respect of date of birth, date of death or gender of any Non-Solicited Lives or Solicited Lives that was furnished by or on behalf of the Company or the Plan or any of their respective Affiliates prior to the date hereof to the Insurer, its Affiliates or any of its actuarial, accounting or legal advisors in connection with the negotiation of this Agreement, the Group Annuity Contract, and the transactions contemplated by this Agreement, was not generated using any materially incorrect systematic assumptions or omissions.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u w:val="single" w:color="auto"/>
          <w:color w:val="auto"/>
        </w:rPr>
        <w:t>Parent Liquidity Position</w:t>
      </w:r>
      <w:r>
        <w:rPr>
          <w:rFonts w:ascii="Arial" w:cs="Arial" w:eastAsia="Arial" w:hAnsi="Arial"/>
          <w:sz w:val="22"/>
          <w:szCs w:val="22"/>
          <w:color w:val="auto"/>
        </w:rPr>
        <w:t>. The Parent Liquidity Position as of March 31, 2012 was $31.455 billion. As of the DTFA Execution Date, to the Company's Knowledge there are no circumstances existing or that would reasonably be expected to occur that would reasonably be expected to cause a Company MAC.</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3.9 </w:t>
      </w:r>
      <w:r>
        <w:rPr>
          <w:rFonts w:ascii="Arial" w:cs="Arial" w:eastAsia="Arial" w:hAnsi="Arial"/>
          <w:sz w:val="22"/>
          <w:szCs w:val="22"/>
          <w:u w:val="single" w:color="auto"/>
          <w:color w:val="auto"/>
        </w:rPr>
        <w:t>Delivery of Plan</w:t>
      </w:r>
      <w:r>
        <w:rPr>
          <w:rFonts w:ascii="Arial" w:cs="Arial" w:eastAsia="Arial" w:hAnsi="Arial"/>
          <w:sz w:val="22"/>
          <w:szCs w:val="22"/>
          <w:color w:val="auto"/>
        </w:rPr>
        <w:t>. A true, correct and complete copy of the Plan has been delivered to the Independent Fiduciary and the Insurer on or prior to the DTFA Execution Date.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Settlement Accounting</w:t>
      </w:r>
      <w:r>
        <w:rPr>
          <w:rFonts w:ascii="Arial" w:cs="Arial" w:eastAsia="Arial" w:hAnsi="Arial"/>
          <w:sz w:val="22"/>
          <w:szCs w:val="22"/>
          <w:color w:val="auto"/>
        </w:rPr>
        <w:t>. As of the DTFA Execution Date, to the Company's Knowledge there are no circumstances existing or that would reasonably be expected to occur that would be reasonably likely to cause the Company to conclude that the Company may not account for the transactions contemplated by this Agreement and the Ancillary Agreements as a settlement under ASC 715.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1" w:right="239" w:bottom="1440" w:gutter="0" w:footer="0" w:header="0"/>
        </w:sectPr>
      </w:pPr>
    </w:p>
    <w:bookmarkStart w:id="136" w:name="page137"/>
    <w:bookmarkEnd w:id="136"/>
    <w:p>
      <w:pPr>
        <w:jc w:val="both"/>
        <w:ind w:firstLine="648"/>
        <w:spacing w:after="0" w:line="261"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No Other Representations or Warranties; Reliance</w:t>
      </w:r>
      <w:r>
        <w:rPr>
          <w:rFonts w:ascii="Arial" w:cs="Arial" w:eastAsia="Arial" w:hAnsi="Arial"/>
          <w:sz w:val="21"/>
          <w:szCs w:val="21"/>
          <w:color w:val="auto"/>
        </w:rPr>
        <w:t xml:space="preserve">. Except for the representations and warranties of the Company expressly set forth in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neither the Company, nor any of its Affiliates, nor any other Person makes any express or implied representation or warranty on behalf of the Company or any of its Affiliates with respect to the Company, its Affiliates, the Plan, the Transferred Assets or the transactions contemplated by this Agreement or the Standard Termination and the Lump-Sum Solicitation. The Company acknowledges and agrees that Insurer Parent, the Insurer and the Independent Fiduciary have relied on the representations set forth in this </w:t>
      </w:r>
      <w:r>
        <w:rPr>
          <w:rFonts w:ascii="Arial" w:cs="Arial" w:eastAsia="Arial" w:hAnsi="Arial"/>
          <w:sz w:val="21"/>
          <w:szCs w:val="21"/>
          <w:u w:val="single" w:color="auto"/>
          <w:color w:val="auto"/>
        </w:rPr>
        <w:t>Article III</w:t>
      </w:r>
      <w:r>
        <w:rPr>
          <w:rFonts w:ascii="Arial" w:cs="Arial" w:eastAsia="Arial" w:hAnsi="Arial"/>
          <w:sz w:val="21"/>
          <w:szCs w:val="21"/>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INDEPENDENT FIDUCIARY'S REPRESENTATIONS AND WARRANTIES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Independent Fiduciary hereby represents and warrants to the Company, Insurer Parent and the Insurer as of the DTFA Execution Date and the Closing Date that: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Due Organization, Good Standing and Corporate Power</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60" w:lineRule="auto"/>
        <w:tabs>
          <w:tab w:leader="none" w:pos="153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Independent Fiduciary is a Massachusetts trust company duly organized, validly existing and in good standing under the Laws of the Commonwealth of Massachusetts. The Independent Fiduciary has all requisite power and authority to enter into and carry out its obligations under this Agreement and the Ancillary Agreements (to the extent a party thereto) to which it is, or will be at Closing, a party and to direct the Plan Trustee to consummate the transactions on behalf of the Plan trust. The Independent Fiduciary is duly qualified or licensed to do business and is in good standing in each jurisdiction in which its representation of the Plan makes such qualification or licensing necessary, except in such jurisdictions where the failure to be or in good standing or so qualified or licensed is not material.</w:t>
      </w:r>
    </w:p>
    <w:p>
      <w:pPr>
        <w:spacing w:after="0" w:line="221" w:lineRule="exact"/>
        <w:rPr>
          <w:rFonts w:ascii="Arial" w:cs="Arial" w:eastAsia="Arial" w:hAnsi="Arial"/>
          <w:sz w:val="21"/>
          <w:szCs w:val="21"/>
          <w:color w:val="auto"/>
        </w:rPr>
      </w:pPr>
    </w:p>
    <w:p>
      <w:pPr>
        <w:jc w:val="both"/>
        <w:ind w:firstLine="656"/>
        <w:spacing w:after="0" w:line="285" w:lineRule="auto"/>
        <w:tabs>
          <w:tab w:leader="none" w:pos="154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Independent Fiduciary meets the requirements of, and in the transactions contemplated by this Agreement and the Ancillary Agreements (to the extent a party thereto) is acting as, an investment manager under ERISA § 3(38) and a QPAM under PTCE 84-14. The Independent Fiduciary is experienced in independent fiduciary work, and together with its reliance on its consultant Oliver Wyman Inc. and its counsel, K&amp;L Gates, LLP, the Independent Fiduciary is knowledgeable concerning the large scale group annuity marketplace and reasonably believes that it has the requisite expertise to select the Insurer of the Group Annuity Contract and perform its obligations under this Agreement, the Ancillary Agreements (to the extent a party thereto) and the IF Engagement Letter. The Independent Fiduciary was designated a fiduciary of the Plan by the Annuity Committee with respect to the purchase of one or more group annuity contracts in the IF Engagement Letter (a true and correct copy of which has been provided to the Insurer, other than the attachment thereto regarding the fees to be paid to the Independent Fiduciary), reaffirms its fiduciary status as set forth in such letter; and has provided the services described in Exhibit A of such letter prudently and solely in the interest of the Plan Participants and Plan Beneficiaries. The Independent Fiduciary has the authority and responsibility to (</w:t>
      </w:r>
      <w:r>
        <w:rPr>
          <w:rFonts w:ascii="Arial" w:cs="Arial" w:eastAsia="Arial" w:hAnsi="Arial"/>
          <w:sz w:val="19"/>
          <w:szCs w:val="19"/>
          <w:u w:val="single" w:color="auto"/>
          <w:color w:val="auto"/>
        </w:rPr>
        <w:t>i</w:t>
      </w:r>
      <w:r>
        <w:rPr>
          <w:rFonts w:ascii="Arial" w:cs="Arial" w:eastAsia="Arial" w:hAnsi="Arial"/>
          <w:sz w:val="19"/>
          <w:szCs w:val="19"/>
          <w:color w:val="auto"/>
        </w:rPr>
        <w:t>) determine whether the Transaction satisfies ERISA and applicable guidance, including Interpretative Bulletin 95-1, (</w:t>
      </w:r>
      <w:r>
        <w:rPr>
          <w:rFonts w:ascii="Arial" w:cs="Arial" w:eastAsia="Arial" w:hAnsi="Arial"/>
          <w:sz w:val="19"/>
          <w:szCs w:val="19"/>
          <w:u w:val="single" w:color="auto"/>
          <w:color w:val="auto"/>
        </w:rPr>
        <w:t>ii</w:t>
      </w:r>
      <w:r>
        <w:rPr>
          <w:rFonts w:ascii="Arial" w:cs="Arial" w:eastAsia="Arial" w:hAnsi="Arial"/>
          <w:sz w:val="19"/>
          <w:szCs w:val="19"/>
          <w:color w:val="auto"/>
        </w:rPr>
        <w:t>) direct the Plan Trustee on behalf of the Plan in connection with the transfer of the Transferred Assets in connection with the consummation of the Transaction, (</w:t>
      </w:r>
      <w:r>
        <w:rPr>
          <w:rFonts w:ascii="Arial" w:cs="Arial" w:eastAsia="Arial" w:hAnsi="Arial"/>
          <w:sz w:val="19"/>
          <w:szCs w:val="19"/>
          <w:u w:val="single" w:color="auto"/>
          <w:color w:val="auto"/>
        </w:rPr>
        <w:t>iii</w:t>
      </w:r>
      <w:r>
        <w:rPr>
          <w:rFonts w:ascii="Arial" w:cs="Arial" w:eastAsia="Arial" w:hAnsi="Arial"/>
          <w:sz w:val="19"/>
          <w:szCs w:val="19"/>
          <w:color w:val="auto"/>
        </w:rPr>
        <w:t>) direct the Plan Trustee on behalf of the Plan in connection with the execution of the Group Annuity Contract and the amendments thereto contemplated by this Agreement, and (</w:t>
      </w:r>
      <w:r>
        <w:rPr>
          <w:rFonts w:ascii="Arial" w:cs="Arial" w:eastAsia="Arial" w:hAnsi="Arial"/>
          <w:sz w:val="19"/>
          <w:szCs w:val="19"/>
          <w:u w:val="single" w:color="auto"/>
          <w:color w:val="auto"/>
        </w:rPr>
        <w:t>iv</w:t>
      </w:r>
      <w:r>
        <w:rPr>
          <w:rFonts w:ascii="Arial" w:cs="Arial" w:eastAsia="Arial" w:hAnsi="Arial"/>
          <w:sz w:val="19"/>
          <w:szCs w:val="19"/>
          <w:color w:val="auto"/>
        </w:rPr>
        <w:t>) perform the covenants and agreements and make the representations and warranties set forth in this Agreement, the Ancillary Agreements (to the extent a party thereto) and the IF Engagement Letter to be performed or made by the Independent Fiduciary.</w:t>
      </w:r>
    </w:p>
    <w:p>
      <w:pPr>
        <w:spacing w:after="0" w:line="20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Authorization of Agreement; Enforceability</w:t>
      </w:r>
      <w:r>
        <w:rPr>
          <w:rFonts w:ascii="Arial" w:cs="Arial" w:eastAsia="Arial" w:hAnsi="Arial"/>
          <w:sz w:val="19"/>
          <w:szCs w:val="19"/>
          <w:color w:val="auto"/>
        </w:rPr>
        <w:t>. The Independent Fiduciary has received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23" w:right="239" w:bottom="1440" w:gutter="0" w:footer="0" w:header="0"/>
        </w:sectPr>
      </w:pPr>
    </w:p>
    <w:bookmarkStart w:id="137" w:name="page138"/>
    <w:bookmarkEnd w:id="137"/>
    <w:p>
      <w:pPr>
        <w:jc w:val="both"/>
        <w:spacing w:after="0" w:line="257" w:lineRule="auto"/>
        <w:rPr>
          <w:sz w:val="20"/>
          <w:szCs w:val="20"/>
          <w:color w:val="auto"/>
        </w:rPr>
      </w:pPr>
      <w:r>
        <w:rPr>
          <w:rFonts w:ascii="Arial" w:cs="Arial" w:eastAsia="Arial" w:hAnsi="Arial"/>
          <w:sz w:val="21"/>
          <w:szCs w:val="21"/>
          <w:color w:val="auto"/>
        </w:rPr>
        <w:t xml:space="preserve">all appropriate corporate approvals and no other action on the part of the Independent Fiduciary is necessary to authorize the execution, delivery and performance of this Agreement and the Ancillary Agreements (to the extent a party thereto) and the consummation of the transactions contemplated to be undertaken by the Independent Fiduciary under this Agreement and the Ancillary Agreements (to the extent a party thereto). This Agreement is, and the Ancillary Agreements (to the extent a party thereto), when executed will be, duly executed and delivered by the Independent Fiduciary, and each is (or when executed will be) a valid and binding obligation of Independent Fiduciary and enforceable against Independent Fiduciary, in accordance with its terms, subject to the Enforceability Exception and the prudence requirements of ERISA;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set forth in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neither this Agreement nor the Ancillary Agreements (to the extent a party thereto) shall be enforceable against the Independent Fiduciary if this Agreement is terminated pursuant to </w:t>
      </w:r>
      <w:r>
        <w:rPr>
          <w:rFonts w:ascii="Arial" w:cs="Arial" w:eastAsia="Arial" w:hAnsi="Arial"/>
          <w:sz w:val="21"/>
          <w:szCs w:val="21"/>
          <w:u w:val="single" w:color="auto"/>
          <w:color w:val="auto"/>
        </w:rPr>
        <w:t>Section 10.1(f)</w:t>
      </w:r>
      <w:r>
        <w:rPr>
          <w:rFonts w:ascii="Arial" w:cs="Arial" w:eastAsia="Arial" w:hAnsi="Arial"/>
          <w:sz w:val="21"/>
          <w:szCs w:val="21"/>
          <w:color w:val="auto"/>
        </w:rPr>
        <w:t xml:space="preserve"> or the Closing condition set forth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has not been satisfied. Notwithstanding any other provision in this Agreement or the Ancillary Agreements (to the extent a party thereto), the Confidentiality Agreements applicable to the Independent Fiduciary shall remain enforceable against the Independent Fiduciary if this Agreement is terminated pursuant to </w:t>
      </w:r>
      <w:r>
        <w:rPr>
          <w:rFonts w:ascii="Arial" w:cs="Arial" w:eastAsia="Arial" w:hAnsi="Arial"/>
          <w:sz w:val="21"/>
          <w:szCs w:val="21"/>
          <w:u w:val="single" w:color="auto"/>
          <w:color w:val="auto"/>
        </w:rPr>
        <w:t>Section 10.1(f)</w:t>
      </w:r>
      <w:r>
        <w:rPr>
          <w:rFonts w:ascii="Arial" w:cs="Arial" w:eastAsia="Arial" w:hAnsi="Arial"/>
          <w:sz w:val="21"/>
          <w:szCs w:val="21"/>
          <w:color w:val="auto"/>
        </w:rPr>
        <w:t xml:space="preserve"> or the Closing condition set forth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has not been satisfied.</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Consents And Approvals; No Violations</w:t>
      </w:r>
      <w:r>
        <w:rPr>
          <w:rFonts w:ascii="Arial" w:cs="Arial" w:eastAsia="Arial" w:hAnsi="Arial"/>
          <w:sz w:val="22"/>
          <w:szCs w:val="22"/>
          <w:color w:val="auto"/>
        </w:rPr>
        <w:t>. The execution, delivery and performance of this Agreement and the Ancillary Agreements (to the extent a party thereto) by the Independent Fiduciary, or the consummation by the Independent Fiduciary of the transactions contemplated to be undertaken by the Independent Fiduciary, do not: (</w:t>
      </w:r>
      <w:r>
        <w:rPr>
          <w:rFonts w:ascii="Arial" w:cs="Arial" w:eastAsia="Arial" w:hAnsi="Arial"/>
          <w:sz w:val="22"/>
          <w:szCs w:val="22"/>
          <w:u w:val="single" w:color="auto"/>
          <w:color w:val="auto"/>
        </w:rPr>
        <w:t>a</w:t>
      </w:r>
      <w:r>
        <w:rPr>
          <w:rFonts w:ascii="Arial" w:cs="Arial" w:eastAsia="Arial" w:hAnsi="Arial"/>
          <w:sz w:val="22"/>
          <w:szCs w:val="22"/>
          <w:color w:val="auto"/>
        </w:rPr>
        <w:t>) violate or conflict with any provision of its certificate or articles of incorporation, bylaws or code of regulations (or the comparable governing documents); (</w:t>
      </w:r>
      <w:r>
        <w:rPr>
          <w:rFonts w:ascii="Arial" w:cs="Arial" w:eastAsia="Arial" w:hAnsi="Arial"/>
          <w:sz w:val="22"/>
          <w:szCs w:val="22"/>
          <w:u w:val="single" w:color="auto"/>
          <w:color w:val="auto"/>
        </w:rPr>
        <w:t>b</w:t>
      </w:r>
      <w:r>
        <w:rPr>
          <w:rFonts w:ascii="Arial" w:cs="Arial" w:eastAsia="Arial" w:hAnsi="Arial"/>
          <w:sz w:val="22"/>
          <w:szCs w:val="22"/>
          <w:color w:val="auto"/>
        </w:rPr>
        <w:t>) violate or conflict with any Law or Order of any Governmental Authority applicable to Independent Fiduciary; (</w:t>
      </w:r>
      <w:r>
        <w:rPr>
          <w:rFonts w:ascii="Arial" w:cs="Arial" w:eastAsia="Arial" w:hAnsi="Arial"/>
          <w:sz w:val="22"/>
          <w:szCs w:val="22"/>
          <w:u w:val="single" w:color="auto"/>
          <w:color w:val="auto"/>
        </w:rPr>
        <w:t>c</w:t>
      </w:r>
      <w:r>
        <w:rPr>
          <w:rFonts w:ascii="Arial" w:cs="Arial" w:eastAsia="Arial" w:hAnsi="Arial"/>
          <w:sz w:val="22"/>
          <w:szCs w:val="22"/>
          <w:color w:val="auto"/>
        </w:rPr>
        <w:t>) require any Governmental Approval; (</w:t>
      </w:r>
      <w:r>
        <w:rPr>
          <w:rFonts w:ascii="Arial" w:cs="Arial" w:eastAsia="Arial" w:hAnsi="Arial"/>
          <w:sz w:val="22"/>
          <w:szCs w:val="22"/>
          <w:u w:val="single" w:color="auto"/>
          <w:color w:val="auto"/>
        </w:rPr>
        <w:t>d</w:t>
      </w:r>
      <w:r>
        <w:rPr>
          <w:rFonts w:ascii="Arial" w:cs="Arial" w:eastAsia="Arial" w:hAnsi="Arial"/>
          <w:sz w:val="22"/>
          <w:szCs w:val="22"/>
          <w:color w:val="auto"/>
        </w:rPr>
        <w:t>) require any Consent of or other action by any Person; or (</w:t>
      </w:r>
      <w:r>
        <w:rPr>
          <w:rFonts w:ascii="Arial" w:cs="Arial" w:eastAsia="Arial" w:hAnsi="Arial"/>
          <w:sz w:val="22"/>
          <w:szCs w:val="22"/>
          <w:u w:val="single" w:color="auto"/>
          <w:color w:val="auto"/>
        </w:rPr>
        <w:t>e</w:t>
      </w:r>
      <w:r>
        <w:rPr>
          <w:rFonts w:ascii="Arial" w:cs="Arial" w:eastAsia="Arial" w:hAnsi="Arial"/>
          <w:sz w:val="22"/>
          <w:szCs w:val="22"/>
          <w:color w:val="auto"/>
        </w:rPr>
        <w:t>) result in a Non-Exempt Prohibited Transaction.</w:t>
      </w:r>
    </w:p>
    <w:p>
      <w:pPr>
        <w:spacing w:after="0" w:line="19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ERISA Related Determinations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92" w:lineRule="auto"/>
        <w:tabs>
          <w:tab w:leader="none" w:pos="113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Independent Fiduciary is fully qualified to serve as an independent fiduciary in connection with the Transactions contemplated by this Agreement and it is independent of the Company. The annual revenues of the Independent Fiduciary Controlled Group from the Company Controlled Group in 2011 were less than five percent of the Independent Fiduciary Controlled Group's total annual revenues in that year and the annual revenues of the Independent Fiduciary Controlled Group projected to be received from the Company Controlled Group in 2012 are less than five percent of the Independent Fiduciary Controlled Group's total projected annual revenues for 2012. Commercially reasonable ethical walls have been erected between the personnel working on the Transaction and the personnel working on other matters involving the Company Controlled Group.</w:t>
      </w:r>
    </w:p>
    <w:p>
      <w:pPr>
        <w:spacing w:after="0" w:line="192" w:lineRule="exact"/>
        <w:rPr>
          <w:rFonts w:ascii="Arial" w:cs="Arial" w:eastAsia="Arial" w:hAnsi="Arial"/>
          <w:sz w:val="19"/>
          <w:szCs w:val="19"/>
          <w:color w:val="auto"/>
        </w:rPr>
      </w:pPr>
    </w:p>
    <w:p>
      <w:pPr>
        <w:jc w:val="both"/>
        <w:ind w:firstLine="656"/>
        <w:spacing w:after="0" w:line="250" w:lineRule="auto"/>
        <w:tabs>
          <w:tab w:leader="none" w:pos="112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Independent Fiduciary has selected the Insurer to issue the Group Annuity Contract as set forth in this Agreement and such selection satisfies the requirements of ERISA and applicable guidance, including Interpretive Bulletin 95-1. The Independent Fiduciary has delivered a certification confirming the foregoing, executed by a duly authorized officer of the Independent Fiduciary, to the Annuity Committee.</w:t>
      </w:r>
    </w:p>
    <w:p>
      <w:pPr>
        <w:spacing w:after="0" w:line="228" w:lineRule="exact"/>
        <w:rPr>
          <w:rFonts w:ascii="Arial" w:cs="Arial" w:eastAsia="Arial" w:hAnsi="Arial"/>
          <w:sz w:val="22"/>
          <w:szCs w:val="22"/>
          <w:color w:val="auto"/>
        </w:rPr>
      </w:pPr>
    </w:p>
    <w:p>
      <w:pPr>
        <w:jc w:val="both"/>
        <w:ind w:firstLine="656"/>
        <w:spacing w:after="0" w:line="312" w:lineRule="auto"/>
        <w:tabs>
          <w:tab w:leader="none" w:pos="110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an Independent Fiduciary MAC has not occurred between the DTFA Execution Date and the Closing Date and is not continuing as of the Closing Date, the selection of the Insurer to provide the Group Annuity Contract will continue to satisfy the requirements of ERISA and applicable guidance, including Interpretive Bulletin 95-1, as of the Closing Date.</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No Brokers' Fee</w:t>
      </w:r>
      <w:r>
        <w:rPr>
          <w:rFonts w:ascii="Arial" w:cs="Arial" w:eastAsia="Arial" w:hAnsi="Arial"/>
          <w:sz w:val="22"/>
          <w:szCs w:val="22"/>
          <w:color w:val="auto"/>
        </w:rPr>
        <w:t>. The Independent Fiduciary has no Liability for any fee, commission or payment to any broker, finder or agent with respect to the Transactions for which any other Party, or their respective Affiliates or Representatives, could be liable.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91" w:right="239" w:bottom="1440" w:gutter="0" w:footer="0" w:header="0"/>
        </w:sectPr>
      </w:pPr>
    </w:p>
    <w:bookmarkStart w:id="138" w:name="page139"/>
    <w:bookmarkEnd w:id="138"/>
    <w:p>
      <w:pPr>
        <w:jc w:val="both"/>
        <w:ind w:firstLine="648"/>
        <w:spacing w:after="0" w:line="246"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No Other Representations or Warranties; Reliance</w:t>
      </w:r>
      <w:r>
        <w:rPr>
          <w:rFonts w:ascii="Arial" w:cs="Arial" w:eastAsia="Arial" w:hAnsi="Arial"/>
          <w:sz w:val="22"/>
          <w:szCs w:val="22"/>
          <w:color w:val="auto"/>
        </w:rPr>
        <w:t xml:space="preserve">. Except for the representations and warranties of the Independent Fiduciary expressly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neither the Independent Fiduciary, nor its Affiliates, nor any other Person makes any express or implied representation or warranty on behalf of the Independent Fiduciary or any of its Affiliates with respect to the Independent Fiduciary, the Plan, the Transferred Assets or the transactions contemplated by this Agreement and the Ancillary Agreements (to the extent a party thereto), including the Standard Termination and the Lump-Sum Solicitation. The Independent Fiduciary acknowledges and agrees that Insurer Parent, the Insurer and the Company have relied on the representations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00" w:lineRule="exact"/>
        <w:rPr>
          <w:sz w:val="20"/>
          <w:szCs w:val="20"/>
          <w:color w:val="auto"/>
        </w:rPr>
      </w:pPr>
    </w:p>
    <w:p>
      <w:pPr>
        <w:spacing w:after="0" w:line="248"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INSURER AND INSURER PARENT REPRESENTATIONS AND WARRANTIES</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Each of Insurer Parent and the Insurer hereby represents and warrants to the Company and the Independent Fiduciary as of the DTFA Execution Date and the Closing Date that, except as set forth in the Prudential Disclosure Letter:</w:t>
      </w:r>
    </w:p>
    <w:p>
      <w:pPr>
        <w:spacing w:after="0" w:line="3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Due Organization, Good Standing and Corporate Power</w:t>
      </w:r>
      <w:r>
        <w:rPr>
          <w:rFonts w:ascii="Arial" w:cs="Arial" w:eastAsia="Arial" w:hAnsi="Arial"/>
          <w:sz w:val="21"/>
          <w:szCs w:val="21"/>
          <w:color w:val="auto"/>
        </w:rPr>
        <w:t>. Insurer Parent is a corporation duly organized, validly existing and in good standing under the Laws of the State of New Jersey. The Insurer is a life insurance company duly organized, validly existing and in good standing under the Laws of the State of New Jersey. Each of Insurer Parent and the Insurer have all requisite power and authority to enter into and carry out their respective obligations under this Agreement and the Ancillary Agreements to which each is, or will be at Closing, a party and to consummate the transactions contemplated to be undertaken by each of Insurer Parent or the Insurer herein or therein. The Insurer is duly qualified or licensed to do business and is in good standing in each jurisdiction in which its performance of its obligations set forth in the Group Annuity Contract and Contract 300 Article P makes such qualification or licensing necessary, except in such jurisdictions where the failure to be in good standing or so qualified or licensed is not material.</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Authorization of Agreement; Enforceability</w:t>
      </w:r>
      <w:r>
        <w:rPr>
          <w:rFonts w:ascii="Arial" w:cs="Arial" w:eastAsia="Arial" w:hAnsi="Arial"/>
          <w:sz w:val="19"/>
          <w:szCs w:val="19"/>
          <w:color w:val="auto"/>
        </w:rPr>
        <w:t xml:space="preserve">. Each of Insurer Parent and the Insurer have received all appropriate corporate approvals and no other action on the part of Insurer Parent, the Insurer or their respective Affiliates is necessary to authorize the execution, delivery and performance of this Agreement and the Ancillary Agreements (to the extent a party thereto) and the consummation of the transactions contemplated to be undertaken by Insurer Parent and the Insurer under this Agreement and the Ancillary Agreements (to the extent a party thereto). This Agreement is, and the Ancillary Agreements, other than the Group Annuity Contract, which is covered by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below, (to the extent the Insurer is a party thereto) when executed will be, duly executed and delivered by the Insurer, and each is (or when executed will be) a valid and binding obligation of the Insurer and enforceable against the Insurer in accordance with its terms, except to the extent that its enforceability may be subject to the Enforceability Exceptions. This Agreement has been, and the Ancillary Agreements (to the extent that the Insurer Parent is a party thereto) when executed will be, duly executed and delivered by Insurer Parent and each is a valid and binding obligation of Insurer Parent (to the extent the Insurer Parent is a party thereto) and enforceable against Insurer Parent, in accordance with its terms, except to the extent that its enforceability may be subject to the Enforceability Exceptions.</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Consents And Approvals; No Violations</w:t>
      </w:r>
      <w:r>
        <w:rPr>
          <w:rFonts w:ascii="Arial" w:cs="Arial" w:eastAsia="Arial" w:hAnsi="Arial"/>
          <w:sz w:val="22"/>
          <w:szCs w:val="22"/>
          <w:color w:val="auto"/>
        </w:rPr>
        <w:t xml:space="preserve">. Assuming the Consents from Governmental Authorities set forth on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of the Prudential Disclosure Letter have been obtained, the execution and delivery of this Agreement and the Ancillary Agreements (to the extent a party thereto) by Insurer Parent and the Insurer and the consummation by Insurer Parent and the Insurer of the transactions contemplated to be undertaken by the Insurer Parent and the Insurer do not (</w:t>
      </w:r>
      <w:r>
        <w:rPr>
          <w:rFonts w:ascii="Arial" w:cs="Arial" w:eastAsia="Arial" w:hAnsi="Arial"/>
          <w:sz w:val="22"/>
          <w:szCs w:val="22"/>
          <w:u w:val="single" w:color="auto"/>
          <w:color w:val="auto"/>
        </w:rPr>
        <w:t>a</w:t>
      </w:r>
      <w:r>
        <w:rPr>
          <w:rFonts w:ascii="Arial" w:cs="Arial" w:eastAsia="Arial" w:hAnsi="Arial"/>
          <w:sz w:val="22"/>
          <w:szCs w:val="22"/>
          <w:color w:val="auto"/>
        </w:rPr>
        <w:t>) violate or conflict with any provision of their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7" w:right="239" w:bottom="1440" w:gutter="0" w:footer="0" w:header="0"/>
        </w:sectPr>
      </w:pPr>
    </w:p>
    <w:bookmarkStart w:id="139" w:name="page140"/>
    <w:bookmarkEnd w:id="139"/>
    <w:p>
      <w:pPr>
        <w:jc w:val="both"/>
        <w:spacing w:after="0" w:line="288" w:lineRule="auto"/>
        <w:rPr>
          <w:sz w:val="20"/>
          <w:szCs w:val="20"/>
          <w:color w:val="auto"/>
        </w:rPr>
      </w:pPr>
      <w:r>
        <w:rPr>
          <w:rFonts w:ascii="Arial" w:cs="Arial" w:eastAsia="Arial" w:hAnsi="Arial"/>
          <w:sz w:val="19"/>
          <w:szCs w:val="19"/>
          <w:color w:val="auto"/>
        </w:rPr>
        <w:t>respective certificates or articles of incorporation, bylaws or code of regulations (or the comparable governing documents); (</w:t>
      </w:r>
      <w:r>
        <w:rPr>
          <w:rFonts w:ascii="Arial" w:cs="Arial" w:eastAsia="Arial" w:hAnsi="Arial"/>
          <w:sz w:val="19"/>
          <w:szCs w:val="19"/>
          <w:u w:val="single" w:color="auto"/>
          <w:color w:val="auto"/>
        </w:rPr>
        <w:t>b</w:t>
      </w:r>
      <w:r>
        <w:rPr>
          <w:rFonts w:ascii="Arial" w:cs="Arial" w:eastAsia="Arial" w:hAnsi="Arial"/>
          <w:sz w:val="19"/>
          <w:szCs w:val="19"/>
          <w:color w:val="auto"/>
        </w:rPr>
        <w:t>) violate or conflict with any Law or Order of any Governmental Authority applicable to Insurer Parent or the Insurer or any Transferred Assets; (</w:t>
      </w:r>
      <w:r>
        <w:rPr>
          <w:rFonts w:ascii="Arial" w:cs="Arial" w:eastAsia="Arial" w:hAnsi="Arial"/>
          <w:sz w:val="19"/>
          <w:szCs w:val="19"/>
          <w:u w:val="single" w:color="auto"/>
          <w:color w:val="auto"/>
        </w:rPr>
        <w:t>c</w:t>
      </w:r>
      <w:r>
        <w:rPr>
          <w:rFonts w:ascii="Arial" w:cs="Arial" w:eastAsia="Arial" w:hAnsi="Arial"/>
          <w:sz w:val="19"/>
          <w:szCs w:val="19"/>
          <w:color w:val="auto"/>
        </w:rPr>
        <w:t>) require any Governmental Approval; (</w:t>
      </w:r>
      <w:r>
        <w:rPr>
          <w:rFonts w:ascii="Arial" w:cs="Arial" w:eastAsia="Arial" w:hAnsi="Arial"/>
          <w:sz w:val="19"/>
          <w:szCs w:val="19"/>
          <w:u w:val="single" w:color="auto"/>
          <w:color w:val="auto"/>
        </w:rPr>
        <w:t>d</w:t>
      </w:r>
      <w:r>
        <w:rPr>
          <w:rFonts w:ascii="Arial" w:cs="Arial" w:eastAsia="Arial" w:hAnsi="Arial"/>
          <w:sz w:val="19"/>
          <w:szCs w:val="19"/>
          <w:color w:val="auto"/>
        </w:rPr>
        <w:t>) require any Consent of or other action by any Person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to which the Insurer is a party, to the extent the absence or occurrence of any of the foregoing would have a material adverse impact on the Insurer's ability to consummate the Transaction; or (</w:t>
      </w:r>
      <w:r>
        <w:rPr>
          <w:rFonts w:ascii="Arial" w:cs="Arial" w:eastAsia="Arial" w:hAnsi="Arial"/>
          <w:sz w:val="19"/>
          <w:szCs w:val="19"/>
          <w:u w:val="single" w:color="auto"/>
          <w:color w:val="auto"/>
        </w:rPr>
        <w:t>e</w:t>
      </w:r>
      <w:r>
        <w:rPr>
          <w:rFonts w:ascii="Arial" w:cs="Arial" w:eastAsia="Arial" w:hAnsi="Arial"/>
          <w:sz w:val="19"/>
          <w:szCs w:val="19"/>
          <w:color w:val="auto"/>
        </w:rPr>
        <w:t>) result in a Non-Exempt Prohibited Transaction. The form of Group Annuity Contract has been approved for issuance by the New York State Department of Financial Services. The Plan of Operations has been approved by the New York State Department of Financial Services and the New Jersey Department of Banking and Insurance. The Annuity Certificates have been filed with the New York State Department of Financial Services for use in accordance with the General Annuity Contract.</w:t>
      </w:r>
    </w:p>
    <w:p>
      <w:pPr>
        <w:spacing w:after="0" w:line="15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Enforceability of Group Annuity Contract</w:t>
      </w:r>
      <w:r>
        <w:rPr>
          <w:rFonts w:ascii="Arial" w:cs="Arial" w:eastAsia="Arial" w:hAnsi="Arial"/>
          <w:sz w:val="22"/>
          <w:szCs w:val="22"/>
          <w:color w:val="auto"/>
        </w:rPr>
        <w:t>. The Group Annuity Contract when executed will be duly executed and delivered by the Insurer and will be a valid and binding obligation of the Insurer and enforceable against the Insurer by the Plan Trustee and each Covered Life, Contingent Life and Beneficiary, in accordance with its terms, except to the extent that its enforceability may be subject to the Enforceability Exceptions. After the Contract-Holder (as defined in the Group Annuity Contract) ceases to exist, the Group Annuity Contract when executed will be duly executed and delivered by the Insurer and will be a valid and binding obligation of the Insurer and enforceable against the Insurer by each Covered Life, Contingent Life and Beneficiary, in accordance with its terms, except to the extent that its enforceability may be subject to the Enforceability Exceptions.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00" w:type="dxa"/>
            <w:vAlign w:val="bottom"/>
            <w:gridSpan w:val="5"/>
          </w:tcPr>
          <w:p>
            <w:pPr>
              <w:ind w:left="660"/>
              <w:spacing w:after="0"/>
              <w:rPr>
                <w:sz w:val="20"/>
                <w:szCs w:val="20"/>
                <w:color w:val="auto"/>
              </w:rPr>
            </w:pPr>
            <w:r>
              <w:rPr>
                <w:rFonts w:ascii="Arial" w:cs="Arial" w:eastAsia="Arial" w:hAnsi="Arial"/>
                <w:sz w:val="22"/>
                <w:szCs w:val="22"/>
                <w:color w:val="auto"/>
                <w:w w:val="97"/>
              </w:rPr>
              <w:t>Section 5.5   RBC Ratio. The RBC Ratio at December 31, 2011 was 491% [   ***</w:t>
            </w:r>
          </w:p>
        </w:tc>
        <w:tc>
          <w:tcPr>
            <w:tcW w:w="3120" w:type="dxa"/>
            <w:vAlign w:val="bottom"/>
          </w:tcPr>
          <w:p>
            <w:pPr>
              <w:jc w:val="right"/>
              <w:spacing w:after="0"/>
              <w:rPr>
                <w:sz w:val="20"/>
                <w:szCs w:val="20"/>
                <w:color w:val="auto"/>
              </w:rPr>
            </w:pPr>
            <w:r>
              <w:rPr>
                <w:rFonts w:ascii="Arial" w:cs="Arial" w:eastAsia="Arial" w:hAnsi="Arial"/>
                <w:sz w:val="22"/>
                <w:szCs w:val="22"/>
                <w:color w:val="auto"/>
                <w:w w:val="97"/>
              </w:rPr>
              <w:t>], and such Projected RBC Ratio</w:t>
            </w:r>
          </w:p>
        </w:tc>
      </w:tr>
      <w:tr>
        <w:trPr>
          <w:trHeight w:val="20"/>
        </w:trPr>
        <w:tc>
          <w:tcPr>
            <w:tcW w:w="1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r>
      <w:tr>
        <w:trPr>
          <w:trHeight w:val="287"/>
        </w:trPr>
        <w:tc>
          <w:tcPr>
            <w:tcW w:w="3520" w:type="dxa"/>
            <w:vAlign w:val="bottom"/>
            <w:gridSpan w:val="3"/>
          </w:tcPr>
          <w:p>
            <w:pPr>
              <w:spacing w:after="0"/>
              <w:rPr>
                <w:sz w:val="20"/>
                <w:szCs w:val="20"/>
                <w:color w:val="auto"/>
              </w:rPr>
            </w:pPr>
            <w:r>
              <w:rPr>
                <w:rFonts w:ascii="Arial" w:cs="Arial" w:eastAsia="Arial" w:hAnsi="Arial"/>
                <w:sz w:val="22"/>
                <w:szCs w:val="22"/>
                <w:color w:val="auto"/>
                <w:w w:val="98"/>
              </w:rPr>
              <w:t>was determined in accordance with [</w:t>
            </w:r>
          </w:p>
        </w:tc>
        <w:tc>
          <w:tcPr>
            <w:tcW w:w="8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7100" w:type="dxa"/>
            <w:vAlign w:val="bottom"/>
            <w:gridSpan w:val="2"/>
          </w:tcPr>
          <w:p>
            <w:pPr>
              <w:jc w:val="right"/>
              <w:spacing w:after="0"/>
              <w:rPr>
                <w:sz w:val="20"/>
                <w:szCs w:val="20"/>
                <w:color w:val="auto"/>
              </w:rPr>
            </w:pPr>
            <w:r>
              <w:rPr>
                <w:rFonts w:ascii="Arial" w:cs="Arial" w:eastAsia="Arial" w:hAnsi="Arial"/>
                <w:sz w:val="22"/>
                <w:szCs w:val="22"/>
                <w:color w:val="auto"/>
                <w:w w:val="98"/>
              </w:rPr>
              <w:t>]. As of the DTFA Execution Date, to the Insurer's Knowledge there are no</w:t>
            </w:r>
          </w:p>
        </w:tc>
      </w:tr>
    </w:tbl>
    <w:p>
      <w:pPr>
        <w:spacing w:after="0"/>
        <w:rPr>
          <w:sz w:val="20"/>
          <w:szCs w:val="20"/>
          <w:color w:val="auto"/>
        </w:rPr>
      </w:pPr>
      <w:r>
        <w:rPr>
          <w:rFonts w:ascii="Arial" w:cs="Arial" w:eastAsia="Arial" w:hAnsi="Arial"/>
          <w:sz w:val="19"/>
          <w:szCs w:val="19"/>
          <w:color w:val="auto"/>
        </w:rPr>
        <w:t>circumstances existing or that would reasonably be expected to occur that would reasonably be expected to cause an Insurer MAC.</w:t>
      </w:r>
    </w:p>
    <w:p>
      <w:pPr>
        <w:spacing w:after="0" w:line="23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business of the Insurer Parent and the Insurer has been and is being conducted in material compliance with applicable Laws, and none of the licenses, permits or Governmental Approvals required for the continued conduct of the business of the Insurer Parent and the Insurer as such business is currently being conducted will lapse, terminate, expire or otherwise be impaired as a result of the consummation of the transactions contemplated to be undertaken by the Insurer Parent, the Insurer or their Affiliates hereunder or pursuant to the Ancillary Agreements, except as, in either case, would not reasonably be expected to be, individually or in the aggregate, materially adverse to the ability of the Insurer Parent and the Insurer to perform their obligations under this Agreement or the Ancillary Agreements.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u w:val="single" w:color="auto"/>
          <w:color w:val="auto"/>
        </w:rPr>
        <w:t>No Brokers' Fee</w:t>
      </w:r>
      <w:r>
        <w:rPr>
          <w:rFonts w:ascii="Arial" w:cs="Arial" w:eastAsia="Arial" w:hAnsi="Arial"/>
          <w:sz w:val="22"/>
          <w:szCs w:val="22"/>
          <w:color w:val="auto"/>
        </w:rPr>
        <w:t>. Neither Insurer Parent nor the Insurer has any Liability for any fee, commission or payment to any broker, finder or agent with respect to the Transaction for which any other Party, or their respective Affiliates or Representatives, could be liable.</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5.8</w:t>
      </w:r>
      <w:r>
        <w:rPr>
          <w:sz w:val="20"/>
          <w:szCs w:val="20"/>
          <w:color w:val="auto"/>
        </w:rPr>
        <w:tab/>
      </w:r>
      <w:r>
        <w:rPr>
          <w:rFonts w:ascii="Arial" w:cs="Arial" w:eastAsia="Arial" w:hAnsi="Arial"/>
          <w:sz w:val="19"/>
          <w:szCs w:val="19"/>
          <w:u w:val="single" w:color="auto"/>
          <w:color w:val="auto"/>
        </w:rPr>
        <w:t>Disclosed Information</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97" w:lineRule="auto"/>
        <w:tabs>
          <w:tab w:leader="none" w:pos="153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Insurer Parent and the Insurer represent and warrant to the Company and the Independent Fiduciary in connection with the Independent Fiduciary's due diligence that, to Prudential's Knowledge, (</w:t>
      </w:r>
      <w:r>
        <w:rPr>
          <w:rFonts w:ascii="Arial" w:cs="Arial" w:eastAsia="Arial" w:hAnsi="Arial"/>
          <w:sz w:val="19"/>
          <w:szCs w:val="19"/>
          <w:u w:val="single" w:color="auto"/>
          <w:color w:val="auto"/>
        </w:rPr>
        <w:t>i</w:t>
      </w:r>
      <w:r>
        <w:rPr>
          <w:rFonts w:ascii="Arial" w:cs="Arial" w:eastAsia="Arial" w:hAnsi="Arial"/>
          <w:sz w:val="19"/>
          <w:szCs w:val="19"/>
          <w:color w:val="auto"/>
        </w:rPr>
        <w:t>) all material information provided to the Independent Fiduciary in connection with the transactions contemplated by this Agreement, was, as of the date indicated on such information, true and correct in all material respects and (</w:t>
      </w:r>
      <w:r>
        <w:rPr>
          <w:rFonts w:ascii="Arial" w:cs="Arial" w:eastAsia="Arial" w:hAnsi="Arial"/>
          <w:sz w:val="19"/>
          <w:szCs w:val="19"/>
          <w:u w:val="single" w:color="auto"/>
          <w:color w:val="auto"/>
        </w:rPr>
        <w:t>ii</w:t>
      </w:r>
      <w:r>
        <w:rPr>
          <w:rFonts w:ascii="Arial" w:cs="Arial" w:eastAsia="Arial" w:hAnsi="Arial"/>
          <w:sz w:val="19"/>
          <w:szCs w:val="19"/>
          <w:color w:val="auto"/>
        </w:rPr>
        <w:t>) no change has occurred since the date indicated on such information that the Insurer or Insurer Parent has not publicly disclosed or disclosed to the Independent Fiduciary that would cause such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91" w:right="2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information, taken as a whole, to be materially false or misleading.</w:t>
      </w:r>
    </w:p>
    <w:p>
      <w:pPr>
        <w:spacing w:after="0" w:line="260" w:lineRule="exact"/>
        <w:rPr>
          <w:sz w:val="20"/>
          <w:szCs w:val="20"/>
          <w:color w:val="auto"/>
        </w:rPr>
      </w:pPr>
    </w:p>
    <w:p>
      <w:pPr>
        <w:jc w:val="both"/>
        <w:ind w:firstLine="656"/>
        <w:spacing w:after="0" w:line="246" w:lineRule="auto"/>
        <w:tabs>
          <w:tab w:leader="none" w:pos="154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Insurer Parent and the Insurer represent and warrant to the Company that, to Prudential's Knowledge, (</w:t>
      </w:r>
      <w:r>
        <w:rPr>
          <w:rFonts w:ascii="Arial" w:cs="Arial" w:eastAsia="Arial" w:hAnsi="Arial"/>
          <w:sz w:val="22"/>
          <w:szCs w:val="22"/>
          <w:u w:val="single" w:color="auto"/>
          <w:color w:val="auto"/>
        </w:rPr>
        <w:t>i</w:t>
      </w:r>
      <w:r>
        <w:rPr>
          <w:rFonts w:ascii="Arial" w:cs="Arial" w:eastAsia="Arial" w:hAnsi="Arial"/>
          <w:sz w:val="22"/>
          <w:szCs w:val="22"/>
          <w:color w:val="auto"/>
        </w:rPr>
        <w:t>) the information on the Identified CD-ROM, (</w:t>
      </w:r>
      <w:r>
        <w:rPr>
          <w:rFonts w:ascii="Arial" w:cs="Arial" w:eastAsia="Arial" w:hAnsi="Arial"/>
          <w:sz w:val="22"/>
          <w:szCs w:val="22"/>
          <w:u w:val="single" w:color="auto"/>
          <w:color w:val="auto"/>
        </w:rPr>
        <w:t>ii</w:t>
      </w:r>
      <w:r>
        <w:rPr>
          <w:rFonts w:ascii="Arial" w:cs="Arial" w:eastAsia="Arial" w:hAnsi="Arial"/>
          <w:sz w:val="22"/>
          <w:szCs w:val="22"/>
          <w:color w:val="auto"/>
        </w:rPr>
        <w:t>) the Insurer Provided Life-by-Life Information provided to the Independent Third Party, and (</w:t>
      </w:r>
      <w:r>
        <w:rPr>
          <w:rFonts w:ascii="Arial" w:cs="Arial" w:eastAsia="Arial" w:hAnsi="Arial"/>
          <w:sz w:val="22"/>
          <w:szCs w:val="22"/>
          <w:u w:val="single" w:color="auto"/>
          <w:color w:val="auto"/>
        </w:rPr>
        <w:t>iii</w:t>
      </w:r>
      <w:r>
        <w:rPr>
          <w:rFonts w:ascii="Arial" w:cs="Arial" w:eastAsia="Arial" w:hAnsi="Arial"/>
          <w:sz w:val="22"/>
          <w:szCs w:val="22"/>
          <w:color w:val="auto"/>
        </w:rPr>
        <w:t>) all other information and data supplied to the Independent Third Party (other than, in each case, any such information that was supplied by the Company, the Plan Trustee, the Plan, the Independent Fiduciary, the Plan Investment Fiduciary or any of their respective Affiliates or Representatives, and has been exactly reproduced by the Insurer, with no modifications, errors or other changes) does not contain any material errors or omissions, other than any errors or omissions that are addressed by the Agreed Updates.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u w:val="single" w:color="auto"/>
          <w:color w:val="auto"/>
        </w:rPr>
        <w:t>No Other Representations or Warranties; Reliance</w:t>
      </w:r>
      <w:r>
        <w:rPr>
          <w:rFonts w:ascii="Arial" w:cs="Arial" w:eastAsia="Arial" w:hAnsi="Arial"/>
          <w:sz w:val="19"/>
          <w:szCs w:val="19"/>
          <w:color w:val="auto"/>
        </w:rPr>
        <w:t xml:space="preserve">. Except for the representations and warranties of Insurer and the Insurer Parent expressly set forth in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V, none of the Insurer Parent, the Insurer, any of their respective Affiliates or any other Person makes any express or implied representation or warranty on behalf of Insurer Parent or the Insurer or any of their respective Affiliates with respect to Insurer Parent, the Insurer, their respective Affiliates, or the transactions contemplated by this Agreement and the Ancillary Agreements (to the extent a party thereto). Insurer Parent and the Insurer acknowledge and agree that the Company and the Independent Fiduciary have relied on the representations set forth in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V.</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 CLOSING COVENANTS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Parties agree as follows with respect to the period between the execution of this Agreement and the Closing (except as otherwise expressly stated to apply to a different period):</w:t>
      </w:r>
    </w:p>
    <w:p>
      <w:pPr>
        <w:spacing w:after="0" w:line="3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6.1 Plan Amendments; Company Certification. The Company shall amend the Plan in a timely manner after the DTFA Execution Date to the extent necessary to effectuate the Plan Spin-Off and Plan Termination as contemplated in this Agreement. In addition, the Company will deliver at or prior to the Closing a true and correct certificate confirming whether or not the following items have occurred:</w:t>
      </w:r>
    </w:p>
    <w:p>
      <w:pPr>
        <w:spacing w:after="0" w:line="188" w:lineRule="exact"/>
        <w:rPr>
          <w:sz w:val="20"/>
          <w:szCs w:val="20"/>
          <w:color w:val="auto"/>
        </w:rPr>
      </w:pPr>
    </w:p>
    <w:p>
      <w:pPr>
        <w:ind w:left="1540" w:hanging="884"/>
        <w:spacing w:after="0"/>
        <w:tabs>
          <w:tab w:leader="none" w:pos="154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Plan Spin-Off was effected;</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 Notice of Intent to Terminate has been distributed;</w:t>
      </w:r>
    </w:p>
    <w:p>
      <w:pPr>
        <w:spacing w:after="0" w:line="260" w:lineRule="exact"/>
        <w:rPr>
          <w:rFonts w:ascii="Arial" w:cs="Arial" w:eastAsia="Arial" w:hAnsi="Arial"/>
          <w:sz w:val="22"/>
          <w:szCs w:val="22"/>
          <w:color w:val="auto"/>
        </w:rPr>
      </w:pPr>
    </w:p>
    <w:p>
      <w:pPr>
        <w:ind w:left="1540" w:hanging="884"/>
        <w:spacing w:after="0"/>
        <w:tabs>
          <w:tab w:leader="none" w:pos="154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 Notice of Plan Benefits has been distributed;</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Form 500 has been filed; and</w:t>
      </w:r>
    </w:p>
    <w:p>
      <w:pPr>
        <w:spacing w:after="0" w:line="260" w:lineRule="exact"/>
        <w:rPr>
          <w:rFonts w:ascii="Arial" w:cs="Arial" w:eastAsia="Arial" w:hAnsi="Arial"/>
          <w:sz w:val="22"/>
          <w:szCs w:val="22"/>
          <w:color w:val="auto"/>
        </w:rPr>
      </w:pPr>
    </w:p>
    <w:p>
      <w:pPr>
        <w:ind w:firstLine="656"/>
        <w:spacing w:after="0" w:line="263" w:lineRule="auto"/>
        <w:tabs>
          <w:tab w:leader="none" w:pos="153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all Lump-Sum Payments have been made prior to the end of the Lump-Sum Payment Period from Plan Assets in accordance with the Lump-Sum Elections.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Notice of Material Litigation</w:t>
      </w:r>
      <w:r>
        <w:rPr>
          <w:rFonts w:ascii="Arial" w:cs="Arial" w:eastAsia="Arial" w:hAnsi="Arial"/>
          <w:sz w:val="22"/>
          <w:szCs w:val="22"/>
          <w:color w:val="auto"/>
        </w:rPr>
        <w:t>. Between the DTFA Execution Date and the Closing Date, if (</w:t>
      </w:r>
      <w:r>
        <w:rPr>
          <w:rFonts w:ascii="Arial" w:cs="Arial" w:eastAsia="Arial" w:hAnsi="Arial"/>
          <w:sz w:val="22"/>
          <w:szCs w:val="22"/>
          <w:u w:val="single" w:color="auto"/>
          <w:color w:val="auto"/>
        </w:rPr>
        <w:t>i</w:t>
      </w:r>
      <w:r>
        <w:rPr>
          <w:rFonts w:ascii="Arial" w:cs="Arial" w:eastAsia="Arial" w:hAnsi="Arial"/>
          <w:sz w:val="22"/>
          <w:szCs w:val="22"/>
          <w:color w:val="auto"/>
        </w:rPr>
        <w:t>) the Company, the Plan or any fiduciary of the Plan, or (</w:t>
      </w:r>
      <w:r>
        <w:rPr>
          <w:rFonts w:ascii="Arial" w:cs="Arial" w:eastAsia="Arial" w:hAnsi="Arial"/>
          <w:sz w:val="22"/>
          <w:szCs w:val="22"/>
          <w:u w:val="single" w:color="auto"/>
          <w:color w:val="auto"/>
        </w:rPr>
        <w:t>ii</w:t>
      </w:r>
      <w:r>
        <w:rPr>
          <w:rFonts w:ascii="Arial" w:cs="Arial" w:eastAsia="Arial" w:hAnsi="Arial"/>
          <w:sz w:val="22"/>
          <w:szCs w:val="22"/>
          <w:color w:val="auto"/>
        </w:rPr>
        <w:t>) the Insurer or the Insurer Parent, becomes involved in any Material Litigation (except for PBGC review of the Plan's Standard Termination) then the Company (in the case of clause (i)) or the Insurer (in the case of clause (ii)) shall notify such other Party of such Material Litigation within ten (10) Business Days of the date on which it learns of such Material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91" w:right="2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Litigation.</w:t>
      </w:r>
    </w:p>
    <w:p>
      <w:pPr>
        <w:spacing w:after="0" w:line="22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Efforts to Close; Regulatory Clearances; Third-Party Consents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85" w:lineRule="auto"/>
        <w:tabs>
          <w:tab w:leader="none" w:pos="110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 addition to the actions specifically provided for elsewhere in this Agreement or in any Ancillary Agreement, each of the Parties will cooperate with each other and use (and, except with respect to the Independent Fiduciary, will cause their respective Affiliates to use) their respective commercially reasonable efforts to take, or to cause to be taken, all actions, and to do, or to cause to be done, all things reasonably necessary on its part to consummate the Closing. Without limiting the generality of the foregoing,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Company shall use its commercially reasonable efforts to obtain and to cause others to obtain, as soon as practicable, the Governmental Approvals (including the Governmental Approvals set forth on </w:t>
      </w:r>
      <w:r>
        <w:rPr>
          <w:rFonts w:ascii="Arial" w:cs="Arial" w:eastAsia="Arial" w:hAnsi="Arial"/>
          <w:sz w:val="19"/>
          <w:szCs w:val="19"/>
          <w:u w:val="single" w:color="auto"/>
          <w:color w:val="auto"/>
        </w:rPr>
        <w:t>Appendix 8.2(e</w:t>
      </w:r>
      <w:r>
        <w:rPr>
          <w:rFonts w:ascii="Arial" w:cs="Arial" w:eastAsia="Arial" w:hAnsi="Arial"/>
          <w:sz w:val="19"/>
          <w:szCs w:val="19"/>
          <w:color w:val="auto"/>
        </w:rPr>
        <w:t>)) and any consents required in</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connection with [ *** ] at the Closing, that may be or become necessary for the performance of its obligations under this Agreement and the Ancillary Agreements and the consummation of the transactions contemplated herein and therein, including cooperating with the Plan in carrying out the Standard Termination and the Lump-Sum Solicitation, and will cooperate fully with each other in promptly seeking to obtain such Governmental Approvals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Insurer Parent and the Insurer shall use their commercially reasonable efforts to obtain and to cause others to obtain, as soon as practicable, the Governmental Approvals (including the Governmental Approvals set forth on </w:t>
      </w:r>
      <w:r>
        <w:rPr>
          <w:rFonts w:ascii="Arial" w:cs="Arial" w:eastAsia="Arial" w:hAnsi="Arial"/>
          <w:sz w:val="19"/>
          <w:szCs w:val="19"/>
          <w:u w:val="single" w:color="auto"/>
          <w:color w:val="auto"/>
        </w:rPr>
        <w:t>Appendix 8.2(d)</w:t>
      </w:r>
      <w:r>
        <w:rPr>
          <w:rFonts w:ascii="Arial" w:cs="Arial" w:eastAsia="Arial" w:hAnsi="Arial"/>
          <w:sz w:val="19"/>
          <w:szCs w:val="19"/>
          <w:color w:val="auto"/>
        </w:rPr>
        <w:t>) that may be or become necessary for the performance of its obligations under this Agreement and the Ancillary Agreements and the consummation of the transactions contemplated herein and therein. Without limiting the foregoing and subject to applicable legal limitations and the instructions of any Governmental Authority, each of the Parties agrees to (</w:t>
      </w:r>
      <w:r>
        <w:rPr>
          <w:rFonts w:ascii="Arial" w:cs="Arial" w:eastAsia="Arial" w:hAnsi="Arial"/>
          <w:sz w:val="19"/>
          <w:szCs w:val="19"/>
          <w:u w:val="single" w:color="auto"/>
          <w:color w:val="auto"/>
        </w:rPr>
        <w:t>A</w:t>
      </w:r>
      <w:r>
        <w:rPr>
          <w:rFonts w:ascii="Arial" w:cs="Arial" w:eastAsia="Arial" w:hAnsi="Arial"/>
          <w:sz w:val="19"/>
          <w:szCs w:val="19"/>
          <w:color w:val="auto"/>
        </w:rPr>
        <w:t>) reasonably cooperate and consult with one another, (</w:t>
      </w:r>
      <w:r>
        <w:rPr>
          <w:rFonts w:ascii="Arial" w:cs="Arial" w:eastAsia="Arial" w:hAnsi="Arial"/>
          <w:sz w:val="19"/>
          <w:szCs w:val="19"/>
          <w:u w:val="single" w:color="auto"/>
          <w:color w:val="auto"/>
        </w:rPr>
        <w:t>B</w:t>
      </w:r>
      <w:r>
        <w:rPr>
          <w:rFonts w:ascii="Arial" w:cs="Arial" w:eastAsia="Arial" w:hAnsi="Arial"/>
          <w:sz w:val="19"/>
          <w:szCs w:val="19"/>
          <w:color w:val="auto"/>
        </w:rPr>
        <w:t>) furnish to the other Parties such necessary information and assistance as such other Party may reasonably request in connection with its preparation of any notifications or filings, (</w:t>
      </w:r>
      <w:r>
        <w:rPr>
          <w:rFonts w:ascii="Arial" w:cs="Arial" w:eastAsia="Arial" w:hAnsi="Arial"/>
          <w:sz w:val="19"/>
          <w:szCs w:val="19"/>
          <w:u w:val="single" w:color="auto"/>
          <w:color w:val="auto"/>
        </w:rPr>
        <w:t>C</w:t>
      </w:r>
      <w:r>
        <w:rPr>
          <w:rFonts w:ascii="Arial" w:cs="Arial" w:eastAsia="Arial" w:hAnsi="Arial"/>
          <w:sz w:val="19"/>
          <w:szCs w:val="19"/>
          <w:color w:val="auto"/>
        </w:rPr>
        <w:t>) keep each other apprised of the status of matters relating to the completion of the transactions contemplated thereby, including furnishing the other with copies of material notices or communications received by such Party from any third party or any Governmental Authority with respect to such transactions, within five (5) Business Days of receipt thereof, and (</w:t>
      </w:r>
      <w:r>
        <w:rPr>
          <w:rFonts w:ascii="Arial" w:cs="Arial" w:eastAsia="Arial" w:hAnsi="Arial"/>
          <w:sz w:val="19"/>
          <w:szCs w:val="19"/>
          <w:u w:val="single" w:color="auto"/>
          <w:color w:val="auto"/>
        </w:rPr>
        <w:t>D</w:t>
      </w:r>
      <w:r>
        <w:rPr>
          <w:rFonts w:ascii="Arial" w:cs="Arial" w:eastAsia="Arial" w:hAnsi="Arial"/>
          <w:sz w:val="19"/>
          <w:szCs w:val="19"/>
          <w:color w:val="auto"/>
        </w:rPr>
        <w:t>) to the extent reasonably practicable, permit the other Parties to review and incorporate the other Party's reasonable comments in any material communication to be given by it to any Governmental Authority with respect to obtaining the necessary approvals for the transactions contemplated by this Agreement.</w:t>
      </w:r>
    </w:p>
    <w:p>
      <w:pPr>
        <w:spacing w:after="0" w:line="200" w:lineRule="exact"/>
        <w:rPr>
          <w:sz w:val="20"/>
          <w:szCs w:val="20"/>
          <w:color w:val="auto"/>
        </w:rPr>
      </w:pPr>
    </w:p>
    <w:p>
      <w:pPr>
        <w:spacing w:after="0" w:line="266" w:lineRule="exact"/>
        <w:rPr>
          <w:sz w:val="20"/>
          <w:szCs w:val="20"/>
          <w:color w:val="auto"/>
        </w:rPr>
      </w:pPr>
    </w:p>
    <w:p>
      <w:pPr>
        <w:jc w:val="both"/>
        <w:ind w:firstLine="656"/>
        <w:spacing w:after="0" w:line="297" w:lineRule="auto"/>
        <w:tabs>
          <w:tab w:leader="none" w:pos="120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Section 6.3(a)</w:t>
      </w:r>
      <w:r>
        <w:rPr>
          <w:rFonts w:ascii="Arial" w:cs="Arial" w:eastAsia="Arial" w:hAnsi="Arial"/>
          <w:sz w:val="19"/>
          <w:szCs w:val="19"/>
          <w:color w:val="auto"/>
        </w:rPr>
        <w:t xml:space="preserve"> where the cooperation of third parties that are not Governmental Authorities, such as a trustee or record keeper, would be necessary in order for a Party to completely fulfill its obligations under this Agreement or any Ancillary Agreement, such Party will use its commercially reasonable efforts to cause such third parties to provide such cooperation. Without limiting the generality of the foregoing, the Parties shall use commercially reasonable efforts to work with the Plan Trustee to sign the Plan Trustee Agreement or to seek mutually agreeable alternative arrangements.</w:t>
      </w:r>
    </w:p>
    <w:p>
      <w:pPr>
        <w:spacing w:after="0" w:line="187" w:lineRule="exact"/>
        <w:rPr>
          <w:rFonts w:ascii="Arial" w:cs="Arial" w:eastAsia="Arial" w:hAnsi="Arial"/>
          <w:sz w:val="19"/>
          <w:szCs w:val="19"/>
          <w:color w:val="auto"/>
        </w:rPr>
      </w:pPr>
    </w:p>
    <w:p>
      <w:pPr>
        <w:jc w:val="both"/>
        <w:ind w:firstLine="656"/>
        <w:spacing w:after="0" w:line="250" w:lineRule="auto"/>
        <w:tabs>
          <w:tab w:leader="none" w:pos="117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6.3(a)</w:t>
      </w:r>
      <w:r>
        <w:rPr>
          <w:rFonts w:ascii="Arial" w:cs="Arial" w:eastAsia="Arial" w:hAnsi="Arial"/>
          <w:sz w:val="22"/>
          <w:szCs w:val="22"/>
          <w:color w:val="auto"/>
        </w:rPr>
        <w:t>, the Company shall periodically update the Insurer, upon Insurer's reasonable request, from and after the DTFA Execution Date through the Closing Date with respect to progress regarding (</w:t>
      </w:r>
      <w:r>
        <w:rPr>
          <w:rFonts w:ascii="Arial" w:cs="Arial" w:eastAsia="Arial" w:hAnsi="Arial"/>
          <w:sz w:val="22"/>
          <w:szCs w:val="22"/>
          <w:u w:val="single" w:color="auto"/>
          <w:color w:val="auto"/>
        </w:rPr>
        <w:t>i</w:t>
      </w:r>
      <w:r>
        <w:rPr>
          <w:rFonts w:ascii="Arial" w:cs="Arial" w:eastAsia="Arial" w:hAnsi="Arial"/>
          <w:sz w:val="22"/>
          <w:szCs w:val="22"/>
          <w:color w:val="auto"/>
        </w:rPr>
        <w:t>) the filing of the Form 500, (</w:t>
      </w:r>
      <w:r>
        <w:rPr>
          <w:rFonts w:ascii="Arial" w:cs="Arial" w:eastAsia="Arial" w:hAnsi="Arial"/>
          <w:sz w:val="22"/>
          <w:szCs w:val="22"/>
          <w:u w:val="single" w:color="auto"/>
          <w:color w:val="auto"/>
        </w:rPr>
        <w:t>ii</w:t>
      </w:r>
      <w:r>
        <w:rPr>
          <w:rFonts w:ascii="Arial" w:cs="Arial" w:eastAsia="Arial" w:hAnsi="Arial"/>
          <w:sz w:val="22"/>
          <w:szCs w:val="22"/>
          <w:color w:val="auto"/>
        </w:rPr>
        <w:t>) the completion of the Lump-Sum Solicitation, (</w:t>
      </w:r>
      <w:r>
        <w:rPr>
          <w:rFonts w:ascii="Arial" w:cs="Arial" w:eastAsia="Arial" w:hAnsi="Arial"/>
          <w:sz w:val="22"/>
          <w:szCs w:val="22"/>
          <w:u w:val="single" w:color="auto"/>
          <w:color w:val="auto"/>
        </w:rPr>
        <w:t>iii</w:t>
      </w:r>
      <w:r>
        <w:rPr>
          <w:rFonts w:ascii="Arial" w:cs="Arial" w:eastAsia="Arial" w:hAnsi="Arial"/>
          <w:sz w:val="22"/>
          <w:szCs w:val="22"/>
          <w:color w:val="auto"/>
        </w:rPr>
        <w:t>) the completion of the Plan Spin-Off, and (</w:t>
      </w:r>
      <w:r>
        <w:rPr>
          <w:rFonts w:ascii="Arial" w:cs="Arial" w:eastAsia="Arial" w:hAnsi="Arial"/>
          <w:sz w:val="22"/>
          <w:szCs w:val="22"/>
          <w:u w:val="single" w:color="auto"/>
          <w:color w:val="auto"/>
        </w:rPr>
        <w:t>iv</w:t>
      </w:r>
      <w:r>
        <w:rPr>
          <w:rFonts w:ascii="Arial" w:cs="Arial" w:eastAsia="Arial" w:hAnsi="Arial"/>
          <w:sz w:val="22"/>
          <w:szCs w:val="22"/>
          <w:color w:val="auto"/>
        </w:rPr>
        <w:t>) other discussions with Governmental Authorities regarding the Plan Termination.</w:t>
      </w:r>
    </w:p>
    <w:p>
      <w:pPr>
        <w:spacing w:after="0" w:line="18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Public Announcements; SEC Filings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50" w:lineRule="auto"/>
        <w:tabs>
          <w:tab w:leader="none" w:pos="125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Each of the Company and the Insurer shall issue a press release announcing the execution and delivery of this Agreement and the transactions contemplated hereby (collectively, the “</w:t>
      </w:r>
      <w:r>
        <w:rPr>
          <w:rFonts w:ascii="Arial" w:cs="Arial" w:eastAsia="Arial" w:hAnsi="Arial"/>
          <w:sz w:val="22"/>
          <w:szCs w:val="22"/>
          <w:u w:val="single" w:color="auto"/>
          <w:color w:val="auto"/>
        </w:rPr>
        <w:t>Transaction Announcements</w:t>
      </w:r>
      <w:r>
        <w:rPr>
          <w:rFonts w:ascii="Arial" w:cs="Arial" w:eastAsia="Arial" w:hAnsi="Arial"/>
          <w:sz w:val="22"/>
          <w:szCs w:val="22"/>
          <w:color w:val="auto"/>
        </w:rPr>
        <w:t>”). Each of the Company and the Insurer shall provide a draft of such Transaction Announcement, and any related Form 8-K filing, to the other Party (and to the Independent Fiduciary, to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91" w:right="239" w:bottom="1440" w:gutter="0" w:footer="0" w:header="0"/>
        </w:sectPr>
      </w:pPr>
    </w:p>
    <w:bookmarkStart w:id="142" w:name="page143"/>
    <w:bookmarkEnd w:id="142"/>
    <w:p>
      <w:pPr>
        <w:jc w:val="both"/>
        <w:spacing w:after="0" w:line="253" w:lineRule="auto"/>
        <w:rPr>
          <w:sz w:val="20"/>
          <w:szCs w:val="20"/>
          <w:color w:val="auto"/>
        </w:rPr>
      </w:pPr>
      <w:r>
        <w:rPr>
          <w:rFonts w:ascii="Arial" w:cs="Arial" w:eastAsia="Arial" w:hAnsi="Arial"/>
          <w:sz w:val="22"/>
          <w:szCs w:val="22"/>
          <w:color w:val="auto"/>
        </w:rPr>
        <w:t>extent such Transaction Announcement references State Street Bank and Trust Company, or the role, duties or conclusions of the Independent Fiduciary) for review prior to the issuance thereof and shall consider any comments made by such other Party (or the Independent Fiduciary, as applicable) in good faith.</w:t>
      </w:r>
    </w:p>
    <w:p>
      <w:pPr>
        <w:spacing w:after="0" w:line="226" w:lineRule="exact"/>
        <w:rPr>
          <w:sz w:val="20"/>
          <w:szCs w:val="20"/>
          <w:color w:val="auto"/>
        </w:rPr>
      </w:pPr>
    </w:p>
    <w:p>
      <w:pPr>
        <w:jc w:val="both"/>
        <w:ind w:firstLine="656"/>
        <w:spacing w:after="0" w:line="247" w:lineRule="auto"/>
        <w:tabs>
          <w:tab w:leader="none" w:pos="1176" w:val="left"/>
        </w:tabs>
        <w:numPr>
          <w:ilvl w:val="1"/>
          <w:numId w:val="126"/>
        </w:numPr>
        <w:rPr>
          <w:rFonts w:ascii="Arial" w:cs="Arial" w:eastAsia="Arial" w:hAnsi="Arial"/>
          <w:sz w:val="22"/>
          <w:szCs w:val="22"/>
          <w:color w:val="auto"/>
        </w:rPr>
      </w:pPr>
      <w:r>
        <w:rPr>
          <w:rFonts w:ascii="Arial" w:cs="Arial" w:eastAsia="Arial" w:hAnsi="Arial"/>
          <w:sz w:val="22"/>
          <w:szCs w:val="22"/>
          <w:color w:val="auto"/>
        </w:rPr>
        <w:t>From the DTFA Execution Date through the Closing, the Company, the Independent Fiduciary and the Insurer shall not, and each shall cause their respective Affiliates not to, publish any press releases, or publish any other public statements (including to securities analysts), that contradicts or is inconsistent with the Transaction Announcements, without the prior approval of the other Parties, such approval not to be unreasonably withheld, conditioned or delayed, except as such Party determines in good faith may be required by Law or in connection with obligations pursuant to any listing agreement with any national securities exchange.</w:t>
      </w:r>
    </w:p>
    <w:p>
      <w:pPr>
        <w:spacing w:after="0" w:line="234" w:lineRule="exact"/>
        <w:rPr>
          <w:rFonts w:ascii="Arial" w:cs="Arial" w:eastAsia="Arial" w:hAnsi="Arial"/>
          <w:sz w:val="22"/>
          <w:szCs w:val="22"/>
          <w:color w:val="auto"/>
        </w:rPr>
      </w:pPr>
    </w:p>
    <w:p>
      <w:pPr>
        <w:jc w:val="both"/>
        <w:ind w:firstLine="656"/>
        <w:spacing w:after="0" w:line="261" w:lineRule="auto"/>
        <w:tabs>
          <w:tab w:leader="none" w:pos="1111"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Subject to paragraph (b) above, the Company and the Insurer each may make such public written or oral statements, as it deems necessary or appropriate, in its sole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such Party shall seek to give the other Party a reasonable opportunity to comment upon such statements in advance to the extent practicable, it being understood that neither the Company nor the Insurer shall have any right of approval over public statements by the other Party, except to the extent contemplated by paragraph (b) above. Subject to paragraph (b) above, the Independent Fiduciary may make such written or oral statements as it deems necessary or appropriate to respond to press inquiries.</w:t>
      </w:r>
    </w:p>
    <w:p>
      <w:pPr>
        <w:spacing w:after="0" w:line="220" w:lineRule="exact"/>
        <w:rPr>
          <w:rFonts w:ascii="Arial" w:cs="Arial" w:eastAsia="Arial" w:hAnsi="Arial"/>
          <w:sz w:val="21"/>
          <w:szCs w:val="21"/>
          <w:color w:val="auto"/>
        </w:rPr>
      </w:pPr>
    </w:p>
    <w:p>
      <w:pPr>
        <w:jc w:val="both"/>
        <w:ind w:firstLine="656"/>
        <w:spacing w:after="0" w:line="284" w:lineRule="auto"/>
        <w:tabs>
          <w:tab w:leader="none" w:pos="1174" w:val="left"/>
        </w:tabs>
        <w:numPr>
          <w:ilvl w:val="1"/>
          <w:numId w:val="126"/>
        </w:numPr>
        <w:rPr>
          <w:rFonts w:ascii="Arial" w:cs="Arial" w:eastAsia="Arial" w:hAnsi="Arial"/>
          <w:sz w:val="19"/>
          <w:szCs w:val="19"/>
          <w:color w:val="auto"/>
        </w:rPr>
      </w:pPr>
      <w:r>
        <w:rPr>
          <w:rFonts w:ascii="Arial" w:cs="Arial" w:eastAsia="Arial" w:hAnsi="Arial"/>
          <w:sz w:val="19"/>
          <w:szCs w:val="19"/>
          <w:color w:val="auto"/>
        </w:rPr>
        <w:t>Regulatory filings and other public communications regarding Governmental Approvals made by the Company, and all statements to Plan Participants and Plan Beneficiaries related to the Transaction, may be made in the sole discretion of the Company following the DTFA Execution Date; provided that any such regulatory filings or public communications regarding Governmental Approvals or any statements to Plan Participants and Plan Beneficiaries that describe the Insurer or the Group Annuity Contract shall be consistent in all material respects with the description of the Insurer and the Group Annuity Contract contained in the Company's Lump-Sum Solicitation. The Company shall provide copies of all such regulatory filings and public communications to Plan Participants and Plan Beneficiaries, in each case, to the Insurer and the Independent Fiduciary within ten</w:t>
      </w:r>
    </w:p>
    <w:p>
      <w:pPr>
        <w:spacing w:after="0" w:line="4" w:lineRule="exact"/>
        <w:rPr>
          <w:rFonts w:ascii="Arial" w:cs="Arial" w:eastAsia="Arial" w:hAnsi="Arial"/>
          <w:sz w:val="19"/>
          <w:szCs w:val="19"/>
          <w:color w:val="auto"/>
        </w:rPr>
      </w:pPr>
    </w:p>
    <w:p>
      <w:pPr>
        <w:jc w:val="both"/>
        <w:ind w:firstLine="8"/>
        <w:spacing w:after="0" w:line="244" w:lineRule="auto"/>
        <w:tabs>
          <w:tab w:leader="none" w:pos="45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Business Days prior to the publication thereof if the description of the Insurer or the Group Annuity Contract in such regulatory filing or public communication will not be consistent in a material respect with the description contained in the Company's Lump-Sum Solicitation (and, if such description is consistent in a material respect with the description contained in the Company's Lump-Sum Solicitation, then the Company shall provide the Insurer and the Independent Fiduciary a copy of such regulatory filing or public communication reasonably promptly after the date on which it is first used, it being understood that the Company will not be required to provide copies of materials that are substantially similar to materials that have previously been shared with Insurer and the Independent Fiduciary).</w:t>
      </w:r>
    </w:p>
    <w:p>
      <w:pPr>
        <w:spacing w:after="0" w:line="234" w:lineRule="exact"/>
        <w:rPr>
          <w:rFonts w:ascii="Arial" w:cs="Arial" w:eastAsia="Arial" w:hAnsi="Arial"/>
          <w:sz w:val="22"/>
          <w:szCs w:val="22"/>
          <w:color w:val="auto"/>
        </w:rPr>
      </w:pPr>
    </w:p>
    <w:p>
      <w:pPr>
        <w:jc w:val="both"/>
        <w:ind w:firstLine="656"/>
        <w:spacing w:after="0" w:line="297" w:lineRule="auto"/>
        <w:tabs>
          <w:tab w:leader="none" w:pos="1214"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The Insurer shall provide copies of all regulatory filings and other public communications regarding Government Approvals set forth on </w:t>
      </w:r>
      <w:r>
        <w:rPr>
          <w:rFonts w:ascii="Arial" w:cs="Arial" w:eastAsia="Arial" w:hAnsi="Arial"/>
          <w:sz w:val="19"/>
          <w:szCs w:val="19"/>
          <w:u w:val="single" w:color="auto"/>
          <w:color w:val="auto"/>
        </w:rPr>
        <w:t>Appendix 8.2(d)</w:t>
      </w:r>
      <w:r>
        <w:rPr>
          <w:rFonts w:ascii="Arial" w:cs="Arial" w:eastAsia="Arial" w:hAnsi="Arial"/>
          <w:sz w:val="19"/>
          <w:szCs w:val="19"/>
          <w:color w:val="auto"/>
        </w:rPr>
        <w:t>, and statements to Annuitants related to the Transaction prior to the Annuity Commencement Date, to the Company and the Independent Fiduciary (i) within five Business Days prior to the filing or making thereof if the contents of such filing will not be consistent in any material respect with the information contained in materials previously shared with the Company, and (</w:t>
      </w:r>
      <w:r>
        <w:rPr>
          <w:rFonts w:ascii="Arial" w:cs="Arial" w:eastAsia="Arial" w:hAnsi="Arial"/>
          <w:sz w:val="19"/>
          <w:szCs w:val="19"/>
          <w:u w:val="single" w:color="auto"/>
          <w:color w:val="auto"/>
        </w:rPr>
        <w:t>ii</w:t>
      </w:r>
      <w:r>
        <w:rPr>
          <w:rFonts w:ascii="Arial" w:cs="Arial" w:eastAsia="Arial" w:hAnsi="Arial"/>
          <w:sz w:val="19"/>
          <w:szCs w:val="19"/>
          <w:color w:val="auto"/>
        </w:rPr>
        <w:t>) in all instances as soon as practicable following such filing or making.</w:t>
      </w:r>
    </w:p>
    <w:p>
      <w:pPr>
        <w:spacing w:after="0" w:line="187" w:lineRule="exact"/>
        <w:rPr>
          <w:rFonts w:ascii="Arial" w:cs="Arial" w:eastAsia="Arial" w:hAnsi="Arial"/>
          <w:sz w:val="19"/>
          <w:szCs w:val="19"/>
          <w:color w:val="auto"/>
        </w:rPr>
      </w:pPr>
    </w:p>
    <w:p>
      <w:pPr>
        <w:jc w:val="both"/>
        <w:ind w:firstLine="656"/>
        <w:spacing w:after="0" w:line="248" w:lineRule="auto"/>
        <w:tabs>
          <w:tab w:leader="none" w:pos="115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Company acknowledges that its ultimate parent entity may file the press release referred to in clause (a) above with the SEC on Form 8-K within four (4) Business Days following execution of this Agreement, but that this Agreement will not be filed as an exhibit thereto. The Company's ultimate parent intends to file this Agreement with its Form 10-Q for the period ending June 30, 2012 (the “</w:t>
      </w:r>
      <w:r>
        <w:rPr>
          <w:rFonts w:ascii="Arial" w:cs="Arial" w:eastAsia="Arial" w:hAnsi="Arial"/>
          <w:sz w:val="22"/>
          <w:szCs w:val="22"/>
          <w:u w:val="single" w:color="auto"/>
          <w:color w:val="auto"/>
        </w:rPr>
        <w:t>10-Q</w:t>
      </w:r>
      <w:r>
        <w:rPr>
          <w:rFonts w:ascii="Arial" w:cs="Arial" w:eastAsia="Arial" w:hAnsi="Arial"/>
          <w:sz w:val="22"/>
          <w:szCs w:val="22"/>
          <w:color w:val="auto"/>
        </w:rPr>
        <w:t>”). Simultaneously with the filing of the 10-Q, the Company's ultimate parent will file a confidential treatment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91" w:right="239" w:bottom="1440" w:gutter="0" w:footer="0" w:header="0"/>
        </w:sectPr>
      </w:pPr>
    </w:p>
    <w:bookmarkStart w:id="143" w:name="page144"/>
    <w:bookmarkEnd w:id="143"/>
    <w:p>
      <w:pPr>
        <w:jc w:val="both"/>
        <w:spacing w:after="0" w:line="294" w:lineRule="auto"/>
        <w:rPr>
          <w:sz w:val="20"/>
          <w:szCs w:val="20"/>
          <w:color w:val="auto"/>
        </w:rPr>
      </w:pPr>
      <w:r>
        <w:rPr>
          <w:rFonts w:ascii="Arial" w:cs="Arial" w:eastAsia="Arial" w:hAnsi="Arial"/>
          <w:sz w:val="19"/>
          <w:szCs w:val="19"/>
          <w:color w:val="auto"/>
        </w:rPr>
        <w:t>request with the SEC to seek confidential treatment for certain provisions of the Agreement, including information relating to the pricing of the Group Annuity Contract. The Company's ultimate parent will provide the Insurer Parent a copy of any written correspondence with the SEC regarding such application for confidential treatment. Notwithstanding the foregoing, each Party acknowledges that the other Parties will publicly disclose any information that they believe is required by the rules of the SEC to be so disclosed and the Parties will cooperate with each other in preparation of the confidential treatment request. The Parties also agree that the contents of the confidential treatment request will be determined in the sole discretion of the Company.</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Notification of Certain Matters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47" w:lineRule="auto"/>
        <w:tabs>
          <w:tab w:leader="none" w:pos="124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Each Party will give written notice to the other Parties within five (5) Business Days of (</w:t>
      </w:r>
      <w:r>
        <w:rPr>
          <w:rFonts w:ascii="Arial" w:cs="Arial" w:eastAsia="Arial" w:hAnsi="Arial"/>
          <w:sz w:val="22"/>
          <w:szCs w:val="22"/>
          <w:u w:val="single" w:color="auto"/>
          <w:color w:val="auto"/>
        </w:rPr>
        <w:t>i</w:t>
      </w:r>
      <w:r>
        <w:rPr>
          <w:rFonts w:ascii="Arial" w:cs="Arial" w:eastAsia="Arial" w:hAnsi="Arial"/>
          <w:sz w:val="22"/>
          <w:szCs w:val="22"/>
          <w:color w:val="auto"/>
        </w:rPr>
        <w:t>) any notice or other communication from any Person alleging that the Consent of such Person is or may be required in connection with the transactions contemplated hereby, (</w:t>
      </w:r>
      <w:r>
        <w:rPr>
          <w:rFonts w:ascii="Arial" w:cs="Arial" w:eastAsia="Arial" w:hAnsi="Arial"/>
          <w:sz w:val="22"/>
          <w:szCs w:val="22"/>
          <w:u w:val="single" w:color="auto"/>
          <w:color w:val="auto"/>
        </w:rPr>
        <w:t>ii</w:t>
      </w:r>
      <w:r>
        <w:rPr>
          <w:rFonts w:ascii="Arial" w:cs="Arial" w:eastAsia="Arial" w:hAnsi="Arial"/>
          <w:sz w:val="22"/>
          <w:szCs w:val="22"/>
          <w:color w:val="auto"/>
        </w:rPr>
        <w:t>) any Action commenced or threatened in writing against, relating to or involving or otherwise affecting it or any of its Affiliates that relate to the consummation of the transactions contemplated hereby,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any change or event that would reasonably be expected to cause, individually or in the aggregate, any condition to Closing set forth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not to be satisfied.</w:t>
      </w:r>
    </w:p>
    <w:p>
      <w:pPr>
        <w:spacing w:after="0" w:line="234" w:lineRule="exact"/>
        <w:rPr>
          <w:rFonts w:ascii="Arial" w:cs="Arial" w:eastAsia="Arial" w:hAnsi="Arial"/>
          <w:sz w:val="22"/>
          <w:szCs w:val="22"/>
          <w:color w:val="auto"/>
        </w:rPr>
      </w:pPr>
    </w:p>
    <w:p>
      <w:pPr>
        <w:jc w:val="both"/>
        <w:ind w:firstLine="656"/>
        <w:spacing w:after="0" w:line="294" w:lineRule="auto"/>
        <w:tabs>
          <w:tab w:leader="none" w:pos="126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Prior to the Closing, any Party may deliver to both other Parties supplements or updates to the sections of the delivering Party's Disclosure Letter which this Agreement or the delivering Party's Disclosure Letter, as applicable, explicitly provides may be supplemented or updated; provided, however, that no such supplement or update will be considered or taken into account for purposes of determining whether the conditions to closing set forth in </w:t>
      </w:r>
      <w:r>
        <w:rPr>
          <w:rFonts w:ascii="Arial" w:cs="Arial" w:eastAsia="Arial" w:hAnsi="Arial"/>
          <w:sz w:val="19"/>
          <w:szCs w:val="19"/>
          <w:u w:val="single" w:color="auto"/>
          <w:color w:val="auto"/>
        </w:rPr>
        <w:t>Sections 8.2(a)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8.3(a)</w:t>
      </w:r>
      <w:r>
        <w:rPr>
          <w:rFonts w:ascii="Arial" w:cs="Arial" w:eastAsia="Arial" w:hAnsi="Arial"/>
          <w:sz w:val="19"/>
          <w:szCs w:val="19"/>
          <w:color w:val="auto"/>
        </w:rPr>
        <w:t xml:space="preserve"> have been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supplement or update shall be deemed to have cured any breach of any representation or warranty made in this Agreement except for purposes of determining whether or not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have been satisfied.</w:t>
      </w:r>
    </w:p>
    <w:p>
      <w:pPr>
        <w:spacing w:after="0" w:line="190" w:lineRule="exact"/>
        <w:rPr>
          <w:rFonts w:ascii="Arial" w:cs="Arial" w:eastAsia="Arial" w:hAnsi="Arial"/>
          <w:sz w:val="19"/>
          <w:szCs w:val="19"/>
          <w:color w:val="auto"/>
        </w:rPr>
      </w:pPr>
    </w:p>
    <w:p>
      <w:pPr>
        <w:ind w:left="1120" w:hanging="464"/>
        <w:spacing w:after="0"/>
        <w:tabs>
          <w:tab w:leader="none" w:pos="11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21"/>
          <w:szCs w:val="21"/>
          <w:color w:val="auto"/>
        </w:rPr>
        <w:t>]</w:t>
      </w:r>
    </w:p>
    <w:p>
      <w:pPr>
        <w:spacing w:after="0" w:line="260" w:lineRule="exact"/>
        <w:rPr>
          <w:rFonts w:ascii="Arial" w:cs="Arial" w:eastAsia="Arial" w:hAnsi="Arial"/>
          <w:sz w:val="22"/>
          <w:szCs w:val="22"/>
          <w:color w:val="auto"/>
        </w:rPr>
      </w:pPr>
    </w:p>
    <w:p>
      <w:pPr>
        <w:ind w:left="1180" w:hanging="524"/>
        <w:spacing w:after="0"/>
        <w:tabs>
          <w:tab w:leader="none" w:pos="11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Insurer will notify the other Parties as promptly as reasonably practicable (and in any event within seventy-two</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(72) hours) if (</w:t>
      </w:r>
      <w:r>
        <w:rPr>
          <w:rFonts w:ascii="Arial" w:cs="Arial" w:eastAsia="Arial" w:hAnsi="Arial"/>
          <w:sz w:val="22"/>
          <w:szCs w:val="22"/>
          <w:u w:val="single" w:color="auto"/>
          <w:color w:val="auto"/>
        </w:rPr>
        <w:t>i</w:t>
      </w:r>
      <w:r>
        <w:rPr>
          <w:rFonts w:ascii="Arial" w:cs="Arial" w:eastAsia="Arial" w:hAnsi="Arial"/>
          <w:sz w:val="22"/>
          <w:szCs w:val="22"/>
          <w:color w:val="auto"/>
        </w:rPr>
        <w:t xml:space="preserve">) the Projected RBC Ratio has dropped below [ *** ], [ *** ]. [ *** ]. For the avoidance of doubt, no failure or delay by the Insurer to provide any notice required under this </w:t>
      </w:r>
      <w:r>
        <w:rPr>
          <w:rFonts w:ascii="Arial" w:cs="Arial" w:eastAsia="Arial" w:hAnsi="Arial"/>
          <w:sz w:val="22"/>
          <w:szCs w:val="22"/>
          <w:u w:val="single" w:color="auto"/>
          <w:color w:val="auto"/>
        </w:rPr>
        <w:t>Section 6.5(d)</w:t>
      </w:r>
      <w:r>
        <w:rPr>
          <w:rFonts w:ascii="Arial" w:cs="Arial" w:eastAsia="Arial" w:hAnsi="Arial"/>
          <w:sz w:val="22"/>
          <w:szCs w:val="22"/>
          <w:color w:val="auto"/>
        </w:rPr>
        <w:t xml:space="preserve"> shall be deemed to constitute a waiver of, or otherwise impair, the Insurer's termination right in </w:t>
      </w:r>
      <w:r>
        <w:rPr>
          <w:rFonts w:ascii="Arial" w:cs="Arial" w:eastAsia="Arial" w:hAnsi="Arial"/>
          <w:sz w:val="22"/>
          <w:szCs w:val="22"/>
          <w:u w:val="single" w:color="auto"/>
          <w:color w:val="auto"/>
        </w:rPr>
        <w:t>Section 10.1(b)(ii)</w:t>
      </w:r>
      <w:r>
        <w:rPr>
          <w:rFonts w:ascii="Arial" w:cs="Arial" w:eastAsia="Arial" w:hAnsi="Arial"/>
          <w:sz w:val="22"/>
          <w:szCs w:val="22"/>
          <w:color w:val="auto"/>
        </w:rPr>
        <w:t>.</w:t>
      </w:r>
    </w:p>
    <w:p>
      <w:pPr>
        <w:spacing w:after="0" w:line="234" w:lineRule="exact"/>
        <w:rPr>
          <w:sz w:val="20"/>
          <w:szCs w:val="20"/>
          <w:color w:val="auto"/>
        </w:rPr>
      </w:pPr>
    </w:p>
    <w:p>
      <w:pPr>
        <w:ind w:left="1120" w:hanging="464"/>
        <w:spacing w:after="0"/>
        <w:tabs>
          <w:tab w:leader="none" w:pos="112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 Company will notify the other Parties as promptly as reasonably practicable (and in any event within seventy-two</w:t>
      </w:r>
    </w:p>
    <w:p>
      <w:pPr>
        <w:spacing w:after="0" w:line="56" w:lineRule="exact"/>
        <w:rPr>
          <w:rFonts w:ascii="Arial" w:cs="Arial" w:eastAsia="Arial" w:hAnsi="Arial"/>
          <w:sz w:val="19"/>
          <w:szCs w:val="19"/>
          <w:color w:val="auto"/>
        </w:rPr>
      </w:pPr>
    </w:p>
    <w:p>
      <w:pPr>
        <w:ind w:left="420" w:hanging="412"/>
        <w:spacing w:after="0"/>
        <w:tabs>
          <w:tab w:leader="none" w:pos="42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hours) if either (</w:t>
      </w:r>
      <w:r>
        <w:rPr>
          <w:rFonts w:ascii="Arial" w:cs="Arial" w:eastAsia="Arial" w:hAnsi="Arial"/>
          <w:sz w:val="19"/>
          <w:szCs w:val="19"/>
          <w:u w:val="single" w:color="auto"/>
          <w:color w:val="auto"/>
        </w:rPr>
        <w:t>i</w:t>
      </w:r>
      <w:r>
        <w:rPr>
          <w:rFonts w:ascii="Arial" w:cs="Arial" w:eastAsia="Arial" w:hAnsi="Arial"/>
          <w:sz w:val="19"/>
          <w:szCs w:val="19"/>
          <w:color w:val="auto"/>
        </w:rPr>
        <w:t>) the Liquidity Requirement has exceeded the Liquidity Cap, or (</w:t>
      </w:r>
      <w:r>
        <w:rPr>
          <w:rFonts w:ascii="Arial" w:cs="Arial" w:eastAsia="Arial" w:hAnsi="Arial"/>
          <w:sz w:val="19"/>
          <w:szCs w:val="19"/>
          <w:u w:val="single" w:color="auto"/>
          <w:color w:val="auto"/>
        </w:rPr>
        <w:t>ii</w:t>
      </w:r>
      <w:r>
        <w:rPr>
          <w:rFonts w:ascii="Arial" w:cs="Arial" w:eastAsia="Arial" w:hAnsi="Arial"/>
          <w:sz w:val="19"/>
          <w:szCs w:val="19"/>
          <w:color w:val="auto"/>
        </w:rPr>
        <w:t>) the Projected Parent Liquidity Position is</w:t>
      </w:r>
    </w:p>
    <w:p>
      <w:pPr>
        <w:spacing w:after="0" w:line="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less than [ *** ]. For the avoidance of doubt, no failure or delay by the Company to provide any notice required under this </w:t>
      </w:r>
      <w:r>
        <w:rPr>
          <w:rFonts w:ascii="Arial" w:cs="Arial" w:eastAsia="Arial" w:hAnsi="Arial"/>
          <w:sz w:val="22"/>
          <w:szCs w:val="22"/>
          <w:u w:val="single" w:color="auto"/>
          <w:color w:val="auto"/>
        </w:rPr>
        <w:t>Section 6.5(e)</w:t>
      </w:r>
      <w:r>
        <w:rPr>
          <w:rFonts w:ascii="Arial" w:cs="Arial" w:eastAsia="Arial" w:hAnsi="Arial"/>
          <w:sz w:val="22"/>
          <w:szCs w:val="22"/>
          <w:color w:val="auto"/>
        </w:rPr>
        <w:t xml:space="preserve"> shall be deemed to constitute a waiver of, or otherwise impair, the closing condition set forth in </w:t>
      </w:r>
      <w:r>
        <w:rPr>
          <w:rFonts w:ascii="Arial" w:cs="Arial" w:eastAsia="Arial" w:hAnsi="Arial"/>
          <w:sz w:val="22"/>
          <w:szCs w:val="22"/>
          <w:u w:val="single" w:color="auto"/>
          <w:color w:val="auto"/>
        </w:rPr>
        <w:t>Section 8.2(h)</w:t>
      </w:r>
      <w:r>
        <w:rPr>
          <w:rFonts w:ascii="Arial" w:cs="Arial" w:eastAsia="Arial" w:hAnsi="Arial"/>
          <w:sz w:val="22"/>
          <w:szCs w:val="22"/>
          <w:color w:val="auto"/>
        </w:rPr>
        <w:t xml:space="preserve"> or the Company's termination right in </w:t>
      </w:r>
      <w:r>
        <w:rPr>
          <w:rFonts w:ascii="Arial" w:cs="Arial" w:eastAsia="Arial" w:hAnsi="Arial"/>
          <w:sz w:val="22"/>
          <w:szCs w:val="22"/>
          <w:u w:val="single" w:color="auto"/>
          <w:color w:val="auto"/>
        </w:rPr>
        <w:t>Section 10.1(b)(i)</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Calculation and Adjustment of Insurer RBC Ratio; Projected Parent Liquidity Position; Liquidity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Requirement; Liquidity Cap</w:t>
      </w:r>
      <w:r>
        <w:rPr>
          <w:rFonts w:ascii="Arial" w:cs="Arial" w:eastAsia="Arial" w:hAnsi="Arial"/>
          <w:sz w:val="22"/>
          <w:szCs w:val="22"/>
          <w:color w:val="auto"/>
        </w:rPr>
        <w:t>.</w:t>
      </w:r>
    </w:p>
    <w:p>
      <w:pPr>
        <w:spacing w:after="0" w:line="215" w:lineRule="exact"/>
        <w:rPr>
          <w:sz w:val="20"/>
          <w:szCs w:val="20"/>
          <w:color w:val="auto"/>
        </w:rPr>
      </w:pPr>
    </w:p>
    <w:p>
      <w:pPr>
        <w:ind w:left="1120" w:hanging="464"/>
        <w:spacing w:after="0"/>
        <w:tabs>
          <w:tab w:leader="none" w:pos="112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If the Insurer either (1) provides notice to the Company and the Independent Fiduciary pursuant to </w:t>
      </w:r>
      <w:r>
        <w:rPr>
          <w:rFonts w:ascii="Arial" w:cs="Arial" w:eastAsia="Arial" w:hAnsi="Arial"/>
          <w:sz w:val="19"/>
          <w:szCs w:val="19"/>
          <w:u w:val="single" w:color="auto"/>
          <w:color w:val="auto"/>
        </w:rPr>
        <w:t>Section 6.5(d)(i)</w:t>
      </w:r>
      <w:r>
        <w:rPr>
          <w:rFonts w:ascii="Arial" w:cs="Arial" w:eastAsia="Arial" w:hAnsi="Arial"/>
          <w:sz w:val="19"/>
          <w:szCs w:val="19"/>
          <w:color w:val="auto"/>
        </w:rPr>
        <w:t>, or</w:t>
      </w:r>
    </w:p>
    <w:p>
      <w:pPr>
        <w:spacing w:after="0" w:line="56" w:lineRule="exact"/>
        <w:rPr>
          <w:rFonts w:ascii="Arial" w:cs="Arial" w:eastAsia="Arial" w:hAnsi="Arial"/>
          <w:sz w:val="19"/>
          <w:szCs w:val="19"/>
          <w:color w:val="auto"/>
        </w:rPr>
      </w:pPr>
    </w:p>
    <w:p>
      <w:pPr>
        <w:ind w:firstLine="8"/>
        <w:spacing w:after="0" w:line="246" w:lineRule="auto"/>
        <w:tabs>
          <w:tab w:leader="none" w:pos="31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provides a notice of termination to the Company and the Independent Fiduciary pursuant to </w:t>
      </w:r>
      <w:r>
        <w:rPr>
          <w:rFonts w:ascii="Arial" w:cs="Arial" w:eastAsia="Arial" w:hAnsi="Arial"/>
          <w:sz w:val="22"/>
          <w:szCs w:val="22"/>
          <w:u w:val="single" w:color="auto"/>
          <w:color w:val="auto"/>
        </w:rPr>
        <w:t>Section 10.1(b)(ii)</w:t>
      </w:r>
      <w:r>
        <w:rPr>
          <w:rFonts w:ascii="Arial" w:cs="Arial" w:eastAsia="Arial" w:hAnsi="Arial"/>
          <w:sz w:val="22"/>
          <w:szCs w:val="22"/>
          <w:color w:val="auto"/>
        </w:rPr>
        <w:t>, then, in either case, the Company may, not more than 10 Business Days after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91" w:right="239" w:bottom="1440" w:gutter="0" w:footer="0" w:header="0"/>
        </w:sectPr>
      </w:pPr>
    </w:p>
    <w:bookmarkStart w:id="144" w:name="page145"/>
    <w:bookmarkEnd w:id="144"/>
    <w:p>
      <w:pPr>
        <w:jc w:val="both"/>
        <w:spacing w:after="0" w:line="271" w:lineRule="auto"/>
        <w:rPr>
          <w:sz w:val="20"/>
          <w:szCs w:val="20"/>
          <w:color w:val="auto"/>
        </w:rPr>
      </w:pPr>
      <w:r>
        <w:rPr>
          <w:rFonts w:ascii="Arial" w:cs="Arial" w:eastAsia="Arial" w:hAnsi="Arial"/>
          <w:sz w:val="21"/>
          <w:szCs w:val="21"/>
          <w:color w:val="auto"/>
        </w:rPr>
        <w:t>receipt of such notice (or as promptly as practicable thereafter), retain an Approved Firm-A to review the Insurer's Projected RBC Ratio calculation and ensure that such calculation was prepared in good faith, consistent in all material respects with past practices of the Insurer, and without giving effect to the RBC Ratio impact of any of the RBC Actions.</w:t>
      </w:r>
    </w:p>
    <w:p>
      <w:pPr>
        <w:spacing w:after="0" w:line="208" w:lineRule="exact"/>
        <w:rPr>
          <w:sz w:val="20"/>
          <w:szCs w:val="20"/>
          <w:color w:val="auto"/>
        </w:rPr>
      </w:pPr>
    </w:p>
    <w:p>
      <w:pPr>
        <w:jc w:val="both"/>
        <w:ind w:firstLine="656"/>
        <w:spacing w:after="0" w:line="292" w:lineRule="auto"/>
        <w:tabs>
          <w:tab w:leader="none" w:pos="115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If the Company either (</w:t>
      </w:r>
      <w:r>
        <w:rPr>
          <w:rFonts w:ascii="Arial" w:cs="Arial" w:eastAsia="Arial" w:hAnsi="Arial"/>
          <w:sz w:val="19"/>
          <w:szCs w:val="19"/>
          <w:u w:val="single" w:color="auto"/>
          <w:color w:val="auto"/>
        </w:rPr>
        <w:t>1</w:t>
      </w:r>
      <w:r>
        <w:rPr>
          <w:rFonts w:ascii="Arial" w:cs="Arial" w:eastAsia="Arial" w:hAnsi="Arial"/>
          <w:sz w:val="19"/>
          <w:szCs w:val="19"/>
          <w:color w:val="auto"/>
        </w:rPr>
        <w:t xml:space="preserve">) provides notice to the Insurer and the Independent Fiduciary pursuant to </w:t>
      </w:r>
      <w:r>
        <w:rPr>
          <w:rFonts w:ascii="Arial" w:cs="Arial" w:eastAsia="Arial" w:hAnsi="Arial"/>
          <w:sz w:val="19"/>
          <w:szCs w:val="19"/>
          <w:u w:val="single" w:color="auto"/>
          <w:color w:val="auto"/>
        </w:rPr>
        <w:t>Section 6.5(e)</w:t>
      </w:r>
      <w:r>
        <w:rPr>
          <w:rFonts w:ascii="Arial" w:cs="Arial" w:eastAsia="Arial" w:hAnsi="Arial"/>
          <w:sz w:val="19"/>
          <w:szCs w:val="19"/>
          <w:color w:val="auto"/>
        </w:rPr>
        <w:t>, or (</w:t>
      </w:r>
      <w:r>
        <w:rPr>
          <w:rFonts w:ascii="Arial" w:cs="Arial" w:eastAsia="Arial" w:hAnsi="Arial"/>
          <w:sz w:val="19"/>
          <w:szCs w:val="19"/>
          <w:u w:val="single" w:color="auto"/>
          <w:color w:val="auto"/>
        </w:rPr>
        <w:t>2</w:t>
      </w:r>
      <w:r>
        <w:rPr>
          <w:rFonts w:ascii="Arial" w:cs="Arial" w:eastAsia="Arial" w:hAnsi="Arial"/>
          <w:sz w:val="19"/>
          <w:szCs w:val="19"/>
          <w:color w:val="auto"/>
        </w:rPr>
        <w:t xml:space="preserve">) provides a notice of termination to the Insurer and the Independent Fiduciary pursuant to </w:t>
      </w:r>
      <w:r>
        <w:rPr>
          <w:rFonts w:ascii="Arial" w:cs="Arial" w:eastAsia="Arial" w:hAnsi="Arial"/>
          <w:sz w:val="19"/>
          <w:szCs w:val="19"/>
          <w:u w:val="single" w:color="auto"/>
          <w:color w:val="auto"/>
        </w:rPr>
        <w:t>Section 10.1(b)(i)</w:t>
      </w:r>
      <w:r>
        <w:rPr>
          <w:rFonts w:ascii="Arial" w:cs="Arial" w:eastAsia="Arial" w:hAnsi="Arial"/>
          <w:sz w:val="19"/>
          <w:szCs w:val="19"/>
          <w:color w:val="auto"/>
        </w:rPr>
        <w:t xml:space="preserve"> or asserts that the closing condition set forth in </w:t>
      </w:r>
      <w:r>
        <w:rPr>
          <w:rFonts w:ascii="Arial" w:cs="Arial" w:eastAsia="Arial" w:hAnsi="Arial"/>
          <w:sz w:val="19"/>
          <w:szCs w:val="19"/>
          <w:u w:val="single" w:color="auto"/>
          <w:color w:val="auto"/>
        </w:rPr>
        <w:t>Section 8.2(h)</w:t>
      </w:r>
      <w:r>
        <w:rPr>
          <w:rFonts w:ascii="Arial" w:cs="Arial" w:eastAsia="Arial" w:hAnsi="Arial"/>
          <w:sz w:val="19"/>
          <w:szCs w:val="19"/>
          <w:color w:val="auto"/>
        </w:rPr>
        <w:t xml:space="preserve"> has not been satisfied, then, in either case, the Insurer may, not more than ten (10) Business Days after receiving such notice (or as promptly as practicable thereafter), retain an Approved Firm-B to review and verify the Company's calculation of the Liquidity Requirement or the Projected Parent Liquidity Position (or, if applicable, both calculations) and ensure that each such calculation was prepared in good faith, consistent in all material respects with past practices of the Company, and without giving effect to the liquidity impact of any of the Liquidity Actions.</w:t>
      </w:r>
    </w:p>
    <w:p>
      <w:pPr>
        <w:spacing w:after="0" w:line="192" w:lineRule="exact"/>
        <w:rPr>
          <w:rFonts w:ascii="Arial" w:cs="Arial" w:eastAsia="Arial" w:hAnsi="Arial"/>
          <w:sz w:val="19"/>
          <w:szCs w:val="19"/>
          <w:color w:val="auto"/>
        </w:rPr>
      </w:pPr>
    </w:p>
    <w:p>
      <w:pPr>
        <w:jc w:val="both"/>
        <w:ind w:firstLine="656"/>
        <w:spacing w:after="0" w:line="289" w:lineRule="auto"/>
        <w:tabs>
          <w:tab w:leader="none" w:pos="126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The Party requesting a review of calculations under </w:t>
      </w:r>
      <w:r>
        <w:rPr>
          <w:rFonts w:ascii="Arial" w:cs="Arial" w:eastAsia="Arial" w:hAnsi="Arial"/>
          <w:sz w:val="19"/>
          <w:szCs w:val="19"/>
          <w:u w:val="single" w:color="auto"/>
          <w:color w:val="auto"/>
        </w:rPr>
        <w:t>Section 6.6(a)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6.6(b)</w:t>
      </w:r>
      <w:r>
        <w:rPr>
          <w:rFonts w:ascii="Arial" w:cs="Arial" w:eastAsia="Arial" w:hAnsi="Arial"/>
          <w:sz w:val="19"/>
          <w:szCs w:val="19"/>
          <w:color w:val="auto"/>
        </w:rPr>
        <w:t>, as the case may be, (the “</w:t>
      </w:r>
      <w:r>
        <w:rPr>
          <w:rFonts w:ascii="Arial" w:cs="Arial" w:eastAsia="Arial" w:hAnsi="Arial"/>
          <w:sz w:val="19"/>
          <w:szCs w:val="19"/>
          <w:u w:val="single" w:color="auto"/>
          <w:color w:val="auto"/>
        </w:rPr>
        <w:t>Requesting Party</w:t>
      </w:r>
      <w:r>
        <w:rPr>
          <w:rFonts w:ascii="Arial" w:cs="Arial" w:eastAsia="Arial" w:hAnsi="Arial"/>
          <w:sz w:val="19"/>
          <w:szCs w:val="19"/>
          <w:color w:val="auto"/>
        </w:rPr>
        <w:t xml:space="preserve">”) shall instruct the respective Approved Firm to deliver its report to all Parties within ten (10) Business Days after the date of its retention. The Party whose calculation is being reviewed pursuant to </w:t>
      </w:r>
      <w:r>
        <w:rPr>
          <w:rFonts w:ascii="Arial" w:cs="Arial" w:eastAsia="Arial" w:hAnsi="Arial"/>
          <w:sz w:val="19"/>
          <w:szCs w:val="19"/>
          <w:u w:val="single" w:color="auto"/>
          <w:color w:val="auto"/>
        </w:rPr>
        <w:t>Section 6.6(a)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6.6(b)</w:t>
      </w:r>
      <w:r>
        <w:rPr>
          <w:rFonts w:ascii="Arial" w:cs="Arial" w:eastAsia="Arial" w:hAnsi="Arial"/>
          <w:sz w:val="19"/>
          <w:szCs w:val="19"/>
          <w:color w:val="auto"/>
        </w:rPr>
        <w:t>, as applicable (the “</w:t>
      </w:r>
      <w:r>
        <w:rPr>
          <w:rFonts w:ascii="Arial" w:cs="Arial" w:eastAsia="Arial" w:hAnsi="Arial"/>
          <w:sz w:val="19"/>
          <w:szCs w:val="19"/>
          <w:u w:val="single" w:color="auto"/>
          <w:color w:val="auto"/>
        </w:rPr>
        <w:t>Calculating Party</w:t>
      </w:r>
      <w:r>
        <w:rPr>
          <w:rFonts w:ascii="Arial" w:cs="Arial" w:eastAsia="Arial" w:hAnsi="Arial"/>
          <w:sz w:val="19"/>
          <w:szCs w:val="19"/>
          <w:color w:val="auto"/>
        </w:rPr>
        <w:t>”), shall fully cooperate with the Approved Firm, including providing access to all information, data and personnel necessary for the Approved Firm to complete and deliver its analysis within the ten (10) Business Day period described in the preceding sentence. Any failure by the Calculating Party to provide such access or cooperation will extend the delivery period until such access or cooperation is provided. If the Parties do not agree, in writing, on the calculation of the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Projected RBC Ratio pursuant to </w:t>
      </w:r>
      <w:r>
        <w:rPr>
          <w:rFonts w:ascii="Arial" w:cs="Arial" w:eastAsia="Arial" w:hAnsi="Arial"/>
          <w:sz w:val="19"/>
          <w:szCs w:val="19"/>
          <w:u w:val="single" w:color="auto"/>
          <w:color w:val="auto"/>
        </w:rPr>
        <w:t>Section 6.6(a)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Projected Parent Liquidity Position or Liquidity Requirement pursuant to </w:t>
      </w:r>
      <w:r>
        <w:rPr>
          <w:rFonts w:ascii="Arial" w:cs="Arial" w:eastAsia="Arial" w:hAnsi="Arial"/>
          <w:sz w:val="19"/>
          <w:szCs w:val="19"/>
          <w:u w:val="single" w:color="auto"/>
          <w:color w:val="auto"/>
        </w:rPr>
        <w:t>Section 6.6(b)</w:t>
      </w:r>
      <w:r>
        <w:rPr>
          <w:rFonts w:ascii="Arial" w:cs="Arial" w:eastAsia="Arial" w:hAnsi="Arial"/>
          <w:sz w:val="19"/>
          <w:szCs w:val="19"/>
          <w:color w:val="auto"/>
        </w:rPr>
        <w:t>, then the determination by the Approved Firm shall be final and binding on all Parties.</w:t>
      </w:r>
    </w:p>
    <w:p>
      <w:pPr>
        <w:spacing w:after="0" w:line="198" w:lineRule="exact"/>
        <w:rPr>
          <w:rFonts w:ascii="Arial" w:cs="Arial" w:eastAsia="Arial" w:hAnsi="Arial"/>
          <w:sz w:val="19"/>
          <w:szCs w:val="19"/>
          <w:color w:val="auto"/>
        </w:rPr>
      </w:pPr>
    </w:p>
    <w:p>
      <w:pPr>
        <w:ind w:left="1220" w:hanging="564"/>
        <w:spacing w:after="0"/>
        <w:tabs>
          <w:tab w:leader="none" w:pos="122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If, pursuant to a review arising under </w:t>
      </w:r>
      <w:r>
        <w:rPr>
          <w:rFonts w:ascii="Arial" w:cs="Arial" w:eastAsia="Arial" w:hAnsi="Arial"/>
          <w:sz w:val="19"/>
          <w:szCs w:val="19"/>
          <w:u w:val="single" w:color="auto"/>
          <w:color w:val="auto"/>
        </w:rPr>
        <w:t>Section 6.6(a)</w:t>
      </w:r>
      <w:r>
        <w:rPr>
          <w:rFonts w:ascii="Arial" w:cs="Arial" w:eastAsia="Arial" w:hAnsi="Arial"/>
          <w:sz w:val="19"/>
          <w:szCs w:val="19"/>
          <w:color w:val="auto"/>
        </w:rPr>
        <w:t>, the Approved Firm-A determines that the Insurer's Projected</w:t>
      </w:r>
    </w:p>
    <w:p>
      <w:pPr>
        <w:spacing w:after="0" w:line="56" w:lineRule="exact"/>
        <w:rPr>
          <w:sz w:val="20"/>
          <w:szCs w:val="20"/>
          <w:color w:val="auto"/>
        </w:rPr>
      </w:pPr>
    </w:p>
    <w:p>
      <w:pPr>
        <w:spacing w:after="0"/>
        <w:tabs>
          <w:tab w:leader="none" w:pos="10960" w:val="left"/>
        </w:tabs>
        <w:rPr>
          <w:sz w:val="20"/>
          <w:szCs w:val="20"/>
          <w:color w:val="auto"/>
        </w:rPr>
      </w:pPr>
      <w:r>
        <w:rPr>
          <w:rFonts w:ascii="Arial" w:cs="Arial" w:eastAsia="Arial" w:hAnsi="Arial"/>
          <w:sz w:val="19"/>
          <w:szCs w:val="19"/>
          <w:color w:val="auto"/>
        </w:rPr>
        <w:t>RBC Ratio calculation was not prepared in good faith, consistent in all material respects with past practices of the Insurer, [</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firstLine="344"/>
        <w:spacing w:after="0" w:line="281" w:lineRule="auto"/>
        <w:rPr>
          <w:sz w:val="20"/>
          <w:szCs w:val="20"/>
          <w:color w:val="auto"/>
        </w:rPr>
      </w:pPr>
      <w:r>
        <w:rPr>
          <w:rFonts w:ascii="Arial" w:cs="Arial" w:eastAsia="Arial" w:hAnsi="Arial"/>
          <w:sz w:val="19"/>
          <w:szCs w:val="19"/>
          <w:color w:val="auto"/>
        </w:rPr>
        <w:t xml:space="preserve">], and the Insurer or the Insurer Parent delivers the notice of termination described in </w:t>
      </w:r>
      <w:r>
        <w:rPr>
          <w:rFonts w:ascii="Arial" w:cs="Arial" w:eastAsia="Arial" w:hAnsi="Arial"/>
          <w:sz w:val="19"/>
          <w:szCs w:val="19"/>
          <w:u w:val="single" w:color="auto"/>
          <w:color w:val="auto"/>
        </w:rPr>
        <w:t>Section 10.1(b)(ii)</w:t>
      </w:r>
      <w:r>
        <w:rPr>
          <w:rFonts w:ascii="Arial" w:cs="Arial" w:eastAsia="Arial" w:hAnsi="Arial"/>
          <w:sz w:val="19"/>
          <w:szCs w:val="19"/>
          <w:color w:val="auto"/>
        </w:rPr>
        <w:t xml:space="preserve"> based upon such Projected RBC Ratio, then upon termination of this Agreement and in addition to the payment to the Company from the Escrow</w:t>
      </w:r>
    </w:p>
    <w:tbl>
      <w:tblPr>
        <w:tblLayout w:type="fixed"/>
        <w:tblInd w:w="0" w:type="dxa"/>
        <w:tblCellMar>
          <w:top w:w="0" w:type="dxa"/>
          <w:left w:w="0" w:type="dxa"/>
          <w:bottom w:w="0" w:type="dxa"/>
          <w:right w:w="0" w:type="dxa"/>
        </w:tblCellMar>
      </w:tblPr>
      <w:tr>
        <w:trPr>
          <w:trHeight w:val="208"/>
        </w:trPr>
        <w:tc>
          <w:tcPr>
            <w:tcW w:w="10800" w:type="dxa"/>
            <w:vAlign w:val="bottom"/>
            <w:gridSpan w:val="5"/>
          </w:tcPr>
          <w:p>
            <w:pPr>
              <w:spacing w:after="0" w:line="208" w:lineRule="exact"/>
              <w:rPr>
                <w:sz w:val="20"/>
                <w:szCs w:val="20"/>
                <w:color w:val="auto"/>
              </w:rPr>
            </w:pPr>
            <w:r>
              <w:rPr>
                <w:rFonts w:ascii="Arial" w:cs="Arial" w:eastAsia="Arial" w:hAnsi="Arial"/>
                <w:sz w:val="22"/>
                <w:szCs w:val="22"/>
                <w:color w:val="auto"/>
                <w:w w:val="91"/>
              </w:rPr>
              <w:t>Account contemplated by Section 10.2(b)(i) and the payment to the Company from the Insurer contemplated by Section [</w:t>
            </w:r>
          </w:p>
        </w:tc>
        <w:tc>
          <w:tcPr>
            <w:tcW w:w="500" w:type="dxa"/>
            <w:vAlign w:val="bottom"/>
          </w:tcPr>
          <w:p>
            <w:pPr>
              <w:jc w:val="right"/>
              <w:spacing w:after="0" w:line="208" w:lineRule="exact"/>
              <w:rPr>
                <w:sz w:val="20"/>
                <w:szCs w:val="20"/>
                <w:color w:val="auto"/>
              </w:rPr>
            </w:pPr>
            <w:r>
              <w:rPr>
                <w:rFonts w:ascii="Arial" w:cs="Arial" w:eastAsia="Arial" w:hAnsi="Arial"/>
                <w:sz w:val="22"/>
                <w:szCs w:val="22"/>
                <w:color w:val="auto"/>
              </w:rPr>
              <w:t>***</w:t>
            </w:r>
          </w:p>
        </w:tc>
      </w:tr>
      <w:tr>
        <w:trPr>
          <w:trHeight w:val="287"/>
        </w:trPr>
        <w:tc>
          <w:tcPr>
            <w:tcW w:w="2300" w:type="dxa"/>
            <w:vAlign w:val="bottom"/>
          </w:tcPr>
          <w:p>
            <w:pPr>
              <w:jc w:val="right"/>
              <w:ind w:right="1832"/>
              <w:spacing w:after="0"/>
              <w:rPr>
                <w:sz w:val="20"/>
                <w:szCs w:val="20"/>
                <w:color w:val="auto"/>
              </w:rPr>
            </w:pPr>
            <w:r>
              <w:rPr>
                <w:rFonts w:ascii="Arial" w:cs="Arial" w:eastAsia="Arial" w:hAnsi="Arial"/>
                <w:sz w:val="22"/>
                <w:szCs w:val="22"/>
                <w:color w:val="auto"/>
              </w:rPr>
              <w:t>].</w:t>
            </w:r>
          </w:p>
        </w:tc>
        <w:tc>
          <w:tcPr>
            <w:tcW w:w="154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39" w:lineRule="exact"/>
        <w:rPr>
          <w:sz w:val="20"/>
          <w:szCs w:val="20"/>
          <w:color w:val="auto"/>
        </w:rPr>
      </w:pPr>
    </w:p>
    <w:p>
      <w:pPr>
        <w:jc w:val="both"/>
        <w:ind w:firstLine="656"/>
        <w:spacing w:after="0" w:line="285" w:lineRule="auto"/>
        <w:tabs>
          <w:tab w:leader="none" w:pos="1129"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If, pursuant to a review arising under </w:t>
      </w:r>
      <w:r>
        <w:rPr>
          <w:rFonts w:ascii="Arial" w:cs="Arial" w:eastAsia="Arial" w:hAnsi="Arial"/>
          <w:sz w:val="19"/>
          <w:szCs w:val="19"/>
          <w:u w:val="single" w:color="auto"/>
          <w:color w:val="auto"/>
        </w:rPr>
        <w:t>Section 6.6(b)</w:t>
      </w:r>
      <w:r>
        <w:rPr>
          <w:rFonts w:ascii="Arial" w:cs="Arial" w:eastAsia="Arial" w:hAnsi="Arial"/>
          <w:sz w:val="19"/>
          <w:szCs w:val="19"/>
          <w:color w:val="auto"/>
        </w:rPr>
        <w:t xml:space="preserve">, the Approved Firm-B determines that the Company's calculation of the Liquidity Requirement or the Projected Parent Liquidity Position (or, if applicable, both calculations) was not prepared in good faith, consistent in all material respects with past practices of the Company, and without giving effect to the liquidity impact of any of the Liquidity Actions, and the Company delivers the notice of termination described in </w:t>
      </w:r>
      <w:r>
        <w:rPr>
          <w:rFonts w:ascii="Arial" w:cs="Arial" w:eastAsia="Arial" w:hAnsi="Arial"/>
          <w:sz w:val="19"/>
          <w:szCs w:val="19"/>
          <w:u w:val="single" w:color="auto"/>
          <w:color w:val="auto"/>
        </w:rPr>
        <w:t>Section 10.1(b)(i)</w:t>
      </w:r>
      <w:r>
        <w:rPr>
          <w:rFonts w:ascii="Arial" w:cs="Arial" w:eastAsia="Arial" w:hAnsi="Arial"/>
          <w:sz w:val="19"/>
          <w:szCs w:val="19"/>
          <w:color w:val="auto"/>
        </w:rPr>
        <w:t xml:space="preserve"> or asserts that the closing condition set forth in </w:t>
      </w:r>
      <w:r>
        <w:rPr>
          <w:rFonts w:ascii="Arial" w:cs="Arial" w:eastAsia="Arial" w:hAnsi="Arial"/>
          <w:sz w:val="19"/>
          <w:szCs w:val="19"/>
          <w:u w:val="single" w:color="auto"/>
          <w:color w:val="auto"/>
        </w:rPr>
        <w:t>Section 8.2(h)</w:t>
      </w:r>
      <w:r>
        <w:rPr>
          <w:rFonts w:ascii="Arial" w:cs="Arial" w:eastAsia="Arial" w:hAnsi="Arial"/>
          <w:sz w:val="19"/>
          <w:szCs w:val="19"/>
          <w:color w:val="auto"/>
        </w:rPr>
        <w:t xml:space="preserve"> has not been satisfied based upon such Liquidity Requirement or Projected Parent Liquidity Position, then upon termination of this Agreement and in addition to the payment to the Insurer Parent from the Escrow</w:t>
      </w:r>
    </w:p>
    <w:tbl>
      <w:tblPr>
        <w:tblLayout w:type="fixed"/>
        <w:tblInd w:w="0" w:type="dxa"/>
        <w:tblCellMar>
          <w:top w:w="0" w:type="dxa"/>
          <w:left w:w="0" w:type="dxa"/>
          <w:bottom w:w="0" w:type="dxa"/>
          <w:right w:w="0" w:type="dxa"/>
        </w:tblCellMar>
      </w:tblPr>
      <w:tr>
        <w:trPr>
          <w:trHeight w:val="207"/>
        </w:trPr>
        <w:tc>
          <w:tcPr>
            <w:tcW w:w="8540" w:type="dxa"/>
            <w:vAlign w:val="bottom"/>
            <w:gridSpan w:val="3"/>
          </w:tcPr>
          <w:p>
            <w:pPr>
              <w:spacing w:after="0" w:line="207" w:lineRule="exact"/>
              <w:rPr>
                <w:sz w:val="20"/>
                <w:szCs w:val="20"/>
                <w:color w:val="auto"/>
              </w:rPr>
            </w:pPr>
            <w:r>
              <w:rPr>
                <w:rFonts w:ascii="Arial" w:cs="Arial" w:eastAsia="Arial" w:hAnsi="Arial"/>
                <w:sz w:val="22"/>
                <w:szCs w:val="22"/>
                <w:color w:val="auto"/>
                <w:w w:val="94"/>
              </w:rPr>
              <w:t>Account contemplated by Section 10.2(b), an additional payment from the Company of [   ***</w:t>
            </w:r>
          </w:p>
        </w:tc>
        <w:tc>
          <w:tcPr>
            <w:tcW w:w="2880" w:type="dxa"/>
            <w:vAlign w:val="bottom"/>
          </w:tcPr>
          <w:p>
            <w:pPr>
              <w:ind w:left="200"/>
              <w:spacing w:after="0" w:line="207" w:lineRule="exact"/>
              <w:rPr>
                <w:sz w:val="20"/>
                <w:szCs w:val="20"/>
                <w:color w:val="auto"/>
              </w:rPr>
            </w:pPr>
            <w:r>
              <w:rPr>
                <w:rFonts w:ascii="Arial" w:cs="Arial" w:eastAsia="Arial" w:hAnsi="Arial"/>
                <w:sz w:val="22"/>
                <w:szCs w:val="22"/>
                <w:color w:val="auto"/>
                <w:w w:val="89"/>
              </w:rPr>
              <w:t>] shall be immediately due and</w:t>
            </w:r>
          </w:p>
        </w:tc>
      </w:tr>
      <w:tr>
        <w:trPr>
          <w:trHeight w:val="20"/>
        </w:trPr>
        <w:tc>
          <w:tcPr>
            <w:tcW w:w="2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87"/>
        </w:trPr>
        <w:tc>
          <w:tcPr>
            <w:tcW w:w="3620" w:type="dxa"/>
            <w:vAlign w:val="bottom"/>
            <w:gridSpan w:val="2"/>
          </w:tcPr>
          <w:p>
            <w:pPr>
              <w:spacing w:after="0"/>
              <w:rPr>
                <w:sz w:val="20"/>
                <w:szCs w:val="20"/>
                <w:color w:val="auto"/>
              </w:rPr>
            </w:pPr>
            <w:r>
              <w:rPr>
                <w:rFonts w:ascii="Arial" w:cs="Arial" w:eastAsia="Arial" w:hAnsi="Arial"/>
                <w:sz w:val="22"/>
                <w:szCs w:val="22"/>
                <w:color w:val="auto"/>
              </w:rPr>
              <w:t>payable to the Insurer Parent, [   ***</w:t>
            </w:r>
          </w:p>
        </w:tc>
        <w:tc>
          <w:tcPr>
            <w:tcW w:w="4920" w:type="dxa"/>
            <w:vAlign w:val="bottom"/>
          </w:tcPr>
          <w:p>
            <w:pPr>
              <w:jc w:val="right"/>
              <w:ind w:right="4652"/>
              <w:spacing w:after="0"/>
              <w:rPr>
                <w:sz w:val="20"/>
                <w:szCs w:val="20"/>
                <w:color w:val="auto"/>
              </w:rPr>
            </w:pPr>
            <w:r>
              <w:rPr>
                <w:rFonts w:ascii="Arial" w:cs="Arial" w:eastAsia="Arial" w:hAnsi="Arial"/>
                <w:sz w:val="22"/>
                <w:szCs w:val="22"/>
                <w:color w:val="auto"/>
              </w:rPr>
              <w:t>].</w:t>
            </w:r>
          </w:p>
        </w:tc>
        <w:tc>
          <w:tcPr>
            <w:tcW w:w="288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Administrative Transition Process</w:t>
      </w:r>
      <w:r>
        <w:rPr>
          <w:rFonts w:ascii="Arial" w:cs="Arial" w:eastAsia="Arial" w:hAnsi="Arial"/>
          <w:sz w:val="22"/>
          <w:szCs w:val="22"/>
          <w:color w:val="auto"/>
        </w:rPr>
        <w:t>. From the DTFA Execution Date until the Closing Date, each of the Company and the Insurer shall use their respective commercially reasonable efforts to take, or cause to be taken, all actions and to do, or cause to be done, all things necessary to coordinate the transfer to the Insurer of the recordkeeping and administration responsibilities necessary to effectively provide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91" w:right="239" w:bottom="1440" w:gutter="0" w:footer="0" w:header="0"/>
        </w:sectPr>
      </w:pPr>
    </w:p>
    <w:bookmarkStart w:id="145" w:name="page146"/>
    <w:bookmarkEnd w:id="145"/>
    <w:p>
      <w:pPr>
        <w:jc w:val="both"/>
        <w:spacing w:after="0" w:line="286" w:lineRule="auto"/>
        <w:rPr>
          <w:sz w:val="20"/>
          <w:szCs w:val="20"/>
          <w:color w:val="auto"/>
        </w:rPr>
      </w:pPr>
      <w:r>
        <w:rPr>
          <w:rFonts w:ascii="Arial" w:cs="Arial" w:eastAsia="Arial" w:hAnsi="Arial"/>
          <w:sz w:val="19"/>
          <w:szCs w:val="19"/>
          <w:color w:val="auto"/>
        </w:rPr>
        <w:t>administration services regarding the Annuity Payments under the Group Annuity Contract. Without limiting the generality of the foregoing, the Company shall use its commercially reasonable efforts to (</w:t>
      </w:r>
      <w:r>
        <w:rPr>
          <w:rFonts w:ascii="Arial" w:cs="Arial" w:eastAsia="Arial" w:hAnsi="Arial"/>
          <w:sz w:val="19"/>
          <w:szCs w:val="19"/>
          <w:u w:val="single" w:color="auto"/>
          <w:color w:val="auto"/>
        </w:rPr>
        <w:t>a</w:t>
      </w:r>
      <w:r>
        <w:rPr>
          <w:rFonts w:ascii="Arial" w:cs="Arial" w:eastAsia="Arial" w:hAnsi="Arial"/>
          <w:sz w:val="19"/>
          <w:szCs w:val="19"/>
          <w:color w:val="auto"/>
        </w:rPr>
        <w:t>) provide the Insurer with information as reasonably requested by the Insurer to facilitate the transition process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assist the Insurer in reaching any necessary agreement or arrangement with Fidelity, including in connection with (i) the provision of services and information set forth in </w:t>
      </w:r>
      <w:r>
        <w:rPr>
          <w:rFonts w:ascii="Arial" w:cs="Arial" w:eastAsia="Arial" w:hAnsi="Arial"/>
          <w:sz w:val="19"/>
          <w:szCs w:val="19"/>
          <w:u w:val="single" w:color="auto"/>
          <w:color w:val="auto"/>
        </w:rPr>
        <w:t>Appendix 6.7</w:t>
      </w:r>
      <w:r>
        <w:rPr>
          <w:rFonts w:ascii="Arial" w:cs="Arial" w:eastAsia="Arial" w:hAnsi="Arial"/>
          <w:sz w:val="19"/>
          <w:szCs w:val="19"/>
          <w:color w:val="auto"/>
        </w:rPr>
        <w:t xml:space="preserve"> and</w:t>
      </w:r>
    </w:p>
    <w:p>
      <w:pPr>
        <w:spacing w:after="0" w:line="3" w:lineRule="exact"/>
        <w:rPr>
          <w:sz w:val="20"/>
          <w:szCs w:val="20"/>
          <w:color w:val="auto"/>
        </w:rPr>
      </w:pPr>
    </w:p>
    <w:p>
      <w:pPr>
        <w:jc w:val="both"/>
        <w:ind w:firstLine="8"/>
        <w:spacing w:after="0" w:line="256" w:lineRule="auto"/>
        <w:tabs>
          <w:tab w:leader="none" w:pos="335" w:val="left"/>
        </w:tabs>
        <w:numPr>
          <w:ilvl w:val="0"/>
          <w:numId w:val="135"/>
        </w:numPr>
        <w:rPr>
          <w:rFonts w:ascii="Arial" w:cs="Arial" w:eastAsia="Arial" w:hAnsi="Arial"/>
          <w:sz w:val="21"/>
          <w:szCs w:val="21"/>
          <w:color w:val="auto"/>
        </w:rPr>
      </w:pPr>
      <w:r>
        <w:rPr>
          <w:rFonts w:ascii="Arial" w:cs="Arial" w:eastAsia="Arial" w:hAnsi="Arial"/>
          <w:sz w:val="21"/>
          <w:szCs w:val="21"/>
          <w:color w:val="auto"/>
        </w:rPr>
        <w:t xml:space="preserve">the negotiation of a definitive ATSA. The Insurer shall use its commercially reasonable efforts to enter into such a definitive ATSA with Fidelity in a manner consistent with the letter of understanding with Fidelity entered into prior to the execution of this Agreement. If either (x) the requirements of </w:t>
      </w:r>
      <w:r>
        <w:rPr>
          <w:rFonts w:ascii="Arial" w:cs="Arial" w:eastAsia="Arial" w:hAnsi="Arial"/>
          <w:sz w:val="21"/>
          <w:szCs w:val="21"/>
          <w:u w:val="single" w:color="auto"/>
          <w:color w:val="auto"/>
        </w:rPr>
        <w:t>Appendix 6.7</w:t>
      </w:r>
      <w:r>
        <w:rPr>
          <w:rFonts w:ascii="Arial" w:cs="Arial" w:eastAsia="Arial" w:hAnsi="Arial"/>
          <w:sz w:val="21"/>
          <w:szCs w:val="21"/>
          <w:color w:val="auto"/>
        </w:rPr>
        <w:t xml:space="preserve"> have not been fulfilled or (y) the Closing has not taken place on or before December 3, 2012, and the Insurer is unable to enter into a definitive ATSA with Fidelity, then the Insurer and the Company will cooperate in good faith to find an alternative method to facilitate the first Annuity Payment to Annuitants through existing commercial arrangements with Fidelity or through any other commercially reasonable method (an “</w:t>
      </w:r>
      <w:r>
        <w:rPr>
          <w:rFonts w:ascii="Arial" w:cs="Arial" w:eastAsia="Arial" w:hAnsi="Arial"/>
          <w:sz w:val="21"/>
          <w:szCs w:val="21"/>
          <w:u w:val="single" w:color="auto"/>
          <w:color w:val="auto"/>
        </w:rPr>
        <w:t>Alternative Arrangement</w:t>
      </w:r>
      <w:r>
        <w:rPr>
          <w:rFonts w:ascii="Arial" w:cs="Arial" w:eastAsia="Arial" w:hAnsi="Arial"/>
          <w:sz w:val="21"/>
          <w:szCs w:val="21"/>
          <w:color w:val="auto"/>
        </w:rPr>
        <w:t>”). In the event an Alternative Arrangement is implemented, prior to the relevant payment date, the Insurer will be responsible to deposit cash in an amount sufficient to cover all such Annuity Payments and any related administrative costs into an account designated by the Company for such purpose.</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Compliance with Prohibited Transaction Class Exemption 84-24</w:t>
      </w:r>
      <w:r>
        <w:rPr>
          <w:rFonts w:ascii="Arial" w:cs="Arial" w:eastAsia="Arial" w:hAnsi="Arial"/>
          <w:sz w:val="19"/>
          <w:szCs w:val="19"/>
          <w:color w:val="auto"/>
        </w:rPr>
        <w:t xml:space="preserve">. From the DTFA Execution Date until the Closing Date, the Insurer and its Affiliates will not enter into any agreements whereby it would be a fiduciary expressly authorized in writing to manage, acquire or dispose of the Plan Assets on a discretionary basis that are involved in the Transaction. As of the date hereof, Insurer and/or the applicable Affiliate(s) of the Insurer have ceased providing any discretionary asset management services with respect to any Plan Assets that are involved in the Transaction. If the Insurer discovers the existence of any such agreement, the Insurer will, and will cause its Affiliates to, cease providing any discretionary asset management services with respect to any Plan Asset before such Plan Asset becomes involved in the Transaction. The preceding sentence shall not prohibit an Affiliate of the Insurer from acting as a non-discretionary trustee. If the Closing Date does not occur or this Agreement otherwise terminates, the Insurer will no longer be restricted as provided above in this </w:t>
      </w:r>
      <w:r>
        <w:rPr>
          <w:rFonts w:ascii="Arial" w:cs="Arial" w:eastAsia="Arial" w:hAnsi="Arial"/>
          <w:sz w:val="19"/>
          <w:szCs w:val="19"/>
          <w:u w:val="single" w:color="auto"/>
          <w:color w:val="auto"/>
        </w:rPr>
        <w:t>Section 6.8</w:t>
      </w:r>
      <w:r>
        <w:rPr>
          <w:rFonts w:ascii="Arial" w:cs="Arial" w:eastAsia="Arial" w:hAnsi="Arial"/>
          <w:sz w:val="19"/>
          <w:szCs w:val="19"/>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6.9 </w:t>
      </w:r>
      <w:r>
        <w:rPr>
          <w:rFonts w:ascii="Arial" w:cs="Arial" w:eastAsia="Arial" w:hAnsi="Arial"/>
          <w:sz w:val="21"/>
          <w:szCs w:val="21"/>
          <w:u w:val="single" w:color="auto"/>
          <w:color w:val="auto"/>
        </w:rPr>
        <w:t>Pre-Closing Meeting</w:t>
      </w:r>
      <w:r>
        <w:rPr>
          <w:rFonts w:ascii="Arial" w:cs="Arial" w:eastAsia="Arial" w:hAnsi="Arial"/>
          <w:sz w:val="21"/>
          <w:szCs w:val="21"/>
          <w:color w:val="auto"/>
        </w:rPr>
        <w:t>. No earlier than fifteen (15) Business Days prior to the Target Closing Date, and no later than five (5) Business Days prior to the Target Closing Date, the Independent Fiduciary, the Company and the Insurer shall meet to discuss any matters relating to the Closing or as otherwise may be reasonably requested by any Party.</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Non-Solicitation</w:t>
      </w:r>
      <w:r>
        <w:rPr>
          <w:rFonts w:ascii="Arial" w:cs="Arial" w:eastAsia="Arial" w:hAnsi="Arial"/>
          <w:sz w:val="19"/>
          <w:szCs w:val="19"/>
          <w:color w:val="auto"/>
        </w:rPr>
        <w:t>. From and after the DTFA Execution Date and through the earlier to occur of the Closing Date or the termination of this Agreement, the Company shall not and shall cause any Representatives of the Company not to (</w:t>
      </w:r>
      <w:r>
        <w:rPr>
          <w:rFonts w:ascii="Arial" w:cs="Arial" w:eastAsia="Arial" w:hAnsi="Arial"/>
          <w:sz w:val="19"/>
          <w:szCs w:val="19"/>
          <w:u w:val="single" w:color="auto"/>
          <w:color w:val="auto"/>
        </w:rPr>
        <w:t>i</w:t>
      </w:r>
      <w:r>
        <w:rPr>
          <w:rFonts w:ascii="Arial" w:cs="Arial" w:eastAsia="Arial" w:hAnsi="Arial"/>
          <w:sz w:val="19"/>
          <w:szCs w:val="19"/>
          <w:color w:val="auto"/>
        </w:rPr>
        <w:t>) solicit, initiate or knowingly facilitate any Alternative Transaction Proposal or the making or consummation thereof, (</w:t>
      </w:r>
      <w:r>
        <w:rPr>
          <w:rFonts w:ascii="Arial" w:cs="Arial" w:eastAsia="Arial" w:hAnsi="Arial"/>
          <w:sz w:val="19"/>
          <w:szCs w:val="19"/>
          <w:u w:val="single" w:color="auto"/>
          <w:color w:val="auto"/>
        </w:rPr>
        <w:t>ii</w:t>
      </w:r>
      <w:r>
        <w:rPr>
          <w:rFonts w:ascii="Arial" w:cs="Arial" w:eastAsia="Arial" w:hAnsi="Arial"/>
          <w:sz w:val="19"/>
          <w:szCs w:val="19"/>
          <w:color w:val="auto"/>
        </w:rPr>
        <w:t>) enter into any agreement, letter of intent, agreement in principle or other similar instrument with respect to any Alternative Transaction Proposal,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continue or otherwise participate in any discussions (except, in response to an inquiry by any Person, to notify such Person of the existence of the provisions of this </w:t>
      </w:r>
      <w:r>
        <w:rPr>
          <w:rFonts w:ascii="Arial" w:cs="Arial" w:eastAsia="Arial" w:hAnsi="Arial"/>
          <w:sz w:val="19"/>
          <w:szCs w:val="19"/>
          <w:u w:val="single" w:color="auto"/>
          <w:color w:val="auto"/>
        </w:rPr>
        <w:t>Section 6.10</w:t>
      </w:r>
      <w:r>
        <w:rPr>
          <w:rFonts w:ascii="Arial" w:cs="Arial" w:eastAsia="Arial" w:hAnsi="Arial"/>
          <w:sz w:val="19"/>
          <w:szCs w:val="19"/>
          <w:color w:val="auto"/>
        </w:rPr>
        <w:t>) or negotiations regarding, or furnish to any Person any information in connection with, any Alternative Transaction Proposal, or (</w:t>
      </w:r>
      <w:r>
        <w:rPr>
          <w:rFonts w:ascii="Arial" w:cs="Arial" w:eastAsia="Arial" w:hAnsi="Arial"/>
          <w:sz w:val="19"/>
          <w:szCs w:val="19"/>
          <w:u w:val="single" w:color="auto"/>
          <w:color w:val="auto"/>
        </w:rPr>
        <w:t>iv</w:t>
      </w:r>
      <w:r>
        <w:rPr>
          <w:rFonts w:ascii="Arial" w:cs="Arial" w:eastAsia="Arial" w:hAnsi="Arial"/>
          <w:sz w:val="19"/>
          <w:szCs w:val="19"/>
          <w:color w:val="auto"/>
        </w:rPr>
        <w:t>) enter into or amend any agreement or other arrangement to engage any Person (including the Independent Fiduciary) to solicit any Alternative Transaction Proposal. For purposes of this Agreement, an “</w:t>
      </w:r>
      <w:r>
        <w:rPr>
          <w:rFonts w:ascii="Arial" w:cs="Arial" w:eastAsia="Arial" w:hAnsi="Arial"/>
          <w:sz w:val="19"/>
          <w:szCs w:val="19"/>
          <w:u w:val="single" w:color="auto"/>
          <w:color w:val="auto"/>
        </w:rPr>
        <w:t>Alternative Transaction Proposal</w:t>
      </w:r>
      <w:r>
        <w:rPr>
          <w:rFonts w:ascii="Arial" w:cs="Arial" w:eastAsia="Arial" w:hAnsi="Arial"/>
          <w:sz w:val="19"/>
          <w:szCs w:val="19"/>
          <w:color w:val="auto"/>
        </w:rPr>
        <w:t xml:space="preserve">” means any proposal or offer relating to the entry into an insurance, reinsurance or other similar transaction that would be reasonably likely to replace, frustrate or cause not to occur the transactions contemplated by this Agreement and the Group Annuity Contract, such as any transaction in which the responsibility to make all or any substantial portion of the payments in respect of the Covered Lives, Contingent Lives or Beneficiaries would be transferred, assigned or novated from the Plan to a non-Affiliated Person or in which a non-Affiliated Person would assume an obligation to indemnify or reimburse the Plan, the Company or any of their respective Affiliates for any such payment. Nothing in this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shall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91" w:right="239" w:bottom="1440" w:gutter="0" w:footer="0" w:header="0"/>
        </w:sectPr>
      </w:pPr>
    </w:p>
    <w:bookmarkStart w:id="146" w:name="page147"/>
    <w:bookmarkEnd w:id="146"/>
    <w:p>
      <w:pPr>
        <w:jc w:val="both"/>
        <w:spacing w:after="0" w:line="263" w:lineRule="auto"/>
        <w:rPr>
          <w:sz w:val="20"/>
          <w:szCs w:val="20"/>
          <w:color w:val="auto"/>
        </w:rPr>
      </w:pPr>
      <w:r>
        <w:rPr>
          <w:rFonts w:ascii="Arial" w:cs="Arial" w:eastAsia="Arial" w:hAnsi="Arial"/>
          <w:sz w:val="22"/>
          <w:szCs w:val="22"/>
          <w:color w:val="auto"/>
        </w:rPr>
        <w:t>restrict (</w:t>
      </w:r>
      <w:r>
        <w:rPr>
          <w:rFonts w:ascii="Arial" w:cs="Arial" w:eastAsia="Arial" w:hAnsi="Arial"/>
          <w:sz w:val="22"/>
          <w:szCs w:val="22"/>
          <w:u w:val="single" w:color="auto"/>
          <w:color w:val="auto"/>
        </w:rPr>
        <w:t>i</w:t>
      </w:r>
      <w:r>
        <w:rPr>
          <w:rFonts w:ascii="Arial" w:cs="Arial" w:eastAsia="Arial" w:hAnsi="Arial"/>
          <w:sz w:val="22"/>
          <w:szCs w:val="22"/>
          <w:color w:val="auto"/>
        </w:rPr>
        <w:t>) any alternative arrangements with respect to the treatment of Contract 300 Article A and Contract 300 Article M, or (</w:t>
      </w:r>
      <w:r>
        <w:rPr>
          <w:rFonts w:ascii="Arial" w:cs="Arial" w:eastAsia="Arial" w:hAnsi="Arial"/>
          <w:sz w:val="22"/>
          <w:szCs w:val="22"/>
          <w:u w:val="single" w:color="auto"/>
          <w:color w:val="auto"/>
        </w:rPr>
        <w:t>ii</w:t>
      </w:r>
      <w:r>
        <w:rPr>
          <w:rFonts w:ascii="Arial" w:cs="Arial" w:eastAsia="Arial" w:hAnsi="Arial"/>
          <w:sz w:val="22"/>
          <w:szCs w:val="22"/>
          <w:color w:val="auto"/>
        </w:rPr>
        <w:t>) the Lump-Sum Solicitation process.</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u w:val="single" w:color="auto"/>
          <w:color w:val="auto"/>
        </w:rPr>
        <w:t>Information Provided To The Independent Fiduciary</w:t>
      </w:r>
      <w:r>
        <w:rPr>
          <w:rFonts w:ascii="Arial" w:cs="Arial" w:eastAsia="Arial" w:hAnsi="Arial"/>
          <w:sz w:val="21"/>
          <w:szCs w:val="21"/>
          <w:color w:val="auto"/>
        </w:rPr>
        <w:t>. Between the DTFA Execution Date and the execution of the Group Annuity Contract, Insurer and the Insurer Parent shall provide to the Independent Fiduciary any information that (</w:t>
      </w:r>
      <w:r>
        <w:rPr>
          <w:rFonts w:ascii="Arial" w:cs="Arial" w:eastAsia="Arial" w:hAnsi="Arial"/>
          <w:sz w:val="21"/>
          <w:szCs w:val="21"/>
          <w:u w:val="single" w:color="auto"/>
          <w:color w:val="auto"/>
        </w:rPr>
        <w:t>i</w:t>
      </w:r>
      <w:r>
        <w:rPr>
          <w:rFonts w:ascii="Arial" w:cs="Arial" w:eastAsia="Arial" w:hAnsi="Arial"/>
          <w:sz w:val="21"/>
          <w:szCs w:val="21"/>
          <w:color w:val="auto"/>
        </w:rPr>
        <w:t>) is consistent with the type and amount of information provided during the Independent Fiduciary's pre-signing due diligence process, (</w:t>
      </w:r>
      <w:r>
        <w:rPr>
          <w:rFonts w:ascii="Arial" w:cs="Arial" w:eastAsia="Arial" w:hAnsi="Arial"/>
          <w:sz w:val="21"/>
          <w:szCs w:val="21"/>
          <w:u w:val="single" w:color="auto"/>
          <w:color w:val="auto"/>
        </w:rPr>
        <w:t>ii</w:t>
      </w:r>
      <w:r>
        <w:rPr>
          <w:rFonts w:ascii="Arial" w:cs="Arial" w:eastAsia="Arial" w:hAnsi="Arial"/>
          <w:sz w:val="21"/>
          <w:szCs w:val="21"/>
          <w:color w:val="auto"/>
        </w:rPr>
        <w:t>) is otherwise prepared in the ordinary course of business of the Insurer (including any information that is prepared for the purpose of providing information to credit rating agencies) and (</w:t>
      </w:r>
      <w:r>
        <w:rPr>
          <w:rFonts w:ascii="Arial" w:cs="Arial" w:eastAsia="Arial" w:hAnsi="Arial"/>
          <w:sz w:val="21"/>
          <w:szCs w:val="21"/>
          <w:u w:val="single" w:color="auto"/>
          <w:color w:val="auto"/>
        </w:rPr>
        <w:t>iii</w:t>
      </w:r>
      <w:r>
        <w:rPr>
          <w:rFonts w:ascii="Arial" w:cs="Arial" w:eastAsia="Arial" w:hAnsi="Arial"/>
          <w:sz w:val="21"/>
          <w:szCs w:val="21"/>
          <w:color w:val="auto"/>
        </w:rPr>
        <w:t>) relates to the Insurer or Insurer Parent, in each case as may be reasonably requested by the Independent Fiduciary.</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140" w:type="dxa"/>
            <w:vAlign w:val="bottom"/>
          </w:tcPr>
          <w:p>
            <w:pPr>
              <w:spacing w:after="0"/>
              <w:rPr>
                <w:sz w:val="20"/>
                <w:szCs w:val="20"/>
                <w:color w:val="auto"/>
              </w:rPr>
            </w:pPr>
            <w:r>
              <w:rPr>
                <w:rFonts w:ascii="Arial" w:cs="Arial" w:eastAsia="Arial" w:hAnsi="Arial"/>
                <w:sz w:val="22"/>
                <w:szCs w:val="22"/>
                <w:color w:val="auto"/>
              </w:rPr>
              <w:t>Section 6.12  [   ***</w:t>
            </w:r>
          </w:p>
        </w:tc>
        <w:tc>
          <w:tcPr>
            <w:tcW w:w="3400" w:type="dxa"/>
            <w:vAlign w:val="bottom"/>
          </w:tcPr>
          <w:p>
            <w:pPr>
              <w:jc w:val="right"/>
              <w:ind w:right="2972"/>
              <w:spacing w:after="0"/>
              <w:rPr>
                <w:sz w:val="20"/>
                <w:szCs w:val="20"/>
                <w:color w:val="auto"/>
              </w:rPr>
            </w:pPr>
            <w:r>
              <w:rPr>
                <w:rFonts w:ascii="Arial" w:cs="Arial" w:eastAsia="Arial" w:hAnsi="Arial"/>
                <w:sz w:val="22"/>
                <w:szCs w:val="22"/>
                <w:color w:val="auto"/>
              </w:rPr>
              <w:t>].</w:t>
            </w:r>
          </w:p>
        </w:tc>
        <w:tc>
          <w:tcPr>
            <w:tcW w:w="1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463"/>
        </w:trPr>
        <w:tc>
          <w:tcPr>
            <w:tcW w:w="5540" w:type="dxa"/>
            <w:vAlign w:val="bottom"/>
            <w:gridSpan w:val="2"/>
          </w:tcPr>
          <w:p>
            <w:pPr>
              <w:spacing w:after="0"/>
              <w:rPr>
                <w:sz w:val="20"/>
                <w:szCs w:val="20"/>
                <w:color w:val="auto"/>
              </w:rPr>
            </w:pPr>
            <w:r>
              <w:rPr>
                <w:rFonts w:ascii="Arial" w:cs="Arial" w:eastAsia="Arial" w:hAnsi="Arial"/>
                <w:sz w:val="22"/>
                <w:szCs w:val="22"/>
                <w:color w:val="auto"/>
              </w:rPr>
              <w:t>(a)  Promptly following the DTFA Execution Date, [   ***</w:t>
            </w:r>
          </w:p>
        </w:tc>
        <w:tc>
          <w:tcPr>
            <w:tcW w:w="5200" w:type="dxa"/>
            <w:vAlign w:val="bottom"/>
            <w:gridSpan w:val="4"/>
          </w:tcPr>
          <w:p>
            <w:pPr>
              <w:ind w:left="220"/>
              <w:spacing w:after="0"/>
              <w:rPr>
                <w:sz w:val="20"/>
                <w:szCs w:val="20"/>
                <w:color w:val="auto"/>
              </w:rPr>
            </w:pPr>
            <w:r>
              <w:rPr>
                <w:rFonts w:ascii="Arial" w:cs="Arial" w:eastAsia="Arial" w:hAnsi="Arial"/>
                <w:sz w:val="22"/>
                <w:szCs w:val="22"/>
                <w:color w:val="auto"/>
                <w:w w:val="92"/>
              </w:rPr>
              <w:t>] set forth on Appendix 2.6(d)(I) and Appendix 2.6(d)(II)</w:t>
            </w:r>
          </w:p>
        </w:tc>
      </w:tr>
      <w:tr>
        <w:trPr>
          <w:trHeight w:val="20"/>
        </w:trPr>
        <w:tc>
          <w:tcPr>
            <w:tcW w:w="2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(it being understood that each item of such information shall only be provided if and after any consent that is needed to share such</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20" w:type="dxa"/>
            <w:vAlign w:val="bottom"/>
            <w:gridSpan w:val="3"/>
          </w:tcPr>
          <w:p>
            <w:pPr>
              <w:spacing w:after="0"/>
              <w:rPr>
                <w:sz w:val="20"/>
                <w:szCs w:val="20"/>
                <w:color w:val="auto"/>
              </w:rPr>
            </w:pPr>
            <w:r>
              <w:rPr>
                <w:rFonts w:ascii="Arial" w:cs="Arial" w:eastAsia="Arial" w:hAnsi="Arial"/>
                <w:sz w:val="22"/>
                <w:szCs w:val="22"/>
                <w:color w:val="auto"/>
              </w:rPr>
              <w:t>information is obtained [   ***</w:t>
            </w:r>
          </w:p>
        </w:tc>
        <w:tc>
          <w:tcPr>
            <w:tcW w:w="760" w:type="dxa"/>
            <w:vAlign w:val="bottom"/>
            <w:gridSpan w:val="2"/>
          </w:tcPr>
          <w:p>
            <w:pPr>
              <w:jc w:val="right"/>
              <w:ind w:right="452"/>
              <w:spacing w:after="0"/>
              <w:rPr>
                <w:sz w:val="20"/>
                <w:szCs w:val="20"/>
                <w:color w:val="auto"/>
              </w:rPr>
            </w:pPr>
            <w:r>
              <w:rPr>
                <w:rFonts w:ascii="Arial" w:cs="Arial" w:eastAsia="Arial" w:hAnsi="Arial"/>
                <w:sz w:val="22"/>
                <w:szCs w:val="22"/>
                <w:color w:val="auto"/>
                <w:w w:val="91"/>
              </w:rPr>
              <w:t>]):</w:t>
            </w: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495"/>
        </w:trPr>
        <w:tc>
          <w:tcPr>
            <w:tcW w:w="1880" w:type="dxa"/>
            <w:vAlign w:val="bottom"/>
          </w:tcPr>
          <w:p>
            <w:pPr>
              <w:ind w:left="1300"/>
              <w:spacing w:after="0"/>
              <w:rPr>
                <w:sz w:val="20"/>
                <w:szCs w:val="20"/>
                <w:color w:val="auto"/>
              </w:rPr>
            </w:pPr>
            <w:r>
              <w:rPr>
                <w:rFonts w:ascii="Arial" w:cs="Arial" w:eastAsia="Arial" w:hAnsi="Arial"/>
                <w:sz w:val="22"/>
                <w:szCs w:val="22"/>
                <w:color w:val="auto"/>
              </w:rPr>
              <w:t>(i)</w:t>
            </w:r>
          </w:p>
        </w:tc>
        <w:tc>
          <w:tcPr>
            <w:tcW w:w="1240" w:type="dxa"/>
            <w:vAlign w:val="bottom"/>
            <w:gridSpan w:val="2"/>
          </w:tcPr>
          <w:p>
            <w:pPr>
              <w:ind w:left="280"/>
              <w:spacing w:after="0"/>
              <w:rPr>
                <w:sz w:val="20"/>
                <w:szCs w:val="20"/>
                <w:color w:val="auto"/>
              </w:rPr>
            </w:pPr>
            <w:r>
              <w:rPr>
                <w:rFonts w:ascii="Arial" w:cs="Arial" w:eastAsia="Arial" w:hAnsi="Arial"/>
                <w:sz w:val="22"/>
                <w:szCs w:val="22"/>
                <w:color w:val="auto"/>
                <w:w w:val="92"/>
              </w:rPr>
              <w:t>the latest [</w:t>
            </w:r>
          </w:p>
        </w:tc>
        <w:tc>
          <w:tcPr>
            <w:tcW w:w="1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22"/>
                <w:szCs w:val="22"/>
                <w:color w:val="auto"/>
              </w:rPr>
              <w:t>***</w:t>
            </w:r>
          </w:p>
        </w:tc>
        <w:tc>
          <w:tcPr>
            <w:tcW w:w="1960" w:type="dxa"/>
            <w:vAlign w:val="bottom"/>
          </w:tcPr>
          <w:p>
            <w:pPr>
              <w:jc w:val="right"/>
              <w:ind w:right="157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513"/>
        </w:trPr>
        <w:tc>
          <w:tcPr>
            <w:tcW w:w="1880" w:type="dxa"/>
            <w:vAlign w:val="bottom"/>
          </w:tcPr>
          <w:p>
            <w:pPr>
              <w:ind w:left="1300"/>
              <w:spacing w:after="0"/>
              <w:rPr>
                <w:sz w:val="20"/>
                <w:szCs w:val="20"/>
                <w:color w:val="auto"/>
              </w:rPr>
            </w:pPr>
            <w:r>
              <w:rPr>
                <w:rFonts w:ascii="Arial" w:cs="Arial" w:eastAsia="Arial" w:hAnsi="Arial"/>
                <w:sz w:val="22"/>
                <w:szCs w:val="22"/>
                <w:color w:val="auto"/>
              </w:rPr>
              <w:t>(ii)</w:t>
            </w:r>
          </w:p>
        </w:tc>
        <w:tc>
          <w:tcPr>
            <w:tcW w:w="1240" w:type="dxa"/>
            <w:vAlign w:val="bottom"/>
            <w:gridSpan w:val="2"/>
          </w:tcPr>
          <w:p>
            <w:pPr>
              <w:ind w:left="340"/>
              <w:spacing w:after="0"/>
              <w:rPr>
                <w:sz w:val="20"/>
                <w:szCs w:val="20"/>
                <w:color w:val="auto"/>
              </w:rPr>
            </w:pPr>
            <w:r>
              <w:rPr>
                <w:rFonts w:ascii="Arial" w:cs="Arial" w:eastAsia="Arial" w:hAnsi="Arial"/>
                <w:sz w:val="22"/>
                <w:szCs w:val="22"/>
                <w:color w:val="auto"/>
                <w:w w:val="86"/>
              </w:rPr>
              <w:t>the latest [</w:t>
            </w:r>
          </w:p>
        </w:tc>
        <w:tc>
          <w:tcPr>
            <w:tcW w:w="100" w:type="dxa"/>
            <w:vAlign w:val="bottom"/>
          </w:tcPr>
          <w:p>
            <w:pPr>
              <w:spacing w:after="0"/>
              <w:rPr>
                <w:sz w:val="24"/>
                <w:szCs w:val="24"/>
                <w:color w:val="auto"/>
              </w:rPr>
            </w:pPr>
          </w:p>
        </w:tc>
        <w:tc>
          <w:tcPr>
            <w:tcW w:w="6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960" w:type="dxa"/>
            <w:vAlign w:val="bottom"/>
          </w:tcPr>
          <w:p>
            <w:pPr>
              <w:jc w:val="right"/>
              <w:ind w:right="151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95"/>
        </w:trPr>
        <w:tc>
          <w:tcPr>
            <w:tcW w:w="1880" w:type="dxa"/>
            <w:vAlign w:val="bottom"/>
          </w:tcPr>
          <w:p>
            <w:pPr>
              <w:ind w:left="1300"/>
              <w:spacing w:after="0"/>
              <w:rPr>
                <w:sz w:val="20"/>
                <w:szCs w:val="20"/>
                <w:color w:val="auto"/>
              </w:rPr>
            </w:pPr>
            <w:r>
              <w:rPr>
                <w:rFonts w:ascii="Arial" w:cs="Arial" w:eastAsia="Arial" w:hAnsi="Arial"/>
                <w:sz w:val="22"/>
                <w:szCs w:val="22"/>
                <w:color w:val="auto"/>
              </w:rPr>
              <w:t>(iii)</w:t>
            </w:r>
          </w:p>
        </w:tc>
        <w:tc>
          <w:tcPr>
            <w:tcW w:w="3960" w:type="dxa"/>
            <w:vAlign w:val="bottom"/>
            <w:gridSpan w:val="5"/>
          </w:tcPr>
          <w:p>
            <w:pPr>
              <w:ind w:left="400"/>
              <w:spacing w:after="0"/>
              <w:rPr>
                <w:sz w:val="20"/>
                <w:szCs w:val="20"/>
                <w:color w:val="auto"/>
              </w:rPr>
            </w:pPr>
            <w:r>
              <w:rPr>
                <w:rFonts w:ascii="Arial" w:cs="Arial" w:eastAsia="Arial" w:hAnsi="Arial"/>
                <w:sz w:val="22"/>
                <w:szCs w:val="22"/>
                <w:color w:val="auto"/>
                <w:w w:val="94"/>
              </w:rPr>
              <w:t>information most recently provided to [</w:t>
            </w:r>
          </w:p>
        </w:tc>
        <w:tc>
          <w:tcPr>
            <w:tcW w:w="7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780" w:type="dxa"/>
            <w:vAlign w:val="bottom"/>
          </w:tcPr>
          <w:p>
            <w:pPr>
              <w:ind w:left="180"/>
              <w:spacing w:after="0"/>
              <w:rPr>
                <w:sz w:val="20"/>
                <w:szCs w:val="20"/>
                <w:color w:val="auto"/>
              </w:rPr>
            </w:pPr>
            <w:r>
              <w:rPr>
                <w:rFonts w:ascii="Arial" w:cs="Arial" w:eastAsia="Arial" w:hAnsi="Arial"/>
                <w:sz w:val="22"/>
                <w:szCs w:val="22"/>
                <w:color w:val="auto"/>
              </w:rPr>
              <w:t>] regarding the [</w:t>
            </w:r>
          </w:p>
        </w:tc>
        <w:tc>
          <w:tcPr>
            <w:tcW w:w="6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2340" w:type="dxa"/>
            <w:vAlign w:val="bottom"/>
          </w:tcPr>
          <w:p>
            <w:pPr>
              <w:ind w:left="220"/>
              <w:spacing w:after="0"/>
              <w:rPr>
                <w:sz w:val="20"/>
                <w:szCs w:val="20"/>
                <w:color w:val="auto"/>
              </w:rPr>
            </w:pPr>
            <w:r>
              <w:rPr>
                <w:rFonts w:ascii="Arial" w:cs="Arial" w:eastAsia="Arial" w:hAnsi="Arial"/>
                <w:sz w:val="22"/>
                <w:szCs w:val="22"/>
                <w:color w:val="auto"/>
                <w:w w:val="91"/>
              </w:rPr>
              <w:t>], including descriptions</w:t>
            </w:r>
          </w:p>
        </w:tc>
      </w:tr>
      <w:tr>
        <w:trPr>
          <w:trHeight w:val="275"/>
        </w:trPr>
        <w:tc>
          <w:tcPr>
            <w:tcW w:w="1880" w:type="dxa"/>
            <w:vAlign w:val="bottom"/>
          </w:tcPr>
          <w:p>
            <w:pPr>
              <w:ind w:left="660"/>
              <w:spacing w:after="0"/>
              <w:rPr>
                <w:sz w:val="20"/>
                <w:szCs w:val="20"/>
                <w:color w:val="auto"/>
              </w:rPr>
            </w:pPr>
            <w:r>
              <w:rPr>
                <w:rFonts w:ascii="Arial" w:cs="Arial" w:eastAsia="Arial" w:hAnsi="Arial"/>
                <w:sz w:val="22"/>
                <w:szCs w:val="22"/>
                <w:color w:val="auto"/>
              </w:rPr>
              <w:t>and [   ***</w:t>
            </w:r>
          </w:p>
        </w:tc>
        <w:tc>
          <w:tcPr>
            <w:tcW w:w="4740" w:type="dxa"/>
            <w:vAlign w:val="bottom"/>
            <w:gridSpan w:val="6"/>
          </w:tcPr>
          <w:p>
            <w:pPr>
              <w:ind w:left="180"/>
              <w:spacing w:after="0"/>
              <w:rPr>
                <w:sz w:val="20"/>
                <w:szCs w:val="20"/>
                <w:color w:val="auto"/>
              </w:rPr>
            </w:pPr>
            <w:r>
              <w:rPr>
                <w:rFonts w:ascii="Arial" w:cs="Arial" w:eastAsia="Arial" w:hAnsi="Arial"/>
                <w:sz w:val="22"/>
                <w:szCs w:val="22"/>
                <w:color w:val="auto"/>
                <w:w w:val="92"/>
              </w:rPr>
              <w:t>] that may be reasonably requested by the Insurer;</w:t>
            </w:r>
          </w:p>
        </w:tc>
        <w:tc>
          <w:tcPr>
            <w:tcW w:w="1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513"/>
        </w:trPr>
        <w:tc>
          <w:tcPr>
            <w:tcW w:w="1880" w:type="dxa"/>
            <w:vAlign w:val="bottom"/>
          </w:tcPr>
          <w:p>
            <w:pPr>
              <w:ind w:left="1300"/>
              <w:spacing w:after="0"/>
              <w:rPr>
                <w:sz w:val="20"/>
                <w:szCs w:val="20"/>
                <w:color w:val="auto"/>
              </w:rPr>
            </w:pPr>
            <w:r>
              <w:rPr>
                <w:rFonts w:ascii="Arial" w:cs="Arial" w:eastAsia="Arial" w:hAnsi="Arial"/>
                <w:sz w:val="22"/>
                <w:szCs w:val="22"/>
                <w:color w:val="auto"/>
              </w:rPr>
              <w:t>(iv)</w:t>
            </w:r>
          </w:p>
        </w:tc>
        <w:tc>
          <w:tcPr>
            <w:tcW w:w="700" w:type="dxa"/>
            <w:vAlign w:val="bottom"/>
          </w:tcPr>
          <w:p>
            <w:pPr>
              <w:ind w:left="380"/>
              <w:spacing w:after="0"/>
              <w:rPr>
                <w:sz w:val="20"/>
                <w:szCs w:val="20"/>
                <w:color w:val="auto"/>
              </w:rPr>
            </w:pPr>
            <w:r>
              <w:rPr>
                <w:rFonts w:ascii="Arial" w:cs="Arial" w:eastAsia="Arial" w:hAnsi="Arial"/>
                <w:sz w:val="22"/>
                <w:szCs w:val="22"/>
                <w:color w:val="auto"/>
              </w:rPr>
              <w:t>[</w:t>
            </w:r>
          </w:p>
        </w:tc>
        <w:tc>
          <w:tcPr>
            <w:tcW w:w="5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2620" w:type="dxa"/>
            <w:vAlign w:val="bottom"/>
            <w:gridSpan w:val="2"/>
          </w:tcPr>
          <w:p>
            <w:pPr>
              <w:ind w:left="80"/>
              <w:spacing w:after="0"/>
              <w:rPr>
                <w:sz w:val="20"/>
                <w:szCs w:val="20"/>
                <w:color w:val="auto"/>
              </w:rPr>
            </w:pPr>
            <w:r>
              <w:rPr>
                <w:rFonts w:ascii="Arial" w:cs="Arial" w:eastAsia="Arial" w:hAnsi="Arial"/>
                <w:sz w:val="22"/>
                <w:szCs w:val="22"/>
                <w:color w:val="auto"/>
              </w:rPr>
              <w:t>] that relate to the [   ***</w:t>
            </w:r>
          </w:p>
        </w:tc>
        <w:tc>
          <w:tcPr>
            <w:tcW w:w="780" w:type="dxa"/>
            <w:vAlign w:val="bottom"/>
          </w:tcPr>
          <w:p>
            <w:pPr>
              <w:jc w:val="center"/>
              <w:spacing w:after="0"/>
              <w:rPr>
                <w:sz w:val="20"/>
                <w:szCs w:val="20"/>
                <w:color w:val="auto"/>
              </w:rPr>
            </w:pPr>
            <w:r>
              <w:rPr>
                <w:rFonts w:ascii="Arial" w:cs="Arial" w:eastAsia="Arial" w:hAnsi="Arial"/>
                <w:sz w:val="22"/>
                <w:szCs w:val="22"/>
                <w:color w:val="auto"/>
                <w:w w:val="87"/>
              </w:rPr>
              <w:t>]; and</w:t>
            </w: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513"/>
        </w:trPr>
        <w:tc>
          <w:tcPr>
            <w:tcW w:w="1880" w:type="dxa"/>
            <w:vAlign w:val="bottom"/>
          </w:tcPr>
          <w:p>
            <w:pPr>
              <w:ind w:left="1300"/>
              <w:spacing w:after="0"/>
              <w:rPr>
                <w:sz w:val="20"/>
                <w:szCs w:val="20"/>
                <w:color w:val="auto"/>
              </w:rPr>
            </w:pPr>
            <w:r>
              <w:rPr>
                <w:rFonts w:ascii="Arial" w:cs="Arial" w:eastAsia="Arial" w:hAnsi="Arial"/>
                <w:sz w:val="22"/>
                <w:szCs w:val="22"/>
                <w:color w:val="auto"/>
              </w:rPr>
              <w:t>(v)</w:t>
            </w:r>
          </w:p>
        </w:tc>
        <w:tc>
          <w:tcPr>
            <w:tcW w:w="700" w:type="dxa"/>
            <w:vAlign w:val="bottom"/>
          </w:tcPr>
          <w:p>
            <w:pPr>
              <w:ind w:left="320"/>
              <w:spacing w:after="0"/>
              <w:rPr>
                <w:sz w:val="20"/>
                <w:szCs w:val="20"/>
                <w:color w:val="auto"/>
              </w:rPr>
            </w:pPr>
            <w:r>
              <w:rPr>
                <w:rFonts w:ascii="Arial" w:cs="Arial" w:eastAsia="Arial" w:hAnsi="Arial"/>
                <w:sz w:val="22"/>
                <w:szCs w:val="22"/>
                <w:color w:val="auto"/>
              </w:rPr>
              <w:t>all [</w:t>
            </w: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5180" w:type="dxa"/>
            <w:vAlign w:val="bottom"/>
            <w:gridSpan w:val="4"/>
          </w:tcPr>
          <w:p>
            <w:pPr>
              <w:ind w:left="300"/>
              <w:spacing w:after="0"/>
              <w:rPr>
                <w:sz w:val="20"/>
                <w:szCs w:val="20"/>
                <w:color w:val="auto"/>
              </w:rPr>
            </w:pPr>
            <w:r>
              <w:rPr>
                <w:rFonts w:ascii="Arial" w:cs="Arial" w:eastAsia="Arial" w:hAnsi="Arial"/>
                <w:sz w:val="22"/>
                <w:szCs w:val="22"/>
                <w:color w:val="auto"/>
                <w:w w:val="96"/>
              </w:rPr>
              <w:t>] and similar governing documentation related [   ***</w:t>
            </w:r>
          </w:p>
        </w:tc>
        <w:tc>
          <w:tcPr>
            <w:tcW w:w="68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2340" w:type="dxa"/>
            <w:vAlign w:val="bottom"/>
          </w:tcPr>
          <w:p>
            <w:pPr>
              <w:spacing w:after="0"/>
              <w:rPr>
                <w:sz w:val="24"/>
                <w:szCs w:val="24"/>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22"/>
                <w:szCs w:val="22"/>
                <w:color w:val="auto"/>
                <w:w w:val="89"/>
              </w:rPr>
              <w:t>(b)</w:t>
            </w:r>
          </w:p>
        </w:tc>
        <w:tc>
          <w:tcPr>
            <w:tcW w:w="3560" w:type="dxa"/>
            <w:vAlign w:val="bottom"/>
            <w:gridSpan w:val="2"/>
          </w:tcPr>
          <w:p>
            <w:pPr>
              <w:jc w:val="right"/>
              <w:ind w:right="212"/>
              <w:spacing w:after="0"/>
              <w:rPr>
                <w:sz w:val="20"/>
                <w:szCs w:val="20"/>
                <w:color w:val="auto"/>
              </w:rPr>
            </w:pPr>
            <w:r>
              <w:rPr>
                <w:rFonts w:ascii="Arial" w:cs="Arial" w:eastAsia="Arial" w:hAnsi="Arial"/>
                <w:sz w:val="22"/>
                <w:szCs w:val="22"/>
                <w:color w:val="auto"/>
                <w:w w:val="99"/>
              </w:rPr>
              <w:t>The Insurer shall furnish a list of [</w:t>
            </w:r>
          </w:p>
        </w:tc>
        <w:tc>
          <w:tcPr>
            <w:tcW w:w="78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2520" w:type="dxa"/>
            <w:vAlign w:val="bottom"/>
            <w:gridSpan w:val="3"/>
          </w:tcPr>
          <w:p>
            <w:pPr>
              <w:ind w:left="60"/>
              <w:spacing w:after="0"/>
              <w:rPr>
                <w:sz w:val="20"/>
                <w:szCs w:val="20"/>
                <w:color w:val="auto"/>
              </w:rPr>
            </w:pPr>
            <w:r>
              <w:rPr>
                <w:rFonts w:ascii="Arial" w:cs="Arial" w:eastAsia="Arial" w:hAnsi="Arial"/>
                <w:sz w:val="22"/>
                <w:szCs w:val="22"/>
                <w:color w:val="auto"/>
              </w:rPr>
              <w:t>] in connection with the [</w:t>
            </w:r>
          </w:p>
        </w:tc>
        <w:tc>
          <w:tcPr>
            <w:tcW w:w="7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2840" w:type="dxa"/>
            <w:vAlign w:val="bottom"/>
          </w:tcPr>
          <w:p>
            <w:pPr>
              <w:ind w:left="240"/>
              <w:spacing w:after="0"/>
              <w:rPr>
                <w:sz w:val="20"/>
                <w:szCs w:val="20"/>
                <w:color w:val="auto"/>
              </w:rPr>
            </w:pPr>
            <w:r>
              <w:rPr>
                <w:rFonts w:ascii="Arial" w:cs="Arial" w:eastAsia="Arial" w:hAnsi="Arial"/>
                <w:sz w:val="22"/>
                <w:szCs w:val="22"/>
                <w:color w:val="auto"/>
                <w:w w:val="90"/>
              </w:rPr>
              <w:t>], and the Company shall use</w:t>
            </w:r>
          </w:p>
        </w:tc>
      </w:tr>
      <w:tr>
        <w:trPr>
          <w:trHeight w:val="275"/>
        </w:trPr>
        <w:tc>
          <w:tcPr>
            <w:tcW w:w="3700" w:type="dxa"/>
            <w:vAlign w:val="bottom"/>
            <w:gridSpan w:val="3"/>
          </w:tcPr>
          <w:p>
            <w:pPr>
              <w:spacing w:after="0"/>
              <w:rPr>
                <w:sz w:val="20"/>
                <w:szCs w:val="20"/>
                <w:color w:val="auto"/>
              </w:rPr>
            </w:pPr>
            <w:r>
              <w:rPr>
                <w:rFonts w:ascii="Arial" w:cs="Arial" w:eastAsia="Arial" w:hAnsi="Arial"/>
                <w:sz w:val="22"/>
                <w:szCs w:val="22"/>
                <w:color w:val="auto"/>
              </w:rPr>
              <w:t>commercially reasonable efforts [   ***</w:t>
            </w:r>
          </w:p>
        </w:tc>
        <w:tc>
          <w:tcPr>
            <w:tcW w:w="880" w:type="dxa"/>
            <w:vAlign w:val="bottom"/>
          </w:tcPr>
          <w:p>
            <w:pPr>
              <w:jc w:val="right"/>
              <w:ind w:right="45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495"/>
        </w:trPr>
        <w:tc>
          <w:tcPr>
            <w:tcW w:w="5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22"/>
                <w:szCs w:val="22"/>
                <w:color w:val="auto"/>
                <w:w w:val="93"/>
              </w:rPr>
              <w:t>(c)</w:t>
            </w:r>
          </w:p>
        </w:tc>
        <w:tc>
          <w:tcPr>
            <w:tcW w:w="10400" w:type="dxa"/>
            <w:vAlign w:val="bottom"/>
            <w:gridSpan w:val="8"/>
          </w:tcPr>
          <w:p>
            <w:pPr>
              <w:ind w:left="100"/>
              <w:spacing w:after="0"/>
              <w:rPr>
                <w:sz w:val="20"/>
                <w:szCs w:val="20"/>
                <w:color w:val="auto"/>
              </w:rPr>
            </w:pPr>
            <w:r>
              <w:rPr>
                <w:rFonts w:ascii="Arial" w:cs="Arial" w:eastAsia="Arial" w:hAnsi="Arial"/>
                <w:sz w:val="22"/>
                <w:szCs w:val="22"/>
                <w:color w:val="auto"/>
                <w:w w:val="92"/>
              </w:rPr>
              <w:t>Subject to any applicable contractual confidentiality restrictions and related requirements to obtain consents, [   ***</w:t>
            </w:r>
          </w:p>
        </w:tc>
      </w:tr>
      <w:tr>
        <w:trPr>
          <w:trHeight w:val="224"/>
        </w:trPr>
        <w:tc>
          <w:tcPr>
            <w:tcW w:w="7880" w:type="dxa"/>
            <w:vAlign w:val="bottom"/>
            <w:gridSpan w:val="8"/>
          </w:tcPr>
          <w:p>
            <w:pPr>
              <w:ind w:left="260"/>
              <w:spacing w:after="0" w:line="224" w:lineRule="exact"/>
              <w:rPr>
                <w:sz w:val="20"/>
                <w:szCs w:val="20"/>
                <w:color w:val="auto"/>
              </w:rPr>
            </w:pPr>
            <w:r>
              <w:rPr>
                <w:rFonts w:ascii="Arial" w:cs="Arial" w:eastAsia="Arial" w:hAnsi="Arial"/>
                <w:sz w:val="22"/>
                <w:szCs w:val="22"/>
                <w:color w:val="auto"/>
                <w:w w:val="93"/>
              </w:rPr>
              <w:t>], as may be reasonably requested by the Insurer, provided, however, that the [   ***</w:t>
            </w:r>
          </w:p>
        </w:tc>
        <w:tc>
          <w:tcPr>
            <w:tcW w:w="3540" w:type="dxa"/>
            <w:vAlign w:val="bottom"/>
            <w:gridSpan w:val="2"/>
          </w:tcPr>
          <w:p>
            <w:pPr>
              <w:ind w:left="280"/>
              <w:spacing w:after="0" w:line="224" w:lineRule="exact"/>
              <w:rPr>
                <w:sz w:val="20"/>
                <w:szCs w:val="20"/>
                <w:color w:val="auto"/>
              </w:rPr>
            </w:pPr>
            <w:r>
              <w:rPr>
                <w:rFonts w:ascii="Arial" w:cs="Arial" w:eastAsia="Arial" w:hAnsi="Arial"/>
                <w:sz w:val="22"/>
                <w:szCs w:val="22"/>
                <w:color w:val="auto"/>
                <w:w w:val="99"/>
              </w:rPr>
              <w:t>] shall not be required to provide [</w:t>
            </w:r>
          </w:p>
        </w:tc>
      </w:tr>
      <w:tr>
        <w:trPr>
          <w:trHeight w:val="287"/>
        </w:trPr>
        <w:tc>
          <w:tcPr>
            <w:tcW w:w="500" w:type="dxa"/>
            <w:vAlign w:val="bottom"/>
          </w:tcPr>
          <w:p>
            <w:pPr>
              <w:spacing w:after="0"/>
              <w:rPr>
                <w:sz w:val="20"/>
                <w:szCs w:val="20"/>
                <w:color w:val="auto"/>
              </w:rPr>
            </w:pPr>
            <w:r>
              <w:rPr>
                <w:rFonts w:ascii="Arial" w:cs="Arial" w:eastAsia="Arial" w:hAnsi="Arial"/>
                <w:sz w:val="22"/>
                <w:szCs w:val="22"/>
                <w:color w:val="auto"/>
              </w:rPr>
              <w:t>***</w:t>
            </w:r>
          </w:p>
        </w:tc>
        <w:tc>
          <w:tcPr>
            <w:tcW w:w="520" w:type="dxa"/>
            <w:vAlign w:val="bottom"/>
          </w:tcPr>
          <w:p>
            <w:pPr>
              <w:jc w:val="center"/>
              <w:spacing w:after="0"/>
              <w:rPr>
                <w:sz w:val="20"/>
                <w:szCs w:val="20"/>
                <w:color w:val="auto"/>
              </w:rPr>
            </w:pPr>
            <w:r>
              <w:rPr>
                <w:rFonts w:ascii="Arial" w:cs="Arial" w:eastAsia="Arial" w:hAnsi="Arial"/>
                <w:sz w:val="22"/>
                <w:szCs w:val="22"/>
                <w:color w:val="auto"/>
                <w:w w:val="97"/>
              </w:rPr>
              <w:t>].</w:t>
            </w:r>
          </w:p>
        </w:tc>
        <w:tc>
          <w:tcPr>
            <w:tcW w:w="2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91" w:right="239" w:bottom="1440" w:gutter="0" w:footer="0" w:header="0"/>
        </w:sectPr>
      </w:pPr>
    </w:p>
    <w:p>
      <w:pPr>
        <w:spacing w:after="0" w:line="39" w:lineRule="exact"/>
        <w:rPr>
          <w:sz w:val="20"/>
          <w:szCs w:val="20"/>
          <w:color w:val="auto"/>
        </w:rPr>
      </w:pPr>
    </w:p>
    <w:p>
      <w:pPr>
        <w:ind w:left="1180" w:hanging="524"/>
        <w:spacing w:after="0"/>
        <w:tabs>
          <w:tab w:leader="none" w:pos="118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If requested by the Insurer in connection [</w:t>
      </w:r>
    </w:p>
    <w:p>
      <w:pPr>
        <w:spacing w:after="0" w:line="33" w:lineRule="exact"/>
        <w:rPr>
          <w:sz w:val="20"/>
          <w:szCs w:val="20"/>
          <w:color w:val="auto"/>
        </w:rPr>
      </w:pPr>
    </w:p>
    <w:p>
      <w:pPr>
        <w:spacing w:after="0"/>
        <w:tabs>
          <w:tab w:leader="none" w:pos="4740" w:val="left"/>
        </w:tabs>
        <w:rPr>
          <w:sz w:val="20"/>
          <w:szCs w:val="20"/>
          <w:color w:val="auto"/>
        </w:rPr>
      </w:pPr>
      <w:r>
        <w:rPr>
          <w:rFonts w:ascii="Arial" w:cs="Arial" w:eastAsia="Arial" w:hAnsi="Arial"/>
          <w:sz w:val="22"/>
          <w:szCs w:val="22"/>
          <w:color w:val="auto"/>
        </w:rPr>
        <w:t>furnish a copy of, or assist the Insurer in obtaining [</w:t>
        <w:tab/>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tabs>
          <w:tab w:leader="none" w:pos="780" w:val="left"/>
          <w:tab w:leader="none" w:pos="5040" w:val="left"/>
          <w:tab w:leader="none" w:pos="58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or any time after Closing, with respect to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 to</w:t>
      </w:r>
    </w:p>
    <w:p>
      <w:pPr>
        <w:spacing w:after="0" w:line="22" w:lineRule="exact"/>
        <w:rPr>
          <w:sz w:val="20"/>
          <w:szCs w:val="20"/>
          <w:color w:val="auto"/>
        </w:rPr>
      </w:pPr>
    </w:p>
    <w:p>
      <w:pPr>
        <w:ind w:left="220"/>
        <w:spacing w:after="0"/>
        <w:tabs>
          <w:tab w:leader="none" w:pos="4740" w:val="left"/>
          <w:tab w:leader="none" w:pos="5440" w:val="left"/>
        </w:tabs>
        <w:rPr>
          <w:sz w:val="20"/>
          <w:szCs w:val="20"/>
          <w:color w:val="auto"/>
        </w:rPr>
      </w:pPr>
      <w:r>
        <w:rPr>
          <w:rFonts w:ascii="Arial" w:cs="Arial" w:eastAsia="Arial" w:hAnsi="Arial"/>
          <w:sz w:val="22"/>
          <w:szCs w:val="22"/>
          <w:color w:val="auto"/>
        </w:rPr>
        <w:t>], the information that would be included on the [</w:t>
        <w:tab/>
        <w:t>***</w:t>
      </w:r>
      <w:r>
        <w:rPr>
          <w:sz w:val="20"/>
          <w:szCs w:val="20"/>
          <w:color w:val="auto"/>
        </w:rPr>
        <w:tab/>
      </w:r>
      <w:r>
        <w:rPr>
          <w:rFonts w:ascii="Arial" w:cs="Arial" w:eastAsia="Arial" w:hAnsi="Arial"/>
          <w:sz w:val="21"/>
          <w:szCs w:val="21"/>
          <w:color w:val="auto"/>
        </w:rPr>
        <w:t>].</w:t>
      </w:r>
    </w:p>
    <w:p>
      <w:pPr>
        <w:spacing w:after="0" w:line="173" w:lineRule="exact"/>
        <w:rPr>
          <w:sz w:val="20"/>
          <w:szCs w:val="20"/>
          <w:color w:val="auto"/>
        </w:rPr>
      </w:pPr>
    </w:p>
    <w:p>
      <w:pPr>
        <w:sectPr>
          <w:pgSz w:w="11900" w:h="16838" w:orient="portrait"/>
          <w:cols w:equalWidth="0" w:num="2">
            <w:col w:w="5080" w:space="160"/>
            <w:col w:w="6180"/>
          </w:cols>
          <w:pgMar w:left="240" w:top="591" w:right="2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1380" w:type="dxa"/>
            <w:vAlign w:val="bottom"/>
            <w:gridSpan w:val="3"/>
          </w:tcPr>
          <w:p>
            <w:pPr>
              <w:ind w:left="160"/>
              <w:spacing w:after="0"/>
              <w:rPr>
                <w:sz w:val="20"/>
                <w:szCs w:val="20"/>
                <w:color w:val="auto"/>
              </w:rPr>
            </w:pPr>
            <w:r>
              <w:rPr>
                <w:rFonts w:ascii="Arial" w:cs="Arial" w:eastAsia="Arial" w:hAnsi="Arial"/>
                <w:sz w:val="22"/>
                <w:szCs w:val="22"/>
                <w:color w:val="auto"/>
                <w:w w:val="98"/>
              </w:rPr>
              <w:t>Section 6.13</w:t>
            </w:r>
          </w:p>
        </w:tc>
        <w:tc>
          <w:tcPr>
            <w:tcW w:w="8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22"/>
                <w:szCs w:val="22"/>
                <w:color w:val="auto"/>
              </w:rPr>
              <w:t>Newco. [   ***</w:t>
            </w:r>
          </w:p>
        </w:tc>
        <w:tc>
          <w:tcPr>
            <w:tcW w:w="3540" w:type="dxa"/>
            <w:vAlign w:val="bottom"/>
            <w:gridSpan w:val="8"/>
          </w:tcPr>
          <w:p>
            <w:pPr>
              <w:ind w:left="300"/>
              <w:spacing w:after="0"/>
              <w:rPr>
                <w:sz w:val="20"/>
                <w:szCs w:val="20"/>
                <w:color w:val="auto"/>
              </w:rPr>
            </w:pPr>
            <w:r>
              <w:rPr>
                <w:rFonts w:ascii="Arial" w:cs="Arial" w:eastAsia="Arial" w:hAnsi="Arial"/>
                <w:sz w:val="22"/>
                <w:szCs w:val="22"/>
                <w:color w:val="auto"/>
                <w:w w:val="96"/>
              </w:rPr>
              <w:t>] may cause the formation of [   ***</w:t>
            </w:r>
          </w:p>
        </w:tc>
        <w:tc>
          <w:tcPr>
            <w:tcW w:w="380" w:type="dxa"/>
            <w:vAlign w:val="bottom"/>
          </w:tcPr>
          <w:p>
            <w:pPr>
              <w:spacing w:after="0"/>
              <w:rPr>
                <w:sz w:val="21"/>
                <w:szCs w:val="21"/>
                <w:color w:val="auto"/>
              </w:rPr>
            </w:pPr>
          </w:p>
        </w:tc>
        <w:tc>
          <w:tcPr>
            <w:tcW w:w="4080" w:type="dxa"/>
            <w:vAlign w:val="bottom"/>
            <w:gridSpan w:val="6"/>
          </w:tcPr>
          <w:p>
            <w:pPr>
              <w:jc w:val="right"/>
              <w:spacing w:after="0"/>
              <w:rPr>
                <w:sz w:val="20"/>
                <w:szCs w:val="20"/>
                <w:color w:val="auto"/>
              </w:rPr>
            </w:pPr>
            <w:r>
              <w:rPr>
                <w:rFonts w:ascii="Arial" w:cs="Arial" w:eastAsia="Arial" w:hAnsi="Arial"/>
                <w:sz w:val="22"/>
                <w:szCs w:val="22"/>
                <w:color w:val="auto"/>
                <w:w w:val="89"/>
              </w:rPr>
              <w:t>] in accordance with the procedures set forth in</w:t>
            </w:r>
          </w:p>
        </w:tc>
      </w:tr>
      <w:tr>
        <w:trPr>
          <w:trHeight w:val="20"/>
        </w:trPr>
        <w:tc>
          <w:tcPr>
            <w:tcW w:w="1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880" w:type="dxa"/>
            <w:vAlign w:val="bottom"/>
            <w:gridSpan w:val="4"/>
          </w:tcPr>
          <w:p>
            <w:pPr>
              <w:spacing w:after="0" w:line="237" w:lineRule="exact"/>
              <w:rPr>
                <w:sz w:val="20"/>
                <w:szCs w:val="20"/>
                <w:color w:val="auto"/>
              </w:rPr>
            </w:pPr>
            <w:r>
              <w:rPr>
                <w:rFonts w:ascii="Arial" w:cs="Arial" w:eastAsia="Arial" w:hAnsi="Arial"/>
                <w:sz w:val="22"/>
                <w:szCs w:val="22"/>
                <w:color w:val="auto"/>
              </w:rPr>
              <w:t>Appendix 2.1-A ([</w:t>
            </w:r>
          </w:p>
        </w:tc>
        <w:tc>
          <w:tcPr>
            <w:tcW w:w="680" w:type="dxa"/>
            <w:vAlign w:val="bottom"/>
            <w:gridSpan w:val="2"/>
          </w:tcPr>
          <w:p>
            <w:pPr>
              <w:jc w:val="right"/>
              <w:ind w:right="232"/>
              <w:spacing w:after="0" w:line="237" w:lineRule="exact"/>
              <w:rPr>
                <w:sz w:val="20"/>
                <w:szCs w:val="20"/>
                <w:color w:val="auto"/>
              </w:rPr>
            </w:pPr>
            <w:r>
              <w:rPr>
                <w:rFonts w:ascii="Arial" w:cs="Arial" w:eastAsia="Arial" w:hAnsi="Arial"/>
                <w:sz w:val="22"/>
                <w:szCs w:val="22"/>
                <w:color w:val="auto"/>
              </w:rPr>
              <w:t>***</w:t>
            </w:r>
          </w:p>
        </w:tc>
        <w:tc>
          <w:tcPr>
            <w:tcW w:w="7200" w:type="dxa"/>
            <w:vAlign w:val="bottom"/>
            <w:gridSpan w:val="13"/>
          </w:tcPr>
          <w:p>
            <w:pPr>
              <w:jc w:val="right"/>
              <w:ind w:right="32"/>
              <w:spacing w:after="0" w:line="237" w:lineRule="exact"/>
              <w:rPr>
                <w:sz w:val="20"/>
                <w:szCs w:val="20"/>
                <w:color w:val="auto"/>
              </w:rPr>
            </w:pPr>
            <w:r>
              <w:rPr>
                <w:rFonts w:ascii="Arial" w:cs="Arial" w:eastAsia="Arial" w:hAnsi="Arial"/>
                <w:sz w:val="22"/>
                <w:szCs w:val="22"/>
                <w:color w:val="auto"/>
                <w:w w:val="90"/>
              </w:rPr>
              <w:t>] “Newco”), provided that (</w:t>
            </w:r>
            <w:r>
              <w:rPr>
                <w:rFonts w:ascii="Arial" w:cs="Arial" w:eastAsia="Arial" w:hAnsi="Arial"/>
                <w:sz w:val="22"/>
                <w:szCs w:val="22"/>
                <w:u w:val="single" w:color="auto"/>
                <w:color w:val="auto"/>
                <w:w w:val="90"/>
              </w:rPr>
              <w:t>i</w:t>
            </w:r>
            <w:r>
              <w:rPr>
                <w:rFonts w:ascii="Arial" w:cs="Arial" w:eastAsia="Arial" w:hAnsi="Arial"/>
                <w:sz w:val="22"/>
                <w:szCs w:val="22"/>
                <w:color w:val="auto"/>
                <w:w w:val="90"/>
              </w:rPr>
              <w:t>) each such Newco shall be, as of the Closing Date, [</w:t>
            </w:r>
          </w:p>
        </w:tc>
        <w:tc>
          <w:tcPr>
            <w:tcW w:w="660" w:type="dxa"/>
            <w:vAlign w:val="bottom"/>
          </w:tcPr>
          <w:p>
            <w:pPr>
              <w:jc w:val="right"/>
              <w:ind w:right="92"/>
              <w:spacing w:after="0" w:line="237" w:lineRule="exact"/>
              <w:rPr>
                <w:sz w:val="20"/>
                <w:szCs w:val="20"/>
                <w:color w:val="auto"/>
              </w:rPr>
            </w:pPr>
            <w:r>
              <w:rPr>
                <w:rFonts w:ascii="Arial" w:cs="Arial" w:eastAsia="Arial" w:hAnsi="Arial"/>
                <w:sz w:val="22"/>
                <w:szCs w:val="22"/>
                <w:color w:val="auto"/>
              </w:rPr>
              <w:t>***</w:t>
            </w:r>
          </w:p>
        </w:tc>
        <w:tc>
          <w:tcPr>
            <w:tcW w:w="1000" w:type="dxa"/>
            <w:vAlign w:val="bottom"/>
            <w:gridSpan w:val="3"/>
          </w:tcPr>
          <w:p>
            <w:pPr>
              <w:jc w:val="right"/>
              <w:ind w:right="220"/>
              <w:spacing w:after="0" w:line="237" w:lineRule="exact"/>
              <w:rPr>
                <w:sz w:val="20"/>
                <w:szCs w:val="20"/>
                <w:color w:val="auto"/>
              </w:rPr>
            </w:pPr>
            <w:r>
              <w:rPr>
                <w:rFonts w:ascii="Arial" w:cs="Arial" w:eastAsia="Arial" w:hAnsi="Arial"/>
                <w:sz w:val="22"/>
                <w:szCs w:val="22"/>
                <w:color w:val="auto"/>
              </w:rPr>
              <w:t>], (ii) [</w:t>
            </w:r>
          </w:p>
        </w:tc>
      </w:tr>
      <w:tr>
        <w:trPr>
          <w:trHeight w:val="20"/>
        </w:trPr>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500" w:type="dxa"/>
            <w:vAlign w:val="bottom"/>
          </w:tcPr>
          <w:p>
            <w:pPr>
              <w:spacing w:after="0" w:line="237" w:lineRule="exact"/>
              <w:rPr>
                <w:sz w:val="20"/>
                <w:szCs w:val="20"/>
                <w:color w:val="auto"/>
              </w:rPr>
            </w:pPr>
            <w:r>
              <w:rPr>
                <w:rFonts w:ascii="Arial" w:cs="Arial" w:eastAsia="Arial" w:hAnsi="Arial"/>
                <w:sz w:val="22"/>
                <w:szCs w:val="22"/>
                <w:color w:val="auto"/>
              </w:rPr>
              <w:t>***</w:t>
            </w:r>
          </w:p>
        </w:tc>
        <w:tc>
          <w:tcPr>
            <w:tcW w:w="3620" w:type="dxa"/>
            <w:vAlign w:val="bottom"/>
            <w:gridSpan w:val="9"/>
          </w:tcPr>
          <w:p>
            <w:pPr>
              <w:ind w:left="260"/>
              <w:spacing w:after="0" w:line="237" w:lineRule="exact"/>
              <w:rPr>
                <w:sz w:val="20"/>
                <w:szCs w:val="20"/>
                <w:color w:val="auto"/>
              </w:rPr>
            </w:pPr>
            <w:r>
              <w:rPr>
                <w:rFonts w:ascii="Arial" w:cs="Arial" w:eastAsia="Arial" w:hAnsi="Arial"/>
                <w:sz w:val="22"/>
                <w:szCs w:val="22"/>
                <w:color w:val="auto"/>
              </w:rPr>
              <w:t>] Newco, (iii) all of such Newco's [</w:t>
            </w:r>
          </w:p>
        </w:tc>
        <w:tc>
          <w:tcPr>
            <w:tcW w:w="680" w:type="dxa"/>
            <w:vAlign w:val="bottom"/>
            <w:gridSpan w:val="2"/>
          </w:tcPr>
          <w:p>
            <w:pPr>
              <w:jc w:val="right"/>
              <w:ind w:right="320"/>
              <w:spacing w:after="0" w:line="237" w:lineRule="exact"/>
              <w:rPr>
                <w:sz w:val="20"/>
                <w:szCs w:val="20"/>
                <w:color w:val="auto"/>
              </w:rPr>
            </w:pPr>
            <w:r>
              <w:rPr>
                <w:rFonts w:ascii="Arial" w:cs="Arial" w:eastAsia="Arial" w:hAnsi="Arial"/>
                <w:sz w:val="22"/>
                <w:szCs w:val="22"/>
                <w:color w:val="auto"/>
              </w:rPr>
              <w:t>***</w:t>
            </w:r>
          </w:p>
        </w:tc>
        <w:tc>
          <w:tcPr>
            <w:tcW w:w="2160" w:type="dxa"/>
            <w:vAlign w:val="bottom"/>
            <w:gridSpan w:val="4"/>
          </w:tcPr>
          <w:p>
            <w:pPr>
              <w:ind w:left="120"/>
              <w:spacing w:after="0" w:line="237" w:lineRule="exact"/>
              <w:rPr>
                <w:sz w:val="20"/>
                <w:szCs w:val="20"/>
                <w:color w:val="auto"/>
              </w:rPr>
            </w:pPr>
            <w:r>
              <w:rPr>
                <w:rFonts w:ascii="Arial" w:cs="Arial" w:eastAsia="Arial" w:hAnsi="Arial"/>
                <w:sz w:val="22"/>
                <w:szCs w:val="22"/>
                <w:color w:val="auto"/>
              </w:rPr>
              <w:t>], (iv) such Newco [</w:t>
            </w:r>
          </w:p>
        </w:tc>
        <w:tc>
          <w:tcPr>
            <w:tcW w:w="38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4080" w:type="dxa"/>
            <w:vAlign w:val="bottom"/>
            <w:gridSpan w:val="6"/>
          </w:tcPr>
          <w:p>
            <w:pPr>
              <w:jc w:val="right"/>
              <w:spacing w:after="0" w:line="237" w:lineRule="exact"/>
              <w:rPr>
                <w:sz w:val="20"/>
                <w:szCs w:val="20"/>
                <w:color w:val="auto"/>
              </w:rPr>
            </w:pPr>
            <w:r>
              <w:rPr>
                <w:rFonts w:ascii="Arial" w:cs="Arial" w:eastAsia="Arial" w:hAnsi="Arial"/>
                <w:sz w:val="22"/>
                <w:szCs w:val="22"/>
                <w:color w:val="auto"/>
              </w:rPr>
              <w:t>] it holds free and clear of any Lien, other</w:t>
            </w:r>
          </w:p>
        </w:tc>
      </w:tr>
      <w:tr>
        <w:trPr>
          <w:trHeight w:val="20"/>
        </w:trPr>
        <w:tc>
          <w:tcPr>
            <w:tcW w:w="1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r>
      <w:tr>
        <w:trPr>
          <w:trHeight w:val="237"/>
        </w:trPr>
        <w:tc>
          <w:tcPr>
            <w:tcW w:w="4120" w:type="dxa"/>
            <w:vAlign w:val="bottom"/>
            <w:gridSpan w:val="10"/>
          </w:tcPr>
          <w:p>
            <w:pPr>
              <w:spacing w:after="0" w:line="237" w:lineRule="exact"/>
              <w:rPr>
                <w:sz w:val="20"/>
                <w:szCs w:val="20"/>
                <w:color w:val="auto"/>
              </w:rPr>
            </w:pPr>
            <w:r>
              <w:rPr>
                <w:rFonts w:ascii="Arial" w:cs="Arial" w:eastAsia="Arial" w:hAnsi="Arial"/>
                <w:sz w:val="22"/>
                <w:szCs w:val="22"/>
                <w:color w:val="auto"/>
                <w:w w:val="90"/>
              </w:rPr>
              <w:t>than a Permitted Lien, and will have obtained [</w:t>
            </w:r>
          </w:p>
        </w:tc>
        <w:tc>
          <w:tcPr>
            <w:tcW w:w="680" w:type="dxa"/>
            <w:vAlign w:val="bottom"/>
            <w:gridSpan w:val="2"/>
          </w:tcPr>
          <w:p>
            <w:pPr>
              <w:jc w:val="right"/>
              <w:ind w:right="120"/>
              <w:spacing w:after="0" w:line="237" w:lineRule="exact"/>
              <w:rPr>
                <w:sz w:val="20"/>
                <w:szCs w:val="20"/>
                <w:color w:val="auto"/>
              </w:rPr>
            </w:pPr>
            <w:r>
              <w:rPr>
                <w:rFonts w:ascii="Arial" w:cs="Arial" w:eastAsia="Arial" w:hAnsi="Arial"/>
                <w:sz w:val="22"/>
                <w:szCs w:val="22"/>
                <w:color w:val="auto"/>
              </w:rPr>
              <w:t>***</w:t>
            </w:r>
          </w:p>
        </w:tc>
        <w:tc>
          <w:tcPr>
            <w:tcW w:w="2160" w:type="dxa"/>
            <w:vAlign w:val="bottom"/>
            <w:gridSpan w:val="4"/>
          </w:tcPr>
          <w:p>
            <w:pPr>
              <w:ind w:left="260"/>
              <w:spacing w:after="0" w:line="237" w:lineRule="exact"/>
              <w:rPr>
                <w:sz w:val="20"/>
                <w:szCs w:val="20"/>
                <w:color w:val="auto"/>
              </w:rPr>
            </w:pPr>
            <w:r>
              <w:rPr>
                <w:rFonts w:ascii="Arial" w:cs="Arial" w:eastAsia="Arial" w:hAnsi="Arial"/>
                <w:sz w:val="22"/>
                <w:szCs w:val="22"/>
                <w:color w:val="auto"/>
              </w:rPr>
              <w:t>], (v) such Newco [</w:t>
            </w:r>
          </w:p>
        </w:tc>
        <w:tc>
          <w:tcPr>
            <w:tcW w:w="38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4080" w:type="dxa"/>
            <w:vAlign w:val="bottom"/>
            <w:gridSpan w:val="6"/>
          </w:tcPr>
          <w:p>
            <w:pPr>
              <w:jc w:val="right"/>
              <w:spacing w:after="0" w:line="237" w:lineRule="exact"/>
              <w:rPr>
                <w:sz w:val="20"/>
                <w:szCs w:val="20"/>
                <w:color w:val="auto"/>
              </w:rPr>
            </w:pPr>
            <w:r>
              <w:rPr>
                <w:rFonts w:ascii="Arial" w:cs="Arial" w:eastAsia="Arial" w:hAnsi="Arial"/>
                <w:sz w:val="22"/>
                <w:szCs w:val="22"/>
                <w:color w:val="auto"/>
                <w:w w:val="96"/>
              </w:rPr>
              <w:t>] in good faith deems necessary, advisable,</w:t>
            </w:r>
          </w:p>
        </w:tc>
      </w:tr>
      <w:tr>
        <w:trPr>
          <w:trHeight w:val="20"/>
        </w:trPr>
        <w:tc>
          <w:tcPr>
            <w:tcW w:w="402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Borders>
              <w:righ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6960" w:type="dxa"/>
            <w:vAlign w:val="bottom"/>
            <w:gridSpan w:val="16"/>
          </w:tcPr>
          <w:p>
            <w:pPr>
              <w:spacing w:after="0" w:line="237" w:lineRule="exact"/>
              <w:rPr>
                <w:sz w:val="20"/>
                <w:szCs w:val="20"/>
                <w:color w:val="auto"/>
              </w:rPr>
            </w:pPr>
            <w:r>
              <w:rPr>
                <w:rFonts w:ascii="Arial" w:cs="Arial" w:eastAsia="Arial" w:hAnsi="Arial"/>
                <w:sz w:val="22"/>
                <w:szCs w:val="22"/>
                <w:color w:val="auto"/>
                <w:w w:val="93"/>
              </w:rPr>
              <w:t>convenient or incidental to the foregoing and (vi) no asset held or owned by [</w:t>
            </w:r>
          </w:p>
        </w:tc>
        <w:tc>
          <w:tcPr>
            <w:tcW w:w="38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1980" w:type="dxa"/>
            <w:vAlign w:val="bottom"/>
          </w:tcPr>
          <w:p>
            <w:pPr>
              <w:ind w:left="320"/>
              <w:spacing w:after="0" w:line="237" w:lineRule="exact"/>
              <w:rPr>
                <w:sz w:val="20"/>
                <w:szCs w:val="20"/>
                <w:color w:val="auto"/>
              </w:rPr>
            </w:pPr>
            <w:r>
              <w:rPr>
                <w:rFonts w:ascii="Arial" w:cs="Arial" w:eastAsia="Arial" w:hAnsi="Arial"/>
                <w:sz w:val="22"/>
                <w:szCs w:val="22"/>
                <w:color w:val="auto"/>
              </w:rPr>
              <w:t>] Newco [   ***</w:t>
            </w:r>
          </w:p>
        </w:tc>
        <w:tc>
          <w:tcPr>
            <w:tcW w:w="440" w:type="dxa"/>
            <w:vAlign w:val="bottom"/>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Recoupment</w:t>
      </w:r>
      <w:r>
        <w:rPr>
          <w:rFonts w:ascii="Arial" w:cs="Arial" w:eastAsia="Arial" w:hAnsi="Arial"/>
          <w:sz w:val="22"/>
          <w:szCs w:val="22"/>
          <w:color w:val="auto"/>
        </w:rPr>
        <w:t>. On or prior to the twentieth (20th) Business Day prior to the Closing, the Company shall deliver to the Insurer a statement setting forth (</w:t>
      </w:r>
      <w:r>
        <w:rPr>
          <w:rFonts w:ascii="Arial" w:cs="Arial" w:eastAsia="Arial" w:hAnsi="Arial"/>
          <w:sz w:val="22"/>
          <w:szCs w:val="22"/>
          <w:u w:val="single" w:color="auto"/>
          <w:color w:val="auto"/>
        </w:rPr>
        <w:t>i</w:t>
      </w:r>
      <w:r>
        <w:rPr>
          <w:rFonts w:ascii="Arial" w:cs="Arial" w:eastAsia="Arial" w:hAnsi="Arial"/>
          <w:sz w:val="22"/>
          <w:szCs w:val="22"/>
          <w:color w:val="auto"/>
        </w:rPr>
        <w:t>) each Covered Life, Contingent Life or Beneficiary who has been paid, prior to the Annuity Commencement Date, Plan benefits in excess of the amount owed under the Plan, (</w:t>
      </w:r>
      <w:r>
        <w:rPr>
          <w:rFonts w:ascii="Arial" w:cs="Arial" w:eastAsia="Arial" w:hAnsi="Arial"/>
          <w:sz w:val="22"/>
          <w:szCs w:val="22"/>
          <w:u w:val="single" w:color="auto"/>
          <w:color w:val="auto"/>
        </w:rPr>
        <w:t>ii</w:t>
      </w:r>
      <w:r>
        <w:rPr>
          <w:rFonts w:ascii="Arial" w:cs="Arial" w:eastAsia="Arial" w:hAnsi="Arial"/>
          <w:sz w:val="22"/>
          <w:szCs w:val="22"/>
          <w:color w:val="auto"/>
        </w:rPr>
        <w:t>) the amount of each such excess payment and the length of overpayment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91" w:right="239" w:bottom="1440" w:gutter="0" w:footer="0" w:header="0"/>
          <w:type w:val="continuous"/>
        </w:sectPr>
      </w:pPr>
    </w:p>
    <w:bookmarkStart w:id="147" w:name="page148"/>
    <w:bookmarkEnd w:id="147"/>
    <w:p>
      <w:pPr>
        <w:jc w:val="both"/>
        <w:spacing w:after="0" w:line="312" w:lineRule="auto"/>
        <w:rPr>
          <w:sz w:val="20"/>
          <w:szCs w:val="20"/>
          <w:color w:val="auto"/>
        </w:rPr>
      </w:pPr>
      <w:r>
        <w:rPr>
          <w:rFonts w:ascii="Arial" w:cs="Arial" w:eastAsia="Arial" w:hAnsi="Arial"/>
          <w:sz w:val="19"/>
          <w:szCs w:val="19"/>
          <w:color w:val="auto"/>
        </w:rPr>
        <w:t>and (</w:t>
      </w:r>
      <w:r>
        <w:rPr>
          <w:rFonts w:ascii="Arial" w:cs="Arial" w:eastAsia="Arial" w:hAnsi="Arial"/>
          <w:sz w:val="19"/>
          <w:szCs w:val="19"/>
          <w:u w:val="single" w:color="auto"/>
          <w:color w:val="auto"/>
        </w:rPr>
        <w:t>iii</w:t>
      </w:r>
      <w:r>
        <w:rPr>
          <w:rFonts w:ascii="Arial" w:cs="Arial" w:eastAsia="Arial" w:hAnsi="Arial"/>
          <w:sz w:val="19"/>
          <w:szCs w:val="19"/>
          <w:color w:val="auto"/>
        </w:rPr>
        <w:t>) for each such Covered Life, Contingent Life or Beneficiary, either (</w:t>
      </w:r>
      <w:r>
        <w:rPr>
          <w:rFonts w:ascii="Arial" w:cs="Arial" w:eastAsia="Arial" w:hAnsi="Arial"/>
          <w:sz w:val="19"/>
          <w:szCs w:val="19"/>
          <w:u w:val="single" w:color="auto"/>
          <w:color w:val="auto"/>
        </w:rPr>
        <w:t>A</w:t>
      </w:r>
      <w:r>
        <w:rPr>
          <w:rFonts w:ascii="Arial" w:cs="Arial" w:eastAsia="Arial" w:hAnsi="Arial"/>
          <w:sz w:val="19"/>
          <w:szCs w:val="19"/>
          <w:color w:val="auto"/>
        </w:rPr>
        <w:t>) a certification that the amount of each such excess payment made to such Covered Life, Contingent Life or Beneficiary is undisputed or (</w:t>
      </w:r>
      <w:r>
        <w:rPr>
          <w:rFonts w:ascii="Arial" w:cs="Arial" w:eastAsia="Arial" w:hAnsi="Arial"/>
          <w:sz w:val="19"/>
          <w:szCs w:val="19"/>
          <w:u w:val="single" w:color="auto"/>
          <w:color w:val="auto"/>
        </w:rPr>
        <w:t>B</w:t>
      </w:r>
      <w:r>
        <w:rPr>
          <w:rFonts w:ascii="Arial" w:cs="Arial" w:eastAsia="Arial" w:hAnsi="Arial"/>
          <w:sz w:val="19"/>
          <w:szCs w:val="19"/>
          <w:color w:val="auto"/>
        </w:rPr>
        <w:t>) a reasonably detailed description of the nature of each dispute in respect of any such excess payment made to such Covered Life, Contingent Life or Beneficiary.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COVENANTS</w:t>
      </w:r>
    </w:p>
    <w:p>
      <w:pPr>
        <w:spacing w:after="0" w:line="24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Company Actions</w:t>
      </w:r>
      <w:r>
        <w:rPr>
          <w:rFonts w:ascii="Arial" w:cs="Arial" w:eastAsia="Arial" w:hAnsi="Arial"/>
          <w:sz w:val="19"/>
          <w:szCs w:val="19"/>
          <w:color w:val="auto"/>
        </w:rPr>
        <w:t>. Following the Closing Date, the Company shall use its commercially reasonable efforts to:</w:t>
      </w:r>
    </w:p>
    <w:p>
      <w:pPr>
        <w:spacing w:after="0" w:line="260" w:lineRule="exact"/>
        <w:rPr>
          <w:sz w:val="20"/>
          <w:szCs w:val="20"/>
          <w:color w:val="auto"/>
        </w:rPr>
      </w:pPr>
    </w:p>
    <w:p>
      <w:pPr>
        <w:ind w:left="1540" w:hanging="884"/>
        <w:spacing w:after="0"/>
        <w:tabs>
          <w:tab w:leader="none" w:pos="15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cooperate in the proper preparation and filing of the Form 501;</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cooperate in the closing out of the Plan in a Standard Termination; and</w:t>
      </w:r>
    </w:p>
    <w:p>
      <w:pPr>
        <w:spacing w:after="0" w:line="260" w:lineRule="exact"/>
        <w:rPr>
          <w:rFonts w:ascii="Arial" w:cs="Arial" w:eastAsia="Arial" w:hAnsi="Arial"/>
          <w:sz w:val="22"/>
          <w:szCs w:val="22"/>
          <w:color w:val="auto"/>
        </w:rPr>
      </w:pPr>
    </w:p>
    <w:p>
      <w:pPr>
        <w:ind w:firstLine="656"/>
        <w:spacing w:after="0" w:line="263" w:lineRule="auto"/>
        <w:tabs>
          <w:tab w:leader="none" w:pos="153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take, or cause to be taken, all actions, and to do, or cause to be done, all things reasonably necessary on its part to effectuate the transactions contemplated by this Agreement.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Insurer Actions</w:t>
      </w:r>
      <w:r>
        <w:rPr>
          <w:rFonts w:ascii="Arial" w:cs="Arial" w:eastAsia="Arial" w:hAnsi="Arial"/>
          <w:sz w:val="19"/>
          <w:szCs w:val="19"/>
          <w:color w:val="auto"/>
        </w:rPr>
        <w:t>. Following the Closing Date, the Insurer shall:</w:t>
      </w:r>
    </w:p>
    <w:p>
      <w:pPr>
        <w:spacing w:after="0" w:line="260" w:lineRule="exact"/>
        <w:rPr>
          <w:sz w:val="20"/>
          <w:szCs w:val="20"/>
          <w:color w:val="auto"/>
        </w:rPr>
      </w:pPr>
    </w:p>
    <w:p>
      <w:pPr>
        <w:jc w:val="both"/>
        <w:ind w:firstLine="656"/>
        <w:spacing w:after="0" w:line="312" w:lineRule="auto"/>
        <w:tabs>
          <w:tab w:leader="none" w:pos="119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use its best efforts to obtain approval from all necessary state insurance Governmental Authorities for the Annuity Certificates;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Insurer shall not be required to amend or modify the form of any Annuity Certificate in a manner that would result in the assumption by the Insurer of any additional Liability not provided for under the Group Annuity Contract;</w:t>
      </w:r>
    </w:p>
    <w:p>
      <w:pPr>
        <w:spacing w:after="0" w:line="174" w:lineRule="exact"/>
        <w:rPr>
          <w:rFonts w:ascii="Arial" w:cs="Arial" w:eastAsia="Arial" w:hAnsi="Arial"/>
          <w:sz w:val="19"/>
          <w:szCs w:val="19"/>
          <w:color w:val="auto"/>
        </w:rPr>
      </w:pPr>
    </w:p>
    <w:p>
      <w:pPr>
        <w:jc w:val="both"/>
        <w:ind w:firstLine="656"/>
        <w:spacing w:after="0" w:line="261" w:lineRule="auto"/>
        <w:tabs>
          <w:tab w:leader="none" w:pos="1125"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provide each Annuitant with an Annuity Certificate within 30 days after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t>
      </w:r>
      <w:r>
        <w:rPr>
          <w:rFonts w:ascii="Arial" w:cs="Arial" w:eastAsia="Arial" w:hAnsi="Arial"/>
          <w:sz w:val="21"/>
          <w:szCs w:val="21"/>
          <w:u w:val="single" w:color="auto"/>
          <w:color w:val="auto"/>
        </w:rPr>
        <w:t>i</w:t>
      </w:r>
      <w:r>
        <w:rPr>
          <w:rFonts w:ascii="Arial" w:cs="Arial" w:eastAsia="Arial" w:hAnsi="Arial"/>
          <w:sz w:val="21"/>
          <w:szCs w:val="21"/>
          <w:color w:val="auto"/>
        </w:rPr>
        <w:t>) if the form of any Annuity Certificate issuable to such Annuitant has not become “available” (in a manner consistent with the use of such term in 29 C.F.R. § 4041.28(d)(1)) as of the Closing Date, then the Insurer will provide such Annuity Certificate to the relevant Annuitant as promptly as reasonably practicable and in any case within 30 days following the date on which such Annuity Certificate so becomes “available,” and (</w:t>
      </w:r>
      <w:r>
        <w:rPr>
          <w:rFonts w:ascii="Arial" w:cs="Arial" w:eastAsia="Arial" w:hAnsi="Arial"/>
          <w:sz w:val="21"/>
          <w:szCs w:val="21"/>
          <w:u w:val="single" w:color="auto"/>
          <w:color w:val="auto"/>
        </w:rPr>
        <w:t>ii</w:t>
      </w:r>
      <w:r>
        <w:rPr>
          <w:rFonts w:ascii="Arial" w:cs="Arial" w:eastAsia="Arial" w:hAnsi="Arial"/>
          <w:sz w:val="21"/>
          <w:szCs w:val="21"/>
          <w:color w:val="auto"/>
        </w:rPr>
        <w:t>) if such Annuity Certificate has not become “available” within 20 days following the Closing Date, the Insurer shall provide notice to the Company of such fact;</w:t>
      </w:r>
    </w:p>
    <w:p>
      <w:pPr>
        <w:spacing w:after="0" w:line="220" w:lineRule="exact"/>
        <w:rPr>
          <w:rFonts w:ascii="Arial" w:cs="Arial" w:eastAsia="Arial" w:hAnsi="Arial"/>
          <w:sz w:val="21"/>
          <w:szCs w:val="21"/>
          <w:color w:val="auto"/>
        </w:rPr>
      </w:pPr>
    </w:p>
    <w:p>
      <w:pPr>
        <w:ind w:left="1120" w:hanging="464"/>
        <w:spacing w:after="0"/>
        <w:tabs>
          <w:tab w:leader="none" w:pos="112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cause the first Annuity Payment to be made to all Annuitants by the Annuity Commencement Date;</w:t>
      </w:r>
    </w:p>
    <w:p>
      <w:pPr>
        <w:spacing w:after="0" w:line="260" w:lineRule="exact"/>
        <w:rPr>
          <w:rFonts w:ascii="Arial" w:cs="Arial" w:eastAsia="Arial" w:hAnsi="Arial"/>
          <w:sz w:val="22"/>
          <w:szCs w:val="22"/>
          <w:color w:val="auto"/>
        </w:rPr>
      </w:pPr>
    </w:p>
    <w:p>
      <w:pPr>
        <w:ind w:firstLine="656"/>
        <w:spacing w:after="0" w:line="263" w:lineRule="auto"/>
        <w:tabs>
          <w:tab w:leader="none" w:pos="114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for each Annuitant entitled to payments under Contract 300 Article P, cause such payments to be combined with each Annuity Payment that is made to each such Annuitant;</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23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at the request of the Company, include a notice, provided by the Plan and reasonably acceptable to the Insurer, regarding Annuity Certificates in the Insurer's “welcome” mailing to the Annuitants or other subsequent mailings made by the Insurer to the Annuitants; and</w:t>
      </w:r>
    </w:p>
    <w:p>
      <w:pPr>
        <w:spacing w:after="0" w:line="226" w:lineRule="exact"/>
        <w:rPr>
          <w:rFonts w:ascii="Arial" w:cs="Arial" w:eastAsia="Arial" w:hAnsi="Arial"/>
          <w:sz w:val="22"/>
          <w:szCs w:val="22"/>
          <w:color w:val="auto"/>
        </w:rPr>
      </w:pPr>
    </w:p>
    <w:p>
      <w:pPr>
        <w:ind w:firstLine="656"/>
        <w:spacing w:after="0" w:line="263" w:lineRule="auto"/>
        <w:tabs>
          <w:tab w:leader="none" w:pos="114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use its commercially reasonable efforts to take, or cause to be taken, all actions, and to do, or cause to be done, all things reasonably necessary on its part to effectuate the transactions contemplated by this Agreement.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u w:val="single" w:color="auto"/>
          <w:color w:val="auto"/>
        </w:rPr>
        <w:t>Cooperation with Independent Third Party</w:t>
      </w:r>
      <w:r>
        <w:rPr>
          <w:rFonts w:ascii="Arial" w:cs="Arial" w:eastAsia="Arial" w:hAnsi="Arial"/>
          <w:sz w:val="19"/>
          <w:szCs w:val="19"/>
          <w:color w:val="auto"/>
        </w:rPr>
        <w:t>. Each Party will cooperate in good faith</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91" w:right="239" w:bottom="1440" w:gutter="0" w:footer="0" w:header="0"/>
        </w:sectPr>
      </w:pPr>
    </w:p>
    <w:bookmarkStart w:id="148" w:name="page149"/>
    <w:bookmarkEnd w:id="148"/>
    <w:p>
      <w:pPr>
        <w:jc w:val="both"/>
        <w:spacing w:after="0" w:line="253" w:lineRule="auto"/>
        <w:rPr>
          <w:sz w:val="20"/>
          <w:szCs w:val="20"/>
          <w:color w:val="auto"/>
        </w:rPr>
      </w:pPr>
      <w:r>
        <w:rPr>
          <w:rFonts w:ascii="Arial" w:cs="Arial" w:eastAsia="Arial" w:hAnsi="Arial"/>
          <w:sz w:val="22"/>
          <w:szCs w:val="22"/>
          <w:color w:val="auto"/>
        </w:rPr>
        <w:t>with the Independent Third Party and will promptly provide the Independent Third Party access to and copies of all data, records, facilities and personnel of such Party and its Affiliates and Representatives as is reasonably necessary to perform its functions under this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Administrative Services</w:t>
      </w:r>
      <w:r>
        <w:rPr>
          <w:rFonts w:ascii="Arial" w:cs="Arial" w:eastAsia="Arial" w:hAnsi="Arial"/>
          <w:sz w:val="22"/>
          <w:szCs w:val="22"/>
          <w:color w:val="auto"/>
        </w:rPr>
        <w:t>. The Plan Administrator shall continue to administer the Plan from the Closing through the Annuity Commencement Date. Following the Closing, the Insurer shall provide, or shall cause to be provided, all administrative services in connection with the payment of benefits under the Group Annuity Contract.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Transferred Asset True-Ups</w:t>
      </w:r>
      <w:r>
        <w:rPr>
          <w:rFonts w:ascii="Arial" w:cs="Arial" w:eastAsia="Arial" w:hAnsi="Arial"/>
          <w:sz w:val="21"/>
          <w:szCs w:val="21"/>
          <w:color w:val="auto"/>
        </w:rPr>
        <w:t xml:space="preserve">. The Independent Fiduciary shall include in its direction in </w:t>
      </w:r>
      <w:r>
        <w:rPr>
          <w:rFonts w:ascii="Arial" w:cs="Arial" w:eastAsia="Arial" w:hAnsi="Arial"/>
          <w:sz w:val="21"/>
          <w:szCs w:val="21"/>
          <w:u w:val="single" w:color="auto"/>
          <w:color w:val="auto"/>
        </w:rPr>
        <w:t>Section 2.1(a)</w:t>
      </w:r>
      <w:r>
        <w:rPr>
          <w:rFonts w:ascii="Arial" w:cs="Arial" w:eastAsia="Arial" w:hAnsi="Arial"/>
          <w:sz w:val="21"/>
          <w:szCs w:val="21"/>
          <w:color w:val="auto"/>
        </w:rPr>
        <w:t>, and if necessary the Independent Fiduciary shall direct the Plan Trustee, that any payment or distribution related to the Insurer's ownership of a Transferred Asset, but received by the Plan or the Plan Trustee after Closing, shall be transferred to the Insurer within two (2) Business Days of receiving such payment or distribution. If necessary, the Company shall make available to the Plan an amount, in Cash, equal to the amount of such payment or distribution.</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Correspondence Center</w:t>
      </w:r>
      <w:r>
        <w:rPr>
          <w:rFonts w:ascii="Arial" w:cs="Arial" w:eastAsia="Arial" w:hAnsi="Arial"/>
          <w:sz w:val="19"/>
          <w:szCs w:val="19"/>
          <w:color w:val="auto"/>
        </w:rPr>
        <w:t xml:space="preserve">. Beginning as of the Closing Date and continuing through the fifth anniversary thereof, the Company will fund a reasonable means for current or former Plan Participants and Plan Beneficiaries to correspond with the Company with respect to their Plan benefits, the Lump-Sum Election or the Plan Termination;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Company will have no responsibility for (including providing any funding relating to) administering the Group Annuity Contract or for responding to inquiries regarding the Group Annuity Contract. One month prior to Closing, the Company will advise the Insurer of its proposed standard operating procedures for directing individuals to such correspondence center.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OBLIGATION TO CLOSE</w:t>
      </w: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u w:val="single" w:color="auto"/>
          <w:color w:val="auto"/>
        </w:rPr>
        <w:t>Conditions to the Independent Fiduciary's Obligations</w:t>
      </w:r>
      <w:r>
        <w:rPr>
          <w:rFonts w:ascii="Arial" w:cs="Arial" w:eastAsia="Arial" w:hAnsi="Arial"/>
          <w:sz w:val="21"/>
          <w:szCs w:val="21"/>
          <w:color w:val="auto"/>
        </w:rPr>
        <w:t xml:space="preserve">. The Independent Fiduciary's obligation to, or to direct the Plan Trustee to, consummate the transactions contemplated hereby in connection with the Closing is subject to satisfaction or waiver (provided that the condition in </w:t>
      </w:r>
      <w:r>
        <w:rPr>
          <w:rFonts w:ascii="Arial" w:cs="Arial" w:eastAsia="Arial" w:hAnsi="Arial"/>
          <w:sz w:val="21"/>
          <w:szCs w:val="21"/>
          <w:u w:val="single" w:color="auto"/>
          <w:color w:val="auto"/>
        </w:rPr>
        <w:t>Section 8.1(a)</w:t>
      </w:r>
      <w:r>
        <w:rPr>
          <w:rFonts w:ascii="Arial" w:cs="Arial" w:eastAsia="Arial" w:hAnsi="Arial"/>
          <w:sz w:val="21"/>
          <w:szCs w:val="21"/>
          <w:color w:val="auto"/>
        </w:rPr>
        <w:t xml:space="preserve"> may not be waived) of the following conditions:</w:t>
      </w:r>
    </w:p>
    <w:p>
      <w:pPr>
        <w:spacing w:after="0" w:line="208" w:lineRule="exact"/>
        <w:rPr>
          <w:sz w:val="20"/>
          <w:szCs w:val="20"/>
          <w:color w:val="auto"/>
        </w:rPr>
      </w:pPr>
    </w:p>
    <w:p>
      <w:pPr>
        <w:jc w:val="both"/>
        <w:ind w:firstLine="656"/>
        <w:spacing w:after="0" w:line="253" w:lineRule="auto"/>
        <w:tabs>
          <w:tab w:leader="none" w:pos="153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Independent Fiduciary shall have confirmed that the Transaction satisfies ERISA and applicable guidance, including Interpretive Bulletin 95-1, because, since the DTFA Execution Date, there has not occurred an Independent Fiduciary MAC that continues as of the Closing Date,</w:t>
      </w:r>
    </w:p>
    <w:p>
      <w:pPr>
        <w:spacing w:after="0" w:line="226" w:lineRule="exact"/>
        <w:rPr>
          <w:rFonts w:ascii="Arial" w:cs="Arial" w:eastAsia="Arial" w:hAnsi="Arial"/>
          <w:sz w:val="22"/>
          <w:szCs w:val="22"/>
          <w:color w:val="auto"/>
        </w:rPr>
      </w:pPr>
    </w:p>
    <w:p>
      <w:pPr>
        <w:ind w:left="1560" w:hanging="904"/>
        <w:spacing w:after="0"/>
        <w:tabs>
          <w:tab w:leader="none" w:pos="156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no Order shall be in effect which prohibits the consummation of any of the transactions contemplated by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 and</w:t>
      </w:r>
    </w:p>
    <w:p>
      <w:pPr>
        <w:spacing w:after="0" w:line="242" w:lineRule="exact"/>
        <w:rPr>
          <w:rFonts w:ascii="Arial" w:cs="Arial" w:eastAsia="Arial" w:hAnsi="Arial"/>
          <w:sz w:val="19"/>
          <w:szCs w:val="19"/>
          <w:color w:val="auto"/>
        </w:rPr>
      </w:pPr>
    </w:p>
    <w:p>
      <w:pPr>
        <w:jc w:val="both"/>
        <w:ind w:firstLine="656"/>
        <w:spacing w:after="0" w:line="290" w:lineRule="auto"/>
        <w:tabs>
          <w:tab w:leader="none" w:pos="153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representations and warranties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V (</w:t>
      </w:r>
      <w:r>
        <w:rPr>
          <w:rFonts w:ascii="Arial" w:cs="Arial" w:eastAsia="Arial" w:hAnsi="Arial"/>
          <w:sz w:val="19"/>
          <w:szCs w:val="19"/>
          <w:u w:val="single" w:color="auto"/>
          <w:color w:val="auto"/>
        </w:rPr>
        <w:t>A</w:t>
      </w:r>
      <w:r>
        <w:rPr>
          <w:rFonts w:ascii="Arial" w:cs="Arial" w:eastAsia="Arial" w:hAnsi="Arial"/>
          <w:sz w:val="19"/>
          <w:szCs w:val="19"/>
          <w:color w:val="auto"/>
        </w:rPr>
        <w:t>) that are qualified by materiality shall be true and correct in all respects or (</w:t>
      </w:r>
      <w:r>
        <w:rPr>
          <w:rFonts w:ascii="Arial" w:cs="Arial" w:eastAsia="Arial" w:hAnsi="Arial"/>
          <w:sz w:val="19"/>
          <w:szCs w:val="19"/>
          <w:u w:val="single" w:color="auto"/>
          <w:color w:val="auto"/>
        </w:rPr>
        <w:t>B</w:t>
      </w:r>
      <w:r>
        <w:rPr>
          <w:rFonts w:ascii="Arial" w:cs="Arial" w:eastAsia="Arial" w:hAnsi="Arial"/>
          <w:sz w:val="19"/>
          <w:szCs w:val="19"/>
          <w:color w:val="auto"/>
        </w:rPr>
        <w:t>) that are not qualified by materiality shall be true and correct in all material respects, in each case, as of the Closing Date with the same force and effect as though made on the Closing Date, (</w:t>
      </w:r>
      <w:r>
        <w:rPr>
          <w:rFonts w:ascii="Arial" w:cs="Arial" w:eastAsia="Arial" w:hAnsi="Arial"/>
          <w:sz w:val="19"/>
          <w:szCs w:val="19"/>
          <w:u w:val="single" w:color="auto"/>
          <w:color w:val="auto"/>
        </w:rPr>
        <w:t>ii</w:t>
      </w:r>
      <w:r>
        <w:rPr>
          <w:rFonts w:ascii="Arial" w:cs="Arial" w:eastAsia="Arial" w:hAnsi="Arial"/>
          <w:sz w:val="19"/>
          <w:szCs w:val="19"/>
          <w:color w:val="auto"/>
        </w:rPr>
        <w:t>) each of the Company and the Insurer shall have performed and complied with its covenants and agreements hereunder through the Closing in all material respects,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Insurer shall have received all of the Governmental Approvals set forth in </w:t>
      </w:r>
      <w:r>
        <w:rPr>
          <w:rFonts w:ascii="Arial" w:cs="Arial" w:eastAsia="Arial" w:hAnsi="Arial"/>
          <w:sz w:val="19"/>
          <w:szCs w:val="19"/>
          <w:u w:val="single" w:color="auto"/>
          <w:color w:val="auto"/>
        </w:rPr>
        <w:t>Appendix 8.2(d)</w:t>
      </w:r>
      <w:r>
        <w:rPr>
          <w:rFonts w:ascii="Arial" w:cs="Arial" w:eastAsia="Arial" w:hAnsi="Arial"/>
          <w:sz w:val="19"/>
          <w:szCs w:val="19"/>
          <w:color w:val="auto"/>
        </w:rPr>
        <w:t xml:space="preserve"> and identified as “Required for Closing” and the Plan shall have received all of the Governmental Approvals set forth on </w:t>
      </w:r>
      <w:r>
        <w:rPr>
          <w:rFonts w:ascii="Arial" w:cs="Arial" w:eastAsia="Arial" w:hAnsi="Arial"/>
          <w:sz w:val="19"/>
          <w:szCs w:val="19"/>
          <w:u w:val="single" w:color="auto"/>
          <w:color w:val="auto"/>
        </w:rPr>
        <w:t>Appendix 8.2(e)</w:t>
      </w:r>
      <w:r>
        <w:rPr>
          <w:rFonts w:ascii="Arial" w:cs="Arial" w:eastAsia="Arial" w:hAnsi="Arial"/>
          <w:sz w:val="19"/>
          <w:szCs w:val="19"/>
          <w:color w:val="auto"/>
        </w:rPr>
        <w:t xml:space="preserve"> and identified as “Required for Closing”, except, in the case of each of clauses (i)-(iii), as would not reasonably be expected to have a material adverse effect on the Independent Fiduciary's ability to perform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91" w:right="2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its obligations hereunder.</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Conditions to the Company's Obligations</w:t>
      </w:r>
      <w:r>
        <w:rPr>
          <w:rFonts w:ascii="Arial" w:cs="Arial" w:eastAsia="Arial" w:hAnsi="Arial"/>
          <w:sz w:val="22"/>
          <w:szCs w:val="22"/>
          <w:color w:val="auto"/>
        </w:rPr>
        <w:t>. The Company's obligation to consummate the transactions contemplated hereby in connection with the Closing is subject to satisfaction or waiver by the Company of the following conditions:</w:t>
      </w:r>
    </w:p>
    <w:p>
      <w:pPr>
        <w:spacing w:after="0" w:line="226" w:lineRule="exact"/>
        <w:rPr>
          <w:sz w:val="20"/>
          <w:szCs w:val="20"/>
          <w:color w:val="auto"/>
        </w:rPr>
      </w:pPr>
    </w:p>
    <w:p>
      <w:pPr>
        <w:jc w:val="both"/>
        <w:ind w:firstLine="656"/>
        <w:spacing w:after="0" w:line="271" w:lineRule="auto"/>
        <w:tabs>
          <w:tab w:leader="none" w:pos="1114"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V (</w:t>
      </w:r>
      <w:r>
        <w:rPr>
          <w:rFonts w:ascii="Arial" w:cs="Arial" w:eastAsia="Arial" w:hAnsi="Arial"/>
          <w:sz w:val="21"/>
          <w:szCs w:val="21"/>
          <w:u w:val="single" w:color="auto"/>
          <w:color w:val="auto"/>
        </w:rPr>
        <w:t>i</w:t>
      </w:r>
      <w:r>
        <w:rPr>
          <w:rFonts w:ascii="Arial" w:cs="Arial" w:eastAsia="Arial" w:hAnsi="Arial"/>
          <w:sz w:val="21"/>
          <w:szCs w:val="21"/>
          <w:color w:val="auto"/>
        </w:rPr>
        <w:t>) that are qualified by materiality shall be true and correct in all respects or (</w:t>
      </w:r>
      <w:r>
        <w:rPr>
          <w:rFonts w:ascii="Arial" w:cs="Arial" w:eastAsia="Arial" w:hAnsi="Arial"/>
          <w:sz w:val="21"/>
          <w:szCs w:val="21"/>
          <w:u w:val="single" w:color="auto"/>
          <w:color w:val="auto"/>
        </w:rPr>
        <w:t>ii</w:t>
      </w:r>
      <w:r>
        <w:rPr>
          <w:rFonts w:ascii="Arial" w:cs="Arial" w:eastAsia="Arial" w:hAnsi="Arial"/>
          <w:sz w:val="21"/>
          <w:szCs w:val="21"/>
          <w:color w:val="auto"/>
        </w:rPr>
        <w:t>) that are not qualified by materiality shall be true and correct in all material respects, in each case, as of the Closing Date with the same force and effect as though made on the Closing Date;</w:t>
      </w:r>
    </w:p>
    <w:p>
      <w:pPr>
        <w:spacing w:after="0" w:line="208" w:lineRule="exact"/>
        <w:rPr>
          <w:rFonts w:ascii="Arial" w:cs="Arial" w:eastAsia="Arial" w:hAnsi="Arial"/>
          <w:sz w:val="21"/>
          <w:szCs w:val="21"/>
          <w:color w:val="auto"/>
        </w:rPr>
      </w:pPr>
    </w:p>
    <w:p>
      <w:pPr>
        <w:ind w:firstLine="656"/>
        <w:spacing w:after="0" w:line="263" w:lineRule="auto"/>
        <w:tabs>
          <w:tab w:leader="none" w:pos="114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Independent Fiduciary shall have performed and complied with its covenants hereunder through the Closing in all material respects;</w:t>
      </w:r>
    </w:p>
    <w:p>
      <w:pPr>
        <w:spacing w:after="0" w:line="215" w:lineRule="exact"/>
        <w:rPr>
          <w:rFonts w:ascii="Arial" w:cs="Arial" w:eastAsia="Arial" w:hAnsi="Arial"/>
          <w:sz w:val="22"/>
          <w:szCs w:val="22"/>
          <w:color w:val="auto"/>
        </w:rPr>
      </w:pPr>
    </w:p>
    <w:p>
      <w:pPr>
        <w:ind w:firstLine="656"/>
        <w:spacing w:after="0" w:line="263" w:lineRule="auto"/>
        <w:tabs>
          <w:tab w:leader="none" w:pos="111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Insurer shall have performed and complied with its covenants and agreements hereunder through the Closing in all material respects;</w:t>
      </w:r>
    </w:p>
    <w:p>
      <w:pPr>
        <w:spacing w:after="0" w:line="215" w:lineRule="exact"/>
        <w:rPr>
          <w:rFonts w:ascii="Arial" w:cs="Arial" w:eastAsia="Arial" w:hAnsi="Arial"/>
          <w:sz w:val="22"/>
          <w:szCs w:val="22"/>
          <w:color w:val="auto"/>
        </w:rPr>
      </w:pPr>
    </w:p>
    <w:p>
      <w:pPr>
        <w:ind w:firstLine="656"/>
        <w:spacing w:after="0" w:line="263" w:lineRule="auto"/>
        <w:tabs>
          <w:tab w:leader="none" w:pos="123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the Insurer shall have received all of the Governmental Approvals set forth in </w:t>
      </w:r>
      <w:r>
        <w:rPr>
          <w:rFonts w:ascii="Arial" w:cs="Arial" w:eastAsia="Arial" w:hAnsi="Arial"/>
          <w:sz w:val="22"/>
          <w:szCs w:val="22"/>
          <w:u w:val="single" w:color="auto"/>
          <w:color w:val="auto"/>
        </w:rPr>
        <w:t>Appendix 8.2(d)</w:t>
      </w:r>
      <w:r>
        <w:rPr>
          <w:rFonts w:ascii="Arial" w:cs="Arial" w:eastAsia="Arial" w:hAnsi="Arial"/>
          <w:sz w:val="22"/>
          <w:szCs w:val="22"/>
          <w:color w:val="auto"/>
        </w:rPr>
        <w:t xml:space="preserve"> and identified as “Required For Closing”;</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the Plan shall have received all material Governmental Approvals set forth in </w:t>
      </w:r>
      <w:r>
        <w:rPr>
          <w:rFonts w:ascii="Arial" w:cs="Arial" w:eastAsia="Arial" w:hAnsi="Arial"/>
          <w:sz w:val="22"/>
          <w:szCs w:val="22"/>
          <w:u w:val="single" w:color="auto"/>
          <w:color w:val="auto"/>
        </w:rPr>
        <w:t>Appendix 8.2(e)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26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w:t>
      </w:r>
      <w:r>
        <w:rPr>
          <w:rFonts w:ascii="Arial" w:cs="Arial" w:eastAsia="Arial" w:hAnsi="Arial"/>
          <w:sz w:val="22"/>
          <w:szCs w:val="22"/>
          <w:color w:val="auto"/>
        </w:rPr>
        <w:t>) no Order shall be in effect which prohibits consummation of any of the transactions contemplated by this Agreement and (</w:t>
      </w:r>
      <w:r>
        <w:rPr>
          <w:rFonts w:ascii="Arial" w:cs="Arial" w:eastAsia="Arial" w:hAnsi="Arial"/>
          <w:sz w:val="22"/>
          <w:szCs w:val="22"/>
          <w:u w:val="single" w:color="auto"/>
          <w:color w:val="auto"/>
        </w:rPr>
        <w:t>ii</w:t>
      </w:r>
      <w:r>
        <w:rPr>
          <w:rFonts w:ascii="Arial" w:cs="Arial" w:eastAsia="Arial" w:hAnsi="Arial"/>
          <w:sz w:val="22"/>
          <w:szCs w:val="22"/>
          <w:color w:val="auto"/>
        </w:rPr>
        <w:t>) no Material Litigation shall have been filed or commenced and then be pending (or shall continue to be threatened to be initiated by a Governmental Authority);</w:t>
      </w:r>
    </w:p>
    <w:p>
      <w:pPr>
        <w:spacing w:after="0" w:line="226" w:lineRule="exact"/>
        <w:rPr>
          <w:rFonts w:ascii="Arial" w:cs="Arial" w:eastAsia="Arial" w:hAnsi="Arial"/>
          <w:sz w:val="22"/>
          <w:szCs w:val="22"/>
          <w:color w:val="auto"/>
        </w:rPr>
      </w:pPr>
    </w:p>
    <w:p>
      <w:pPr>
        <w:ind w:firstLine="656"/>
        <w:spacing w:after="0" w:line="263" w:lineRule="auto"/>
        <w:tabs>
          <w:tab w:leader="none" w:pos="117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Company shall have confirmed that it may account for the transactions contemplated by this Agreement and the Ancillary Agreements as a settlement as contemplated under ASC 715;</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no Transaction MAC shall have occurred and be continuing as of the Closing Date;</w:t>
      </w:r>
    </w:p>
    <w:p>
      <w:pPr>
        <w:spacing w:after="0" w:line="260" w:lineRule="exact"/>
        <w:rPr>
          <w:rFonts w:ascii="Arial" w:cs="Arial" w:eastAsia="Arial" w:hAnsi="Arial"/>
          <w:sz w:val="22"/>
          <w:szCs w:val="22"/>
          <w:color w:val="auto"/>
        </w:rPr>
      </w:pPr>
    </w:p>
    <w:p>
      <w:pPr>
        <w:ind w:left="1160" w:hanging="504"/>
        <w:spacing w:after="0"/>
        <w:tabs>
          <w:tab w:leader="none" w:pos="11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the Closing Final Premium calculated by the Independent Third Party (or, if applicable pursuant to </w:t>
      </w:r>
      <w:r>
        <w:rPr>
          <w:rFonts w:ascii="Arial" w:cs="Arial" w:eastAsia="Arial" w:hAnsi="Arial"/>
          <w:sz w:val="19"/>
          <w:szCs w:val="19"/>
          <w:u w:val="single" w:color="auto"/>
          <w:color w:val="auto"/>
        </w:rPr>
        <w:t>Section 2.9</w:t>
      </w:r>
      <w:r>
        <w:rPr>
          <w:rFonts w:ascii="Arial" w:cs="Arial" w:eastAsia="Arial" w:hAnsi="Arial"/>
          <w:sz w:val="19"/>
          <w:szCs w:val="19"/>
          <w:color w:val="auto"/>
        </w:rPr>
        <w:t>, the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gridSpan w:val="2"/>
          </w:tcPr>
          <w:p>
            <w:pPr>
              <w:spacing w:after="0"/>
              <w:rPr>
                <w:sz w:val="20"/>
                <w:szCs w:val="20"/>
                <w:color w:val="auto"/>
              </w:rPr>
            </w:pPr>
            <w:r>
              <w:rPr>
                <w:rFonts w:ascii="Arial" w:cs="Arial" w:eastAsia="Arial" w:hAnsi="Arial"/>
                <w:sz w:val="22"/>
                <w:szCs w:val="22"/>
                <w:color w:val="auto"/>
                <w:w w:val="96"/>
              </w:rPr>
              <w:t>Company) is less than the Closing Final Premium calculated by the Insurer [</w:t>
            </w:r>
          </w:p>
        </w:tc>
        <w:tc>
          <w:tcPr>
            <w:tcW w:w="6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3380" w:type="dxa"/>
            <w:vAlign w:val="bottom"/>
          </w:tcPr>
          <w:p>
            <w:pPr>
              <w:ind w:left="200"/>
              <w:spacing w:after="0"/>
              <w:rPr>
                <w:sz w:val="20"/>
                <w:szCs w:val="20"/>
                <w:color w:val="auto"/>
              </w:rPr>
            </w:pPr>
            <w:r>
              <w:rPr>
                <w:rFonts w:ascii="Arial" w:cs="Arial" w:eastAsia="Arial" w:hAnsi="Arial"/>
                <w:sz w:val="22"/>
                <w:szCs w:val="22"/>
                <w:color w:val="auto"/>
                <w:w w:val="92"/>
              </w:rPr>
              <w:t>], in each case as the Closing Final</w:t>
            </w:r>
          </w:p>
        </w:tc>
      </w:tr>
      <w:tr>
        <w:trPr>
          <w:trHeight w:val="224"/>
        </w:trPr>
        <w:tc>
          <w:tcPr>
            <w:tcW w:w="8040" w:type="dxa"/>
            <w:vAlign w:val="bottom"/>
            <w:gridSpan w:val="4"/>
          </w:tcPr>
          <w:p>
            <w:pPr>
              <w:spacing w:after="0" w:line="224" w:lineRule="exact"/>
              <w:rPr>
                <w:sz w:val="20"/>
                <w:szCs w:val="20"/>
                <w:color w:val="auto"/>
              </w:rPr>
            </w:pPr>
            <w:r>
              <w:rPr>
                <w:rFonts w:ascii="Arial" w:cs="Arial" w:eastAsia="Arial" w:hAnsi="Arial"/>
                <w:sz w:val="22"/>
                <w:szCs w:val="22"/>
                <w:color w:val="auto"/>
                <w:w w:val="90"/>
              </w:rPr>
              <w:t>Premium is calculated by such Person on the Closing Date in accordance with Section 2.9;</w:t>
            </w:r>
          </w:p>
        </w:tc>
        <w:tc>
          <w:tcPr>
            <w:tcW w:w="33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76"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each delivery contemplated by </w:t>
      </w:r>
      <w:r>
        <w:rPr>
          <w:rFonts w:ascii="Arial" w:cs="Arial" w:eastAsia="Arial" w:hAnsi="Arial"/>
          <w:sz w:val="22"/>
          <w:szCs w:val="22"/>
          <w:u w:val="single" w:color="auto"/>
          <w:color w:val="auto"/>
        </w:rPr>
        <w:t>Section 2.2(b)</w:t>
      </w:r>
      <w:r>
        <w:rPr>
          <w:rFonts w:ascii="Arial" w:cs="Arial" w:eastAsia="Arial" w:hAnsi="Arial"/>
          <w:sz w:val="22"/>
          <w:szCs w:val="22"/>
          <w:color w:val="auto"/>
        </w:rPr>
        <w:t xml:space="preserve"> shall have been delivered; and</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29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Independent Fiduciary shall have confirmed that the Transaction satisfies ERISA and applicable guidance, including Interpretive Bulletin 95-1, because, since the DTFA Execution Date, there has not occurred an Independent Fiduciary MAC that continues as of the Closing Date.</w:t>
      </w:r>
    </w:p>
    <w:p>
      <w:pPr>
        <w:spacing w:after="0" w:line="18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Conditions to the Insurer's Obligations</w:t>
      </w:r>
      <w:r>
        <w:rPr>
          <w:rFonts w:ascii="Arial" w:cs="Arial" w:eastAsia="Arial" w:hAnsi="Arial"/>
          <w:sz w:val="19"/>
          <w:szCs w:val="19"/>
          <w:color w:val="auto"/>
        </w:rPr>
        <w:t>. The Insurer's obligation to consummate the transactions contemplated hereby in connection with the Closing are subject to satisfaction or waiver by the Insurer of the following conditions:</w:t>
      </w:r>
    </w:p>
    <w:p>
      <w:pPr>
        <w:spacing w:after="0" w:line="145" w:lineRule="exact"/>
        <w:rPr>
          <w:sz w:val="20"/>
          <w:szCs w:val="20"/>
          <w:color w:val="auto"/>
        </w:rPr>
      </w:pPr>
    </w:p>
    <w:p>
      <w:pPr>
        <w:ind w:firstLine="656"/>
        <w:spacing w:after="0" w:line="263" w:lineRule="auto"/>
        <w:tabs>
          <w:tab w:leader="none" w:pos="115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that are qualified by materiality shall be true and correct in all respects or (</w:t>
      </w:r>
      <w:r>
        <w:rPr>
          <w:rFonts w:ascii="Arial" w:cs="Arial" w:eastAsia="Arial" w:hAnsi="Arial"/>
          <w:sz w:val="22"/>
          <w:szCs w:val="22"/>
          <w:u w:val="single" w:color="auto"/>
          <w:color w:val="auto"/>
        </w:rPr>
        <w:t>B</w:t>
      </w:r>
      <w:r>
        <w:rPr>
          <w:rFonts w:ascii="Arial" w:cs="Arial" w:eastAsia="Arial" w:hAnsi="Arial"/>
          <w:sz w:val="22"/>
          <w:szCs w:val="22"/>
          <w:color w:val="auto"/>
        </w:rPr>
        <w:t>) that are not qualified by materiality shall be true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91" w:right="239" w:bottom="1440" w:gutter="0" w:footer="0" w:header="0"/>
        </w:sectPr>
      </w:pPr>
    </w:p>
    <w:bookmarkStart w:id="150" w:name="page151"/>
    <w:bookmarkEnd w:id="150"/>
    <w:p>
      <w:pPr>
        <w:spacing w:after="0" w:line="263" w:lineRule="auto"/>
        <w:rPr>
          <w:sz w:val="20"/>
          <w:szCs w:val="20"/>
          <w:color w:val="auto"/>
        </w:rPr>
      </w:pPr>
      <w:r>
        <w:rPr>
          <w:rFonts w:ascii="Arial" w:cs="Arial" w:eastAsia="Arial" w:hAnsi="Arial"/>
          <w:sz w:val="22"/>
          <w:szCs w:val="22"/>
          <w:color w:val="auto"/>
        </w:rPr>
        <w:t>and correct in all material respects, in each case, as of the Closing Date with the same force and effect as though made on the Closing Date;</w:t>
      </w:r>
    </w:p>
    <w:p>
      <w:pPr>
        <w:spacing w:after="0" w:line="215" w:lineRule="exact"/>
        <w:rPr>
          <w:sz w:val="20"/>
          <w:szCs w:val="20"/>
          <w:color w:val="auto"/>
        </w:rPr>
      </w:pPr>
    </w:p>
    <w:p>
      <w:pPr>
        <w:jc w:val="both"/>
        <w:ind w:firstLine="656"/>
        <w:spacing w:after="0" w:line="250" w:lineRule="auto"/>
        <w:tabs>
          <w:tab w:leader="none" w:pos="116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Company and the Independent Fiduciary shall have performed and complied with their respective covenants and agreements hereunder through the Closing in all material respects and all material actions that are to have been taken by any of the Plan, the Plan Trustee and the Plan Investment Fiduciary on or prior to the Closing Date in accordance with this Agreement shall have been taken;</w:t>
      </w:r>
    </w:p>
    <w:p>
      <w:pPr>
        <w:spacing w:after="0" w:line="228" w:lineRule="exact"/>
        <w:rPr>
          <w:rFonts w:ascii="Arial" w:cs="Arial" w:eastAsia="Arial" w:hAnsi="Arial"/>
          <w:sz w:val="22"/>
          <w:szCs w:val="22"/>
          <w:color w:val="auto"/>
        </w:rPr>
      </w:pPr>
    </w:p>
    <w:p>
      <w:pPr>
        <w:ind w:left="1120" w:hanging="464"/>
        <w:spacing w:after="0"/>
        <w:tabs>
          <w:tab w:leader="none" w:pos="112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the Plan shall have received all Governmental Approvals set forth in </w:t>
      </w:r>
      <w:r>
        <w:rPr>
          <w:rFonts w:ascii="Arial" w:cs="Arial" w:eastAsia="Arial" w:hAnsi="Arial"/>
          <w:sz w:val="22"/>
          <w:szCs w:val="22"/>
          <w:u w:val="single" w:color="auto"/>
          <w:color w:val="auto"/>
        </w:rPr>
        <w:t>Appendix 8.2(e)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29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w:t>
      </w:r>
      <w:r>
        <w:rPr>
          <w:rFonts w:ascii="Arial" w:cs="Arial" w:eastAsia="Arial" w:hAnsi="Arial"/>
          <w:sz w:val="22"/>
          <w:szCs w:val="22"/>
          <w:color w:val="auto"/>
        </w:rPr>
        <w:t>) no Order shall be in effect which prohibits consummation of any of the transactions contemplated by this Agreement and (</w:t>
      </w:r>
      <w:r>
        <w:rPr>
          <w:rFonts w:ascii="Arial" w:cs="Arial" w:eastAsia="Arial" w:hAnsi="Arial"/>
          <w:sz w:val="22"/>
          <w:szCs w:val="22"/>
          <w:u w:val="single" w:color="auto"/>
          <w:color w:val="auto"/>
        </w:rPr>
        <w:t>ii</w:t>
      </w:r>
      <w:r>
        <w:rPr>
          <w:rFonts w:ascii="Arial" w:cs="Arial" w:eastAsia="Arial" w:hAnsi="Arial"/>
          <w:sz w:val="22"/>
          <w:szCs w:val="22"/>
          <w:color w:val="auto"/>
        </w:rPr>
        <w:t>) no Material Litigation shall have been filed or commenced and be currently pending (or shall continue to be threatened to be initiated by a Governmental Authority);</w:t>
      </w:r>
    </w:p>
    <w:p>
      <w:pPr>
        <w:spacing w:after="0" w:line="226" w:lineRule="exact"/>
        <w:rPr>
          <w:rFonts w:ascii="Arial" w:cs="Arial" w:eastAsia="Arial" w:hAnsi="Arial"/>
          <w:sz w:val="22"/>
          <w:szCs w:val="22"/>
          <w:color w:val="auto"/>
        </w:rPr>
      </w:pPr>
    </w:p>
    <w:p>
      <w:pPr>
        <w:jc w:val="both"/>
        <w:ind w:firstLine="656"/>
        <w:spacing w:after="0" w:line="265" w:lineRule="auto"/>
        <w:tabs>
          <w:tab w:leader="none" w:pos="1143" w:val="left"/>
        </w:tabs>
        <w:numPr>
          <w:ilvl w:val="0"/>
          <w:numId w:val="143"/>
        </w:numPr>
        <w:rPr>
          <w:rFonts w:ascii="Arial" w:cs="Arial" w:eastAsia="Arial" w:hAnsi="Arial"/>
          <w:sz w:val="21"/>
          <w:szCs w:val="21"/>
          <w:color w:val="auto"/>
        </w:rPr>
      </w:pPr>
      <w:r>
        <w:rPr>
          <w:rFonts w:ascii="Arial" w:cs="Arial" w:eastAsia="Arial" w:hAnsi="Arial"/>
          <w:sz w:val="21"/>
          <w:szCs w:val="21"/>
          <w:color w:val="auto"/>
        </w:rPr>
        <w:t>if the Closing has not occurred on or prior to December 3, 2012, either (</w:t>
      </w:r>
      <w:r>
        <w:rPr>
          <w:rFonts w:ascii="Arial" w:cs="Arial" w:eastAsia="Arial" w:hAnsi="Arial"/>
          <w:sz w:val="21"/>
          <w:szCs w:val="21"/>
          <w:u w:val="single" w:color="auto"/>
          <w:color w:val="auto"/>
        </w:rPr>
        <w:t>i</w:t>
      </w:r>
      <w:r>
        <w:rPr>
          <w:rFonts w:ascii="Arial" w:cs="Arial" w:eastAsia="Arial" w:hAnsi="Arial"/>
          <w:sz w:val="21"/>
          <w:szCs w:val="21"/>
          <w:color w:val="auto"/>
        </w:rPr>
        <w:t>) Fidelity shall have executed and delivered the ATSA in a form that is reasonably acceptable to the Insurer, or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an Alternative Arrangement shall have been effected;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Insurer may not rely on the failure of this condition to its obligation to consummate the transactions contemplated hereby to be satisfied if such failure was caused by the Insurer's breach of </w:t>
      </w:r>
      <w:r>
        <w:rPr>
          <w:rFonts w:ascii="Arial" w:cs="Arial" w:eastAsia="Arial" w:hAnsi="Arial"/>
          <w:sz w:val="21"/>
          <w:szCs w:val="21"/>
          <w:u w:val="single" w:color="auto"/>
          <w:color w:val="auto"/>
        </w:rPr>
        <w:t>Section 6.7</w:t>
      </w:r>
      <w:r>
        <w:rPr>
          <w:rFonts w:ascii="Arial" w:cs="Arial" w:eastAsia="Arial" w:hAnsi="Arial"/>
          <w:sz w:val="21"/>
          <w:szCs w:val="21"/>
          <w:color w:val="auto"/>
        </w:rPr>
        <w:t>; and</w:t>
      </w:r>
    </w:p>
    <w:p>
      <w:pPr>
        <w:spacing w:after="0" w:line="216" w:lineRule="exact"/>
        <w:rPr>
          <w:rFonts w:ascii="Arial" w:cs="Arial" w:eastAsia="Arial" w:hAnsi="Arial"/>
          <w:sz w:val="21"/>
          <w:szCs w:val="21"/>
          <w:color w:val="auto"/>
        </w:rPr>
      </w:pPr>
    </w:p>
    <w:p>
      <w:pPr>
        <w:ind w:left="1080" w:hanging="424"/>
        <w:spacing w:after="0"/>
        <w:tabs>
          <w:tab w:leader="none" w:pos="10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each delivery contemplated by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shall have been delivered.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No Frustration of Closing Conditions</w:t>
      </w:r>
      <w:r>
        <w:rPr>
          <w:rFonts w:ascii="Arial" w:cs="Arial" w:eastAsia="Arial" w:hAnsi="Arial"/>
          <w:sz w:val="22"/>
          <w:szCs w:val="22"/>
          <w:color w:val="auto"/>
        </w:rPr>
        <w:t xml:space="preserve">. Neither the Independent Fiduciary, nor the Company, nor the Insurer may rely on the failure of any condition to its obligation to consummate the transactions contemplated hereby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8.1</w:t>
      </w:r>
      <w:r>
        <w:rPr>
          <w:rFonts w:ascii="Arial" w:cs="Arial" w:eastAsia="Arial" w:hAnsi="Arial"/>
          <w:sz w:val="22"/>
          <w:szCs w:val="22"/>
          <w:color w:val="auto"/>
        </w:rPr>
        <w:t xml:space="preserve">, </w:t>
      </w:r>
      <w:r>
        <w:rPr>
          <w:rFonts w:ascii="Arial" w:cs="Arial" w:eastAsia="Arial" w:hAnsi="Arial"/>
          <w:sz w:val="22"/>
          <w:szCs w:val="22"/>
          <w:u w:val="single" w:color="auto"/>
          <w:color w:val="auto"/>
        </w:rPr>
        <w:t>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as the case may be, to be satisfied if such failure was caused by such Party's or its Affiliates' breach of its representations, warranties or covenants hereunder.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FOR THIRD PARTY CLAIMS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9.1 </w:t>
      </w:r>
      <w:r>
        <w:rPr>
          <w:rFonts w:ascii="Arial" w:cs="Arial" w:eastAsia="Arial" w:hAnsi="Arial"/>
          <w:sz w:val="21"/>
          <w:szCs w:val="21"/>
          <w:u w:val="single" w:color="auto"/>
          <w:color w:val="auto"/>
        </w:rPr>
        <w:t>Indemnification by the Insurer</w:t>
      </w:r>
      <w:r>
        <w:rPr>
          <w:rFonts w:ascii="Arial" w:cs="Arial" w:eastAsia="Arial" w:hAnsi="Arial"/>
          <w:sz w:val="21"/>
          <w:szCs w:val="21"/>
          <w:color w:val="auto"/>
        </w:rPr>
        <w:t>. From and after the Closing, the Insurer will indemnify, defend and hold the Company, the Plan and their respective Affiliates, officers, directors, stockholders, employees, agents and other Representatives (each,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harmless from and against any and all Liabilities (in each case, including reasonable out-of-pocket expenses and reasonable fees and expenses of counsel) to the extent arising out of or relating to the portion of any action, lawsuit, proceeding, investigation, demand or other claim against the Indemnified Party by a third party (such portion being a “</w:t>
      </w:r>
      <w:r>
        <w:rPr>
          <w:rFonts w:ascii="Arial" w:cs="Arial" w:eastAsia="Arial" w:hAnsi="Arial"/>
          <w:sz w:val="21"/>
          <w:szCs w:val="21"/>
          <w:u w:val="single" w:color="auto"/>
          <w:color w:val="auto"/>
        </w:rPr>
        <w:t>Third Party</w:t>
      </w:r>
      <w:r>
        <w:rPr>
          <w:rFonts w:ascii="Arial" w:cs="Arial" w:eastAsia="Arial" w:hAnsi="Arial"/>
          <w:sz w:val="21"/>
          <w:szCs w:val="21"/>
          <w:color w:val="auto"/>
        </w:rPr>
        <w:t xml:space="preserve"> </w:t>
      </w:r>
      <w:r>
        <w:rPr>
          <w:rFonts w:ascii="Arial" w:cs="Arial" w:eastAsia="Arial" w:hAnsi="Arial"/>
          <w:sz w:val="21"/>
          <w:szCs w:val="21"/>
          <w:u w:val="single" w:color="auto"/>
          <w:color w:val="auto"/>
        </w:rPr>
        <w:t>Claim</w:t>
      </w:r>
      <w:r>
        <w:rPr>
          <w:rFonts w:ascii="Arial" w:cs="Arial" w:eastAsia="Arial" w:hAnsi="Arial"/>
          <w:sz w:val="21"/>
          <w:szCs w:val="21"/>
          <w:color w:val="auto"/>
        </w:rPr>
        <w:t>”) that is threatened or brought against or that involves an Indemnified Party and that arises out of or relates to any failure by the Insurer to perform or comply with the terms of the Group Annuity Contract (including the restatement of Contract 300 Article P), including making the payments in respect of the Covered Lives, Contingent Lives or Beneficiaries to be made pursuant to the Group Annuity Contract.</w:t>
      </w:r>
    </w:p>
    <w:p>
      <w:pPr>
        <w:spacing w:after="0" w:line="22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9.2</w:t>
      </w:r>
      <w:r>
        <w:rPr>
          <w:sz w:val="20"/>
          <w:szCs w:val="20"/>
          <w:color w:val="auto"/>
        </w:rPr>
        <w:tab/>
      </w:r>
      <w:r>
        <w:rPr>
          <w:rFonts w:ascii="Arial" w:cs="Arial" w:eastAsia="Arial" w:hAnsi="Arial"/>
          <w:sz w:val="19"/>
          <w:szCs w:val="19"/>
          <w:u w:val="single" w:color="auto"/>
          <w:color w:val="auto"/>
        </w:rPr>
        <w:t>Procedures For Indemnification Claims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48" w:lineRule="auto"/>
        <w:tabs>
          <w:tab w:leader="none" w:pos="153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Any Indemnified Party making a claim for indemnification for Third Party Claims under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shall notify the Insurer of each Third Party Claim in writing promptly after receiving notice of such, describing the Third Party Claim, the amount thereof (if known and quantifiable) and the basis thereof in reasonable detail;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to so notify the Insurer shall not relieve the Insurer of its obligations hereunder except to the extent that (and only to the extent that) such failure shall have caused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91" w:right="239" w:bottom="1440" w:gutter="0" w:footer="0" w:header="0"/>
        </w:sectPr>
      </w:pPr>
    </w:p>
    <w:bookmarkStart w:id="151" w:name="page152"/>
    <w:bookmarkEnd w:id="151"/>
    <w:p>
      <w:pPr>
        <w:spacing w:after="0" w:line="263" w:lineRule="auto"/>
        <w:rPr>
          <w:sz w:val="20"/>
          <w:szCs w:val="20"/>
          <w:color w:val="auto"/>
        </w:rPr>
      </w:pPr>
      <w:r>
        <w:rPr>
          <w:rFonts w:ascii="Arial" w:cs="Arial" w:eastAsia="Arial" w:hAnsi="Arial"/>
          <w:sz w:val="22"/>
          <w:szCs w:val="22"/>
          <w:color w:val="auto"/>
        </w:rPr>
        <w:t>the indemnifiable Losses to be greater than such Losses would have been had the Indemnified Party given the Insurer prompt notice hereunder.</w:t>
      </w:r>
    </w:p>
    <w:p>
      <w:pPr>
        <w:spacing w:after="0" w:line="175" w:lineRule="exact"/>
        <w:rPr>
          <w:sz w:val="20"/>
          <w:szCs w:val="20"/>
          <w:color w:val="auto"/>
        </w:rPr>
      </w:pPr>
    </w:p>
    <w:p>
      <w:pPr>
        <w:jc w:val="both"/>
        <w:ind w:firstLine="656"/>
        <w:spacing w:after="0" w:line="250" w:lineRule="auto"/>
        <w:tabs>
          <w:tab w:leader="none" w:pos="116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Insurer shall have the right at any time to assume the defense against any Third Party Claim with counsel of its choice reasonably satisfactory to the Indemnified Party and control the defense of such Third Party Claim, so long as the Insurer accepts without reservation (but without waiver of any rights under Section 9.2(c)) responsibility to indemnify the Indemnified Party for such Third Party Claim.</w:t>
      </w:r>
    </w:p>
    <w:p>
      <w:pPr>
        <w:spacing w:after="0" w:line="228" w:lineRule="exact"/>
        <w:rPr>
          <w:rFonts w:ascii="Arial" w:cs="Arial" w:eastAsia="Arial" w:hAnsi="Arial"/>
          <w:sz w:val="22"/>
          <w:szCs w:val="22"/>
          <w:color w:val="auto"/>
        </w:rPr>
      </w:pPr>
    </w:p>
    <w:p>
      <w:pPr>
        <w:jc w:val="both"/>
        <w:ind w:firstLine="656"/>
        <w:spacing w:after="0" w:line="285" w:lineRule="auto"/>
        <w:tabs>
          <w:tab w:leader="none" w:pos="1253"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From and after the date that the Insurer has assumed and is conducting the defense of a Third Party Claim in accordance with </w:t>
      </w:r>
      <w:r>
        <w:rPr>
          <w:rFonts w:ascii="Arial" w:cs="Arial" w:eastAsia="Arial" w:hAnsi="Arial"/>
          <w:sz w:val="19"/>
          <w:szCs w:val="19"/>
          <w:u w:val="single" w:color="auto"/>
          <w:color w:val="auto"/>
        </w:rPr>
        <w:t>Section 9.2(b)</w:t>
      </w:r>
      <w:r>
        <w:rPr>
          <w:rFonts w:ascii="Arial" w:cs="Arial" w:eastAsia="Arial" w:hAnsi="Arial"/>
          <w:sz w:val="19"/>
          <w:szCs w:val="19"/>
          <w:color w:val="auto"/>
        </w:rPr>
        <w:t>, (</w:t>
      </w:r>
      <w:r>
        <w:rPr>
          <w:rFonts w:ascii="Arial" w:cs="Arial" w:eastAsia="Arial" w:hAnsi="Arial"/>
          <w:sz w:val="19"/>
          <w:szCs w:val="19"/>
          <w:u w:val="single" w:color="auto"/>
          <w:color w:val="auto"/>
        </w:rPr>
        <w:t>i</w:t>
      </w:r>
      <w:r>
        <w:rPr>
          <w:rFonts w:ascii="Arial" w:cs="Arial" w:eastAsia="Arial" w:hAnsi="Arial"/>
          <w:sz w:val="19"/>
          <w:szCs w:val="19"/>
          <w:color w:val="auto"/>
        </w:rPr>
        <w:t>) the Indemnified Party may retain separate co-counsel at its sole cost and expense and participate in, but not control, the defense of such Third Party Claim; (</w:t>
      </w:r>
      <w:r>
        <w:rPr>
          <w:rFonts w:ascii="Arial" w:cs="Arial" w:eastAsia="Arial" w:hAnsi="Arial"/>
          <w:sz w:val="19"/>
          <w:szCs w:val="19"/>
          <w:u w:val="single" w:color="auto"/>
          <w:color w:val="auto"/>
        </w:rPr>
        <w:t>ii</w:t>
      </w:r>
      <w:r>
        <w:rPr>
          <w:rFonts w:ascii="Arial" w:cs="Arial" w:eastAsia="Arial" w:hAnsi="Arial"/>
          <w:sz w:val="19"/>
          <w:szCs w:val="19"/>
          <w:color w:val="auto"/>
        </w:rPr>
        <w:t>) the Indemnified Party may retain counsel at its sole cost and expense to control the defense of any portion of the action, lawsuit, proceeding, investigation, demand or other claim against the Indemnified Party that is not a Third Party Claim (the “</w:t>
      </w:r>
      <w:r>
        <w:rPr>
          <w:rFonts w:ascii="Arial" w:cs="Arial" w:eastAsia="Arial" w:hAnsi="Arial"/>
          <w:sz w:val="19"/>
          <w:szCs w:val="19"/>
          <w:u w:val="single" w:color="auto"/>
          <w:color w:val="auto"/>
        </w:rPr>
        <w:t>Uncovered Claim</w:t>
      </w:r>
      <w:r>
        <w:rPr>
          <w:rFonts w:ascii="Arial" w:cs="Arial" w:eastAsia="Arial" w:hAnsi="Arial"/>
          <w:sz w:val="19"/>
          <w:szCs w:val="19"/>
          <w:color w:val="auto"/>
        </w:rPr>
        <w:t>”);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Insurer and the Indemnified Party shall cooperate fully with each other and any of their respective counsel in connection with the defense, negotiation or settlement of any such Third Party Claim or (if the Indemnified Party retains counsel for the Uncovered Claim) the Uncovered Claim, including providing access to any relevant books and records, properties, employees and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avoidance of doubt, the foregoing will not require any Person to waive, or take any action which has the affect of waiving, its attorney-client privilege, attorney work-product, or any other applicable privilege with respect thereto; (</w:t>
      </w:r>
      <w:r>
        <w:rPr>
          <w:rFonts w:ascii="Arial" w:cs="Arial" w:eastAsia="Arial" w:hAnsi="Arial"/>
          <w:sz w:val="19"/>
          <w:szCs w:val="19"/>
          <w:u w:val="single" w:color="auto"/>
          <w:color w:val="auto"/>
        </w:rPr>
        <w:t>iv</w:t>
      </w:r>
      <w:r>
        <w:rPr>
          <w:rFonts w:ascii="Arial" w:cs="Arial" w:eastAsia="Arial" w:hAnsi="Arial"/>
          <w:sz w:val="19"/>
          <w:szCs w:val="19"/>
          <w:color w:val="auto"/>
        </w:rPr>
        <w:t>) the Insurer shall not consent to the entry of any judgment on or enter into any settlement with respect to such Third Party Claim without the prior written consent of the Indemnified Party (which will not be unreasonably withheld, conditioned or delayed) unless the judgment or proposed settlement involves only the payment of money damages by the Insurer and does not impose an injunction or other equitable relief upon the Indemnified Party or admit liability on the part of any Indemnified Party; (</w:t>
      </w:r>
      <w:r>
        <w:rPr>
          <w:rFonts w:ascii="Arial" w:cs="Arial" w:eastAsia="Arial" w:hAnsi="Arial"/>
          <w:sz w:val="19"/>
          <w:szCs w:val="19"/>
          <w:u w:val="single" w:color="auto"/>
          <w:color w:val="auto"/>
        </w:rPr>
        <w:t>v</w:t>
      </w:r>
      <w:r>
        <w:rPr>
          <w:rFonts w:ascii="Arial" w:cs="Arial" w:eastAsia="Arial" w:hAnsi="Arial"/>
          <w:sz w:val="19"/>
          <w:szCs w:val="19"/>
          <w:color w:val="auto"/>
        </w:rPr>
        <w:t>) the Indemnified Party shall not consent to the entry of any judgment or enter into any settlement with respect to such Third Party Claim without the prior written consent of the Insurer (which will not be unreasonably withheld, conditioned or delayed); and (</w:t>
      </w:r>
      <w:r>
        <w:rPr>
          <w:rFonts w:ascii="Arial" w:cs="Arial" w:eastAsia="Arial" w:hAnsi="Arial"/>
          <w:sz w:val="19"/>
          <w:szCs w:val="19"/>
          <w:u w:val="single" w:color="auto"/>
          <w:color w:val="auto"/>
        </w:rPr>
        <w:t>vi</w:t>
      </w:r>
      <w:r>
        <w:rPr>
          <w:rFonts w:ascii="Arial" w:cs="Arial" w:eastAsia="Arial" w:hAnsi="Arial"/>
          <w:sz w:val="19"/>
          <w:szCs w:val="19"/>
          <w:color w:val="auto"/>
        </w:rPr>
        <w:t>) the Indemnified Party may consent to the entry of any judgment or enter into any settlement with respect to the Uncovered Claim without the prior consent of Insurer.</w:t>
      </w:r>
    </w:p>
    <w:p>
      <w:pPr>
        <w:spacing w:after="0" w:line="208" w:lineRule="exact"/>
        <w:rPr>
          <w:rFonts w:ascii="Arial" w:cs="Arial" w:eastAsia="Arial" w:hAnsi="Arial"/>
          <w:sz w:val="19"/>
          <w:szCs w:val="19"/>
          <w:color w:val="auto"/>
        </w:rPr>
      </w:pPr>
    </w:p>
    <w:p>
      <w:pPr>
        <w:jc w:val="both"/>
        <w:ind w:firstLine="656"/>
        <w:spacing w:after="0" w:line="289" w:lineRule="auto"/>
        <w:tabs>
          <w:tab w:leader="none" w:pos="1157"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If the Insurer has not assumed the defense of a Third Party Claim after notice thereof, (</w:t>
      </w:r>
      <w:r>
        <w:rPr>
          <w:rFonts w:ascii="Arial" w:cs="Arial" w:eastAsia="Arial" w:hAnsi="Arial"/>
          <w:sz w:val="19"/>
          <w:szCs w:val="19"/>
          <w:u w:val="single" w:color="auto"/>
          <w:color w:val="auto"/>
        </w:rPr>
        <w:t>i</w:t>
      </w:r>
      <w:r>
        <w:rPr>
          <w:rFonts w:ascii="Arial" w:cs="Arial" w:eastAsia="Arial" w:hAnsi="Arial"/>
          <w:sz w:val="19"/>
          <w:szCs w:val="19"/>
          <w:color w:val="auto"/>
        </w:rPr>
        <w:t>) the Indemnified Party may defend against the Third Party Claim in any manner it reasonably determines to be appropriate; (</w:t>
      </w:r>
      <w:r>
        <w:rPr>
          <w:rFonts w:ascii="Arial" w:cs="Arial" w:eastAsia="Arial" w:hAnsi="Arial"/>
          <w:sz w:val="19"/>
          <w:szCs w:val="19"/>
          <w:u w:val="single" w:color="auto"/>
          <w:color w:val="auto"/>
        </w:rPr>
        <w:t>ii</w:t>
      </w:r>
      <w:r>
        <w:rPr>
          <w:rFonts w:ascii="Arial" w:cs="Arial" w:eastAsia="Arial" w:hAnsi="Arial"/>
          <w:sz w:val="19"/>
          <w:szCs w:val="19"/>
          <w:color w:val="auto"/>
        </w:rPr>
        <w:t>) the Insurer shall reimburse the Indemnified Party promptly and periodically for the costs of defending against the Third Party Claim (including reasonable attorneys' fees and expenses allocable to such Third Party Claim) to the extent such costs are Losses for which the Indemnified Party is entitled to indemnification hereunder;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Insurer shall remain responsible for any costs the Indemnified Party may incur resulting from the Third Party Claim to the extent such costs are Losses for which the Indemnified Party is entitled to indemnification hereunder. If the Indemnified Party has not assumed the defense of an Uncovered Claim as contemplated by </w:t>
      </w:r>
      <w:r>
        <w:rPr>
          <w:rFonts w:ascii="Arial" w:cs="Arial" w:eastAsia="Arial" w:hAnsi="Arial"/>
          <w:sz w:val="19"/>
          <w:szCs w:val="19"/>
          <w:u w:val="single" w:color="auto"/>
          <w:color w:val="auto"/>
        </w:rPr>
        <w:t>Section 9.2(c)(ii)</w:t>
      </w:r>
      <w:r>
        <w:rPr>
          <w:rFonts w:ascii="Arial" w:cs="Arial" w:eastAsia="Arial" w:hAnsi="Arial"/>
          <w:sz w:val="19"/>
          <w:szCs w:val="19"/>
          <w:color w:val="auto"/>
        </w:rPr>
        <w:t xml:space="preserve">, the Insurer is not responsible in any way for any Liabilities or Orders resulting from not responding to or defending such Uncovered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Insurer's responsibility for Third Party Claims shall not be altered in any way.</w:t>
      </w:r>
    </w:p>
    <w:p>
      <w:pPr>
        <w:spacing w:after="0" w:line="3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9.3 </w:t>
      </w:r>
      <w:r>
        <w:rPr>
          <w:rFonts w:ascii="Arial" w:cs="Arial" w:eastAsia="Arial" w:hAnsi="Arial"/>
          <w:sz w:val="21"/>
          <w:szCs w:val="21"/>
          <w:u w:val="single" w:color="auto"/>
          <w:color w:val="auto"/>
        </w:rPr>
        <w:t>Claims and Payment; Treatment of Payments</w:t>
      </w:r>
      <w:r>
        <w:rPr>
          <w:rFonts w:ascii="Arial" w:cs="Arial" w:eastAsia="Arial" w:hAnsi="Arial"/>
          <w:sz w:val="21"/>
          <w:szCs w:val="21"/>
          <w:color w:val="auto"/>
        </w:rPr>
        <w:t xml:space="preserve">. On each occasion that any Indemnified Party shall be entitled to indemnification under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the Insurer shall, at each such time, promptly pay the amount of such indemnification within ten (10) Business Days following receipt of an invoice for out-of-pocket expense, fees or other amounts for which it is liable under this </w:t>
      </w:r>
      <w:r>
        <w:rPr>
          <w:rFonts w:ascii="Arial" w:cs="Arial" w:eastAsia="Arial" w:hAnsi="Arial"/>
          <w:sz w:val="21"/>
          <w:szCs w:val="21"/>
          <w:u w:val="single" w:color="auto"/>
          <w:color w:val="auto"/>
        </w:rPr>
        <w:t>Article IX</w:t>
      </w:r>
      <w:r>
        <w:rPr>
          <w:rFonts w:ascii="Arial" w:cs="Arial" w:eastAsia="Arial" w:hAnsi="Arial"/>
          <w:sz w:val="21"/>
          <w:szCs w:val="21"/>
          <w:color w:val="auto"/>
        </w:rPr>
        <w:t>. Any indemnification payments made pursuant to this Agreement shall be treated for tax purposes as an adjustment to the Final Premium, unless otherwise required by applicable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91"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4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 This Agreement may be terminated at any time prior to the Closing as provided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42" w:lineRule="exact"/>
        <w:rPr>
          <w:sz w:val="20"/>
          <w:szCs w:val="20"/>
          <w:color w:val="auto"/>
        </w:rPr>
      </w:pPr>
    </w:p>
    <w:p>
      <w:pPr>
        <w:ind w:left="1540" w:hanging="884"/>
        <w:spacing w:after="0"/>
        <w:tabs>
          <w:tab w:leader="none" w:pos="15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by the mutual written consent of the Company and the Insurer;</w:t>
      </w:r>
    </w:p>
    <w:p>
      <w:pPr>
        <w:spacing w:after="0" w:line="260" w:lineRule="exact"/>
        <w:rPr>
          <w:rFonts w:ascii="Arial" w:cs="Arial" w:eastAsia="Arial" w:hAnsi="Arial"/>
          <w:sz w:val="22"/>
          <w:szCs w:val="22"/>
          <w:color w:val="auto"/>
        </w:rPr>
      </w:pPr>
    </w:p>
    <w:p>
      <w:pPr>
        <w:jc w:val="both"/>
        <w:ind w:firstLine="656"/>
        <w:spacing w:after="0" w:line="288" w:lineRule="auto"/>
        <w:tabs>
          <w:tab w:leader="none" w:pos="154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by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Company at any time if a Company MAC exists by delivery by the Company to the other Parties of notice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may not exercise this termination right to the extent that a Company MAC is attributable to any of the Liquidity Actions or (</w:t>
      </w:r>
      <w:r>
        <w:rPr>
          <w:rFonts w:ascii="Arial" w:cs="Arial" w:eastAsia="Arial" w:hAnsi="Arial"/>
          <w:sz w:val="19"/>
          <w:szCs w:val="19"/>
          <w:u w:val="single" w:color="auto"/>
          <w:color w:val="auto"/>
        </w:rPr>
        <w:t>ii</w:t>
      </w:r>
      <w:r>
        <w:rPr>
          <w:rFonts w:ascii="Arial" w:cs="Arial" w:eastAsia="Arial" w:hAnsi="Arial"/>
          <w:sz w:val="19"/>
          <w:szCs w:val="19"/>
          <w:color w:val="auto"/>
        </w:rPr>
        <w:t>) the Insurer at any time if an Insurer MAC exists by delivery by the Insurer to the</w:t>
      </w:r>
    </w:p>
    <w:p>
      <w:pPr>
        <w:spacing w:after="0" w:line="1" w:lineRule="exact"/>
        <w:rPr>
          <w:sz w:val="20"/>
          <w:szCs w:val="20"/>
          <w:color w:val="auto"/>
        </w:rPr>
      </w:pPr>
    </w:p>
    <w:p>
      <w:pPr>
        <w:spacing w:after="0"/>
        <w:tabs>
          <w:tab w:leader="none" w:pos="3620" w:val="left"/>
          <w:tab w:leader="none" w:pos="4320" w:val="left"/>
        </w:tabs>
        <w:rPr>
          <w:sz w:val="20"/>
          <w:szCs w:val="20"/>
          <w:color w:val="auto"/>
        </w:rPr>
      </w:pPr>
      <w:r>
        <w:rPr>
          <w:rFonts w:ascii="Arial" w:cs="Arial" w:eastAsia="Arial" w:hAnsi="Arial"/>
          <w:sz w:val="22"/>
          <w:szCs w:val="22"/>
          <w:color w:val="auto"/>
        </w:rPr>
        <w:t>other Parties of notice of termination, [</w:t>
        <w:tab/>
        <w:t>***</w:t>
      </w:r>
      <w:r>
        <w:rPr>
          <w:sz w:val="20"/>
          <w:szCs w:val="20"/>
          <w:color w:val="auto"/>
        </w:rPr>
        <w:tab/>
      </w:r>
      <w:r>
        <w:rPr>
          <w:rFonts w:ascii="Arial" w:cs="Arial" w:eastAsia="Arial" w:hAnsi="Arial"/>
          <w:sz w:val="22"/>
          <w:szCs w:val="22"/>
          <w:color w:val="auto"/>
        </w:rPr>
        <w:t>];</w:t>
      </w:r>
    </w:p>
    <w:p>
      <w:pPr>
        <w:spacing w:after="0" w:line="242" w:lineRule="exact"/>
        <w:rPr>
          <w:sz w:val="20"/>
          <w:szCs w:val="20"/>
          <w:color w:val="auto"/>
        </w:rPr>
      </w:pPr>
    </w:p>
    <w:p>
      <w:pPr>
        <w:ind w:left="1540" w:hanging="884"/>
        <w:spacing w:after="0"/>
        <w:tabs>
          <w:tab w:leader="none" w:pos="154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by the Company if the Lump-Sum Payments have not been made prior to September 30, 2012;</w:t>
      </w:r>
    </w:p>
    <w:p>
      <w:pPr>
        <w:spacing w:after="0" w:line="260" w:lineRule="exact"/>
        <w:rPr>
          <w:rFonts w:ascii="Arial" w:cs="Arial" w:eastAsia="Arial" w:hAnsi="Arial"/>
          <w:sz w:val="22"/>
          <w:szCs w:val="22"/>
          <w:color w:val="auto"/>
        </w:rPr>
      </w:pPr>
    </w:p>
    <w:p>
      <w:pPr>
        <w:jc w:val="both"/>
        <w:ind w:firstLine="656"/>
        <w:spacing w:after="0" w:line="247" w:lineRule="auto"/>
        <w:tabs>
          <w:tab w:leader="none" w:pos="1549" w:val="left"/>
        </w:tabs>
        <w:numPr>
          <w:ilvl w:val="1"/>
          <w:numId w:val="147"/>
        </w:numPr>
        <w:rPr>
          <w:rFonts w:ascii="Arial" w:cs="Arial" w:eastAsia="Arial" w:hAnsi="Arial"/>
          <w:sz w:val="22"/>
          <w:szCs w:val="22"/>
          <w:color w:val="auto"/>
        </w:rPr>
      </w:pPr>
      <w:r>
        <w:rPr>
          <w:rFonts w:ascii="Arial" w:cs="Arial" w:eastAsia="Arial" w:hAnsi="Arial"/>
          <w:sz w:val="22"/>
          <w:szCs w:val="22"/>
          <w:color w:val="auto"/>
        </w:rPr>
        <w:t>by the Company if the Closing has not occurred by or on December 28, 2012 (the “</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or any state of facts or circumstances exists as a result of which there is no reasonable probability that the Closing can occur by or on the Outside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right to terminate this Agreement shall not be available to the Company if any failure of the Company to perform any of its obligations under this Agreement required to be performed at or prior to the Closing has been the cause of, or resulted in, the failure of the Closing to occur on or before the Outside Date and such action or failure to perform constitutes a breach of this Agreement;</w:t>
      </w:r>
    </w:p>
    <w:p>
      <w:pPr>
        <w:spacing w:after="0" w:line="234" w:lineRule="exact"/>
        <w:rPr>
          <w:rFonts w:ascii="Arial" w:cs="Arial" w:eastAsia="Arial" w:hAnsi="Arial"/>
          <w:sz w:val="22"/>
          <w:szCs w:val="22"/>
          <w:color w:val="auto"/>
        </w:rPr>
      </w:pPr>
    </w:p>
    <w:p>
      <w:pPr>
        <w:jc w:val="both"/>
        <w:ind w:firstLine="656"/>
        <w:spacing w:after="0" w:line="302" w:lineRule="auto"/>
        <w:tabs>
          <w:tab w:leader="none" w:pos="153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by the Company if there shall have been a misrepresentation or breach of any representation, warranty, covenant or agreement on the part of the Independent Fiduciary or Insurer contained in this Agreement such that any of the conditions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w:t>
      </w:r>
      <w:r>
        <w:rPr>
          <w:rFonts w:ascii="Arial" w:cs="Arial" w:eastAsia="Arial" w:hAnsi="Arial"/>
          <w:sz w:val="19"/>
          <w:szCs w:val="19"/>
          <w:u w:val="single" w:color="auto"/>
          <w:color w:val="auto"/>
        </w:rPr>
        <w:t>8.2(b)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8.2(c)</w:t>
      </w:r>
      <w:r>
        <w:rPr>
          <w:rFonts w:ascii="Arial" w:cs="Arial" w:eastAsia="Arial" w:hAnsi="Arial"/>
          <w:sz w:val="19"/>
          <w:szCs w:val="19"/>
          <w:color w:val="auto"/>
        </w:rPr>
        <w:t xml:space="preserve"> would not be satisfied, and which shall not have been cured prior to twenty (20) Business Days following notice of such misrepresentation or breach to the Insurer or the Independent Fiduciary, as applicable;</w:t>
      </w:r>
    </w:p>
    <w:p>
      <w:pPr>
        <w:spacing w:after="0" w:line="183" w:lineRule="exact"/>
        <w:rPr>
          <w:rFonts w:ascii="Arial" w:cs="Arial" w:eastAsia="Arial" w:hAnsi="Arial"/>
          <w:sz w:val="19"/>
          <w:szCs w:val="19"/>
          <w:color w:val="auto"/>
        </w:rPr>
      </w:pPr>
    </w:p>
    <w:p>
      <w:pPr>
        <w:jc w:val="both"/>
        <w:ind w:firstLine="656"/>
        <w:spacing w:after="0" w:line="247" w:lineRule="auto"/>
        <w:tabs>
          <w:tab w:leader="none" w:pos="1512"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by the Insurer if the Closing has not occurred by or on the Outside Date or any state of facts or circumstances exists as a result of which there is no reasonable probability that the Closing can occur by or on the Outside Date,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right to terminate this Agreement shall not be available to the Insurer if any action of the Insurer or the failure of the Insurer to perform any of its obligations under this Agreement required to be performed at or prior to the Closing has been the cause of, or resulted in, the failure of the Closing to occur on or before the Outside Date and such action or failure to perform constitutes a breach of this Agreement;</w:t>
      </w:r>
    </w:p>
    <w:p>
      <w:pPr>
        <w:spacing w:after="0" w:line="234" w:lineRule="exact"/>
        <w:rPr>
          <w:rFonts w:ascii="Arial" w:cs="Arial" w:eastAsia="Arial" w:hAnsi="Arial"/>
          <w:sz w:val="22"/>
          <w:szCs w:val="22"/>
          <w:color w:val="auto"/>
        </w:rPr>
      </w:pPr>
    </w:p>
    <w:p>
      <w:pPr>
        <w:jc w:val="both"/>
        <w:ind w:firstLine="656"/>
        <w:spacing w:after="0" w:line="302" w:lineRule="auto"/>
        <w:tabs>
          <w:tab w:leader="none" w:pos="154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by the Insurer if there shall have been a misrepresentation or breach of any representation, warranty, covenant or agreement on the part of the Company or the Independent Fiduciary contained in this Agreement such that any of the conditions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8.3(b)</w:t>
      </w:r>
      <w:r>
        <w:rPr>
          <w:rFonts w:ascii="Arial" w:cs="Arial" w:eastAsia="Arial" w:hAnsi="Arial"/>
          <w:sz w:val="19"/>
          <w:szCs w:val="19"/>
          <w:color w:val="auto"/>
        </w:rPr>
        <w:t xml:space="preserve"> would not be satisfied, and which shall not have been cured prior to twenty (20) Business Days following notice of such misrepresentation or breach to the Company and the Independent Fiduciary, as applicable;</w:t>
      </w:r>
    </w:p>
    <w:p>
      <w:pPr>
        <w:spacing w:after="0" w:line="183" w:lineRule="exact"/>
        <w:rPr>
          <w:rFonts w:ascii="Arial" w:cs="Arial" w:eastAsia="Arial" w:hAnsi="Arial"/>
          <w:sz w:val="19"/>
          <w:szCs w:val="19"/>
          <w:color w:val="auto"/>
        </w:rPr>
      </w:pPr>
    </w:p>
    <w:p>
      <w:pPr>
        <w:ind w:firstLine="656"/>
        <w:spacing w:after="0" w:line="291" w:lineRule="auto"/>
        <w:tabs>
          <w:tab w:leader="none" w:pos="154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by the Company in the event the Closing Final Premium calculated by the Independent Third Party (or, if applicable pursuant to </w:t>
      </w:r>
      <w:r>
        <w:rPr>
          <w:rFonts w:ascii="Arial" w:cs="Arial" w:eastAsia="Arial" w:hAnsi="Arial"/>
          <w:sz w:val="19"/>
          <w:szCs w:val="19"/>
          <w:u w:val="single" w:color="auto"/>
          <w:color w:val="auto"/>
        </w:rPr>
        <w:t>Section 2.9</w:t>
      </w:r>
      <w:r>
        <w:rPr>
          <w:rFonts w:ascii="Arial" w:cs="Arial" w:eastAsia="Arial" w:hAnsi="Arial"/>
          <w:sz w:val="19"/>
          <w:szCs w:val="19"/>
          <w:color w:val="auto"/>
        </w:rPr>
        <w:t>, the Company) is less than the Closing Final Premium calculated by the Insurer by more than [</w:t>
      </w:r>
    </w:p>
    <w:p>
      <w:pPr>
        <w:spacing w:after="0" w:line="1" w:lineRule="exact"/>
        <w:rPr>
          <w:rFonts w:ascii="Arial" w:cs="Arial" w:eastAsia="Arial" w:hAnsi="Arial"/>
          <w:sz w:val="19"/>
          <w:szCs w:val="19"/>
          <w:color w:val="auto"/>
        </w:rPr>
      </w:pPr>
    </w:p>
    <w:p>
      <w:pPr>
        <w:ind w:firstLine="8"/>
        <w:spacing w:after="0" w:line="246" w:lineRule="auto"/>
        <w:tabs>
          <w:tab w:leader="none" w:pos="80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 in each case as the Closing Final Premium is calculated by such Person in accordance with </w:t>
      </w:r>
      <w:r>
        <w:rPr>
          <w:rFonts w:ascii="Arial" w:cs="Arial" w:eastAsia="Arial" w:hAnsi="Arial"/>
          <w:sz w:val="22"/>
          <w:szCs w:val="22"/>
          <w:u w:val="single" w:color="auto"/>
          <w:color w:val="auto"/>
        </w:rPr>
        <w:t>Section 2.9, subject to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proviso in the penultimate sentence of Section 2.9(e)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01" w:right="2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 xml:space="preserve">or, as applicable, the </w:t>
      </w:r>
      <w:r>
        <w:rPr>
          <w:rFonts w:ascii="Arial" w:cs="Arial" w:eastAsia="Arial" w:hAnsi="Arial"/>
          <w:sz w:val="22"/>
          <w:szCs w:val="22"/>
          <w:u w:val="single" w:color="auto"/>
          <w:color w:val="auto"/>
        </w:rPr>
        <w:t>proviso in the penultimate sentence of Section 2.9(f)</w:t>
      </w:r>
      <w:r>
        <w:rPr>
          <w:rFonts w:ascii="Arial" w:cs="Arial" w:eastAsia="Arial" w:hAnsi="Arial"/>
          <w:sz w:val="22"/>
          <w:szCs w:val="22"/>
          <w:color w:val="auto"/>
        </w:rPr>
        <w:t>; and</w:t>
      </w:r>
    </w:p>
    <w:p>
      <w:pPr>
        <w:spacing w:after="0" w:line="260" w:lineRule="exact"/>
        <w:rPr>
          <w:sz w:val="20"/>
          <w:szCs w:val="20"/>
          <w:color w:val="auto"/>
        </w:rPr>
      </w:pPr>
    </w:p>
    <w:p>
      <w:pPr>
        <w:jc w:val="both"/>
        <w:ind w:firstLine="656"/>
        <w:spacing w:after="0" w:line="302" w:lineRule="auto"/>
        <w:tabs>
          <w:tab w:leader="none" w:pos="15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by the Company in the event that the Independent Third Party has not issued (A) the Initial Certification on or before the fifteenth Business Day following the DTFA Execution Date or (B) the Revised Certification on or before the tenth Business Day following the date established for delivery of the information described in the first sentence of </w:t>
      </w:r>
      <w:r>
        <w:rPr>
          <w:rFonts w:ascii="Arial" w:cs="Arial" w:eastAsia="Arial" w:hAnsi="Arial"/>
          <w:sz w:val="19"/>
          <w:szCs w:val="19"/>
          <w:u w:val="single" w:color="auto"/>
          <w:color w:val="auto"/>
        </w:rPr>
        <w:t>Section 2.4(c)</w:t>
      </w:r>
      <w:r>
        <w:rPr>
          <w:rFonts w:ascii="Arial" w:cs="Arial" w:eastAsia="Arial" w:hAnsi="Arial"/>
          <w:sz w:val="19"/>
          <w:szCs w:val="19"/>
          <w:color w:val="auto"/>
        </w:rPr>
        <w:t xml:space="preserve"> (or, if earlier, the tenth Business Day following the actual date of delivery of such information to the Independent Third Party).</w:t>
      </w:r>
    </w:p>
    <w:p>
      <w:pPr>
        <w:spacing w:after="0" w:line="183" w:lineRule="exact"/>
        <w:rPr>
          <w:rFonts w:ascii="Arial" w:cs="Arial" w:eastAsia="Arial" w:hAnsi="Arial"/>
          <w:sz w:val="19"/>
          <w:szCs w:val="19"/>
          <w:color w:val="auto"/>
        </w:rPr>
      </w:pPr>
    </w:p>
    <w:p>
      <w:pPr>
        <w:jc w:val="both"/>
        <w:ind w:firstLine="656"/>
        <w:spacing w:after="0" w:line="231" w:lineRule="auto"/>
        <w:tabs>
          <w:tab w:leader="none" w:pos="15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by the Company or the Insurer in the event that the trustee of the Plan who is intended to hold the Group Annuity Contract has not affirmed, on or before the twenty-fifth (25</w:t>
      </w:r>
      <w:r>
        <w:rPr>
          <w:rFonts w:ascii="Arial" w:cs="Arial" w:eastAsia="Arial" w:hAnsi="Arial"/>
          <w:sz w:val="28"/>
          <w:szCs w:val="28"/>
          <w:color w:val="auto"/>
          <w:vertAlign w:val="superscript"/>
        </w:rPr>
        <w:t>th</w:t>
      </w:r>
      <w:r>
        <w:rPr>
          <w:rFonts w:ascii="Arial" w:cs="Arial" w:eastAsia="Arial" w:hAnsi="Arial"/>
          <w:sz w:val="22"/>
          <w:szCs w:val="22"/>
          <w:color w:val="auto"/>
        </w:rPr>
        <w:t>) Business Day following the DTFA Execution Date, in a manner reasonably acceptable to the Company and the Insurer, its willingness to execute the Plan Trustee Agreement and the Company and the Insurer have not agreed upon a mutually acceptable alternative.</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88" w:lineRule="auto"/>
        <w:tabs>
          <w:tab w:leader="none" w:pos="1145"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If this Agreement is terminated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all rights and obligations of the Parties hereunder will terminate upon such termination and will become null and void, except that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(Definitions),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(No Other Representations and Warranties),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(No Other Representations and Warranties),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(No Other Representations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and Warranties), </w:t>
      </w:r>
      <w:r>
        <w:rPr>
          <w:rFonts w:ascii="Arial" w:cs="Arial" w:eastAsia="Arial" w:hAnsi="Arial"/>
          <w:sz w:val="22"/>
          <w:szCs w:val="22"/>
          <w:u w:val="single" w:color="auto"/>
          <w:color w:val="auto"/>
        </w:rPr>
        <w:t>Section 6.6</w:t>
      </w:r>
      <w:r>
        <w:rPr>
          <w:rFonts w:ascii="Arial" w:cs="Arial" w:eastAsia="Arial" w:hAnsi="Arial"/>
          <w:sz w:val="22"/>
          <w:szCs w:val="22"/>
          <w:color w:val="auto"/>
        </w:rPr>
        <w:t xml:space="preserve"> (Calculation [ *** ] of Insurer RBC Ratio; Projected Parent Liquidity Position; Liquidity Requirement; Liquidity Cap),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(Miscellaneous) and this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(Effect of Termination) will survive any such termination and no Party will otherwise have any Liability to any other Party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nothing in this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will relieve any Party from Liability for any willful and material breach hereof.</w:t>
      </w:r>
    </w:p>
    <w:p>
      <w:pPr>
        <w:spacing w:after="0" w:line="236" w:lineRule="exact"/>
        <w:rPr>
          <w:sz w:val="20"/>
          <w:szCs w:val="20"/>
          <w:color w:val="auto"/>
        </w:rPr>
      </w:pPr>
    </w:p>
    <w:p>
      <w:pPr>
        <w:jc w:val="both"/>
        <w:ind w:firstLine="656"/>
        <w:spacing w:after="0" w:line="286" w:lineRule="auto"/>
        <w:tabs>
          <w:tab w:leader="none" w:pos="1157"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TCF</w:t>
      </w:r>
      <w:r>
        <w:rPr>
          <w:rFonts w:ascii="Arial" w:cs="Arial" w:eastAsia="Arial" w:hAnsi="Arial"/>
          <w:sz w:val="19"/>
          <w:szCs w:val="19"/>
          <w:color w:val="auto"/>
        </w:rPr>
        <w:t xml:space="preserve">. If this Agreement is terminated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it is the intent of the parties that all funds held in the Escrow Account shall be released from the Escrow Account and paid to the appropriate Party not later than two (2) Business Days following the effective date of termination. In furtherance of the foregoing, the Company shall, together with Insurer Parent, issue a Joint Written Direction to the Escrow Agent to release all Cash and other assets held in the Escrow Account to the Insurer within</w:t>
      </w:r>
    </w:p>
    <w:tbl>
      <w:tblPr>
        <w:tblLayout w:type="fixed"/>
        <w:tblInd w:w="0" w:type="dxa"/>
        <w:tblCellMar>
          <w:top w:w="0" w:type="dxa"/>
          <w:left w:w="0" w:type="dxa"/>
          <w:bottom w:w="0" w:type="dxa"/>
          <w:right w:w="0" w:type="dxa"/>
        </w:tblCellMar>
      </w:tblPr>
      <w:tr>
        <w:trPr>
          <w:trHeight w:val="209"/>
        </w:trPr>
        <w:tc>
          <w:tcPr>
            <w:tcW w:w="9760" w:type="dxa"/>
            <w:vAlign w:val="bottom"/>
            <w:gridSpan w:val="12"/>
          </w:tcPr>
          <w:p>
            <w:pPr>
              <w:spacing w:after="0" w:line="209" w:lineRule="exact"/>
              <w:rPr>
                <w:sz w:val="20"/>
                <w:szCs w:val="20"/>
                <w:color w:val="auto"/>
              </w:rPr>
            </w:pPr>
            <w:r>
              <w:rPr>
                <w:rFonts w:ascii="Arial" w:cs="Arial" w:eastAsia="Arial" w:hAnsi="Arial"/>
                <w:sz w:val="22"/>
                <w:szCs w:val="22"/>
                <w:color w:val="auto"/>
                <w:w w:val="92"/>
              </w:rPr>
              <w:t>two (2) Business Days after delivery of notice of termination of this Agreement, unless (</w:t>
            </w:r>
            <w:r>
              <w:rPr>
                <w:rFonts w:ascii="Arial" w:cs="Arial" w:eastAsia="Arial" w:hAnsi="Arial"/>
                <w:sz w:val="22"/>
                <w:szCs w:val="22"/>
                <w:u w:val="single" w:color="auto"/>
                <w:color w:val="auto"/>
                <w:w w:val="92"/>
              </w:rPr>
              <w:t>i</w:t>
            </w:r>
            <w:r>
              <w:rPr>
                <w:rFonts w:ascii="Arial" w:cs="Arial" w:eastAsia="Arial" w:hAnsi="Arial"/>
                <w:sz w:val="22"/>
                <w:szCs w:val="22"/>
                <w:color w:val="auto"/>
                <w:w w:val="92"/>
              </w:rPr>
              <w:t>) this Agreement is [</w:t>
            </w:r>
          </w:p>
        </w:tc>
        <w:tc>
          <w:tcPr>
            <w:tcW w:w="700" w:type="dxa"/>
            <w:vAlign w:val="bottom"/>
          </w:tcPr>
          <w:p>
            <w:pPr>
              <w:jc w:val="right"/>
              <w:ind w:right="172"/>
              <w:spacing w:after="0" w:line="209" w:lineRule="exact"/>
              <w:rPr>
                <w:sz w:val="20"/>
                <w:szCs w:val="20"/>
                <w:color w:val="auto"/>
              </w:rPr>
            </w:pPr>
            <w:r>
              <w:rPr>
                <w:rFonts w:ascii="Arial" w:cs="Arial" w:eastAsia="Arial" w:hAnsi="Arial"/>
                <w:sz w:val="22"/>
                <w:szCs w:val="22"/>
                <w:color w:val="auto"/>
              </w:rPr>
              <w:t>***</w:t>
            </w:r>
          </w:p>
        </w:tc>
        <w:tc>
          <w:tcPr>
            <w:tcW w:w="960" w:type="dxa"/>
            <w:vAlign w:val="bottom"/>
            <w:gridSpan w:val="3"/>
          </w:tcPr>
          <w:p>
            <w:pPr>
              <w:jc w:val="right"/>
              <w:spacing w:after="0" w:line="209" w:lineRule="exact"/>
              <w:rPr>
                <w:sz w:val="20"/>
                <w:szCs w:val="20"/>
                <w:color w:val="auto"/>
              </w:rPr>
            </w:pPr>
            <w:r>
              <w:rPr>
                <w:rFonts w:ascii="Arial" w:cs="Arial" w:eastAsia="Arial" w:hAnsi="Arial"/>
                <w:sz w:val="22"/>
                <w:szCs w:val="22"/>
                <w:color w:val="auto"/>
              </w:rPr>
              <w:t>], (ii) this</w:t>
            </w:r>
          </w:p>
        </w:tc>
      </w:tr>
      <w:tr>
        <w:trPr>
          <w:trHeight w:val="20"/>
        </w:trPr>
        <w:tc>
          <w:tcPr>
            <w:tcW w:w="1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600" w:type="dxa"/>
            <w:vAlign w:val="bottom"/>
            <w:gridSpan w:val="2"/>
          </w:tcPr>
          <w:p>
            <w:pPr>
              <w:spacing w:after="0" w:line="237" w:lineRule="exact"/>
              <w:rPr>
                <w:sz w:val="20"/>
                <w:szCs w:val="20"/>
                <w:color w:val="auto"/>
              </w:rPr>
            </w:pPr>
            <w:r>
              <w:rPr>
                <w:rFonts w:ascii="Arial" w:cs="Arial" w:eastAsia="Arial" w:hAnsi="Arial"/>
                <w:sz w:val="22"/>
                <w:szCs w:val="22"/>
                <w:color w:val="auto"/>
              </w:rPr>
              <w:t>Agreement is [</w:t>
            </w:r>
          </w:p>
        </w:tc>
        <w:tc>
          <w:tcPr>
            <w:tcW w:w="660" w:type="dxa"/>
            <w:vAlign w:val="bottom"/>
          </w:tcPr>
          <w:p>
            <w:pPr>
              <w:jc w:val="right"/>
              <w:ind w:right="212"/>
              <w:spacing w:after="0" w:line="237" w:lineRule="exact"/>
              <w:rPr>
                <w:sz w:val="20"/>
                <w:szCs w:val="20"/>
                <w:color w:val="auto"/>
              </w:rPr>
            </w:pPr>
            <w:r>
              <w:rPr>
                <w:rFonts w:ascii="Arial" w:cs="Arial" w:eastAsia="Arial" w:hAnsi="Arial"/>
                <w:sz w:val="22"/>
                <w:szCs w:val="22"/>
                <w:color w:val="auto"/>
              </w:rPr>
              <w:t>***</w:t>
            </w:r>
          </w:p>
        </w:tc>
        <w:tc>
          <w:tcPr>
            <w:tcW w:w="3340" w:type="dxa"/>
            <w:vAlign w:val="bottom"/>
            <w:gridSpan w:val="6"/>
          </w:tcPr>
          <w:p>
            <w:pPr>
              <w:ind w:left="100"/>
              <w:spacing w:after="0" w:line="237" w:lineRule="exact"/>
              <w:rPr>
                <w:sz w:val="20"/>
                <w:szCs w:val="20"/>
                <w:color w:val="auto"/>
              </w:rPr>
            </w:pPr>
            <w:r>
              <w:rPr>
                <w:rFonts w:ascii="Arial" w:cs="Arial" w:eastAsia="Arial" w:hAnsi="Arial"/>
                <w:sz w:val="22"/>
                <w:szCs w:val="22"/>
                <w:color w:val="auto"/>
              </w:rPr>
              <w:t>], (iii) this Agreement is [   ***</w:t>
            </w:r>
          </w:p>
        </w:tc>
        <w:tc>
          <w:tcPr>
            <w:tcW w:w="5820" w:type="dxa"/>
            <w:vAlign w:val="bottom"/>
            <w:gridSpan w:val="7"/>
          </w:tcPr>
          <w:p>
            <w:pPr>
              <w:jc w:val="right"/>
              <w:spacing w:after="0" w:line="237" w:lineRule="exact"/>
              <w:rPr>
                <w:sz w:val="20"/>
                <w:szCs w:val="20"/>
                <w:color w:val="auto"/>
              </w:rPr>
            </w:pPr>
            <w:r>
              <w:rPr>
                <w:rFonts w:ascii="Arial" w:cs="Arial" w:eastAsia="Arial" w:hAnsi="Arial"/>
                <w:sz w:val="22"/>
                <w:szCs w:val="22"/>
                <w:color w:val="auto"/>
                <w:w w:val="91"/>
              </w:rPr>
              <w:t>], and as of the date of such termination, any of the conditions set</w:t>
            </w:r>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269"/>
        </w:trPr>
        <w:tc>
          <w:tcPr>
            <w:tcW w:w="1120" w:type="dxa"/>
            <w:vAlign w:val="bottom"/>
          </w:tcPr>
          <w:p>
            <w:pPr>
              <w:spacing w:after="0"/>
              <w:rPr>
                <w:sz w:val="20"/>
                <w:szCs w:val="20"/>
                <w:color w:val="auto"/>
              </w:rPr>
            </w:pPr>
            <w:r>
              <w:rPr>
                <w:rFonts w:ascii="Arial" w:cs="Arial" w:eastAsia="Arial" w:hAnsi="Arial"/>
                <w:sz w:val="22"/>
                <w:szCs w:val="22"/>
                <w:color w:val="auto"/>
              </w:rPr>
              <w:t>forth in [</w:t>
            </w:r>
          </w:p>
        </w:tc>
        <w:tc>
          <w:tcPr>
            <w:tcW w:w="480" w:type="dxa"/>
            <w:vAlign w:val="bottom"/>
          </w:tcPr>
          <w:p>
            <w:pPr>
              <w:spacing w:after="0"/>
              <w:rPr>
                <w:sz w:val="20"/>
                <w:szCs w:val="20"/>
                <w:color w:val="auto"/>
              </w:rPr>
            </w:pPr>
            <w:r>
              <w:rPr>
                <w:rFonts w:ascii="Arial" w:cs="Arial" w:eastAsia="Arial" w:hAnsi="Arial"/>
                <w:sz w:val="22"/>
                <w:szCs w:val="22"/>
                <w:color w:val="auto"/>
              </w:rPr>
              <w:t>***</w:t>
            </w:r>
          </w:p>
        </w:tc>
        <w:tc>
          <w:tcPr>
            <w:tcW w:w="2000" w:type="dxa"/>
            <w:vAlign w:val="bottom"/>
            <w:gridSpan w:val="5"/>
          </w:tcPr>
          <w:p>
            <w:pPr>
              <w:ind w:left="320"/>
              <w:spacing w:after="0"/>
              <w:rPr>
                <w:sz w:val="20"/>
                <w:szCs w:val="20"/>
                <w:color w:val="auto"/>
              </w:rPr>
            </w:pPr>
            <w:r>
              <w:rPr>
                <w:rFonts w:ascii="Arial" w:cs="Arial" w:eastAsia="Arial" w:hAnsi="Arial"/>
                <w:sz w:val="22"/>
                <w:szCs w:val="22"/>
                <w:color w:val="auto"/>
              </w:rPr>
              <w:t>], in which case [</w:t>
            </w:r>
          </w:p>
        </w:tc>
        <w:tc>
          <w:tcPr>
            <w:tcW w:w="7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5440" w:type="dxa"/>
            <w:vAlign w:val="bottom"/>
            <w:gridSpan w:val="4"/>
          </w:tcPr>
          <w:p>
            <w:pPr>
              <w:ind w:left="240"/>
              <w:spacing w:after="0"/>
              <w:rPr>
                <w:sz w:val="20"/>
                <w:szCs w:val="20"/>
                <w:color w:val="auto"/>
              </w:rPr>
            </w:pPr>
            <w:r>
              <w:rPr>
                <w:rFonts w:ascii="Arial" w:cs="Arial" w:eastAsia="Arial" w:hAnsi="Arial"/>
                <w:sz w:val="22"/>
                <w:szCs w:val="22"/>
                <w:color w:val="auto"/>
                <w:w w:val="94"/>
              </w:rPr>
              <w:t>], issue a Joint Written Direction to the Escrow Agent to [</w:t>
            </w:r>
          </w:p>
        </w:tc>
        <w:tc>
          <w:tcPr>
            <w:tcW w:w="7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gridSpan w:val="3"/>
          </w:tcPr>
          <w:p>
            <w:pPr>
              <w:jc w:val="right"/>
              <w:spacing w:after="0"/>
              <w:rPr>
                <w:sz w:val="20"/>
                <w:szCs w:val="20"/>
                <w:color w:val="auto"/>
              </w:rPr>
            </w:pPr>
            <w:r>
              <w:rPr>
                <w:rFonts w:ascii="Arial" w:cs="Arial" w:eastAsia="Arial" w:hAnsi="Arial"/>
                <w:sz w:val="22"/>
                <w:szCs w:val="22"/>
                <w:color w:val="auto"/>
              </w:rPr>
              <w:t>] in the</w:t>
            </w:r>
          </w:p>
        </w:tc>
      </w:tr>
      <w:tr>
        <w:trPr>
          <w:trHeight w:val="275"/>
        </w:trPr>
        <w:tc>
          <w:tcPr>
            <w:tcW w:w="1600" w:type="dxa"/>
            <w:vAlign w:val="bottom"/>
            <w:gridSpan w:val="2"/>
          </w:tcPr>
          <w:p>
            <w:pPr>
              <w:spacing w:after="0"/>
              <w:rPr>
                <w:sz w:val="20"/>
                <w:szCs w:val="20"/>
                <w:color w:val="auto"/>
              </w:rPr>
            </w:pPr>
            <w:r>
              <w:rPr>
                <w:rFonts w:ascii="Arial" w:cs="Arial" w:eastAsia="Arial" w:hAnsi="Arial"/>
                <w:sz w:val="22"/>
                <w:szCs w:val="22"/>
                <w:color w:val="auto"/>
                <w:w w:val="92"/>
              </w:rPr>
              <w:t>Escrow Account [</w:t>
            </w:r>
          </w:p>
        </w:tc>
        <w:tc>
          <w:tcPr>
            <w:tcW w:w="660" w:type="dxa"/>
            <w:vAlign w:val="bottom"/>
          </w:tcPr>
          <w:p>
            <w:pPr>
              <w:jc w:val="right"/>
              <w:spacing w:after="0"/>
              <w:rPr>
                <w:sz w:val="20"/>
                <w:szCs w:val="20"/>
                <w:color w:val="auto"/>
              </w:rPr>
            </w:pPr>
            <w:r>
              <w:rPr>
                <w:rFonts w:ascii="Arial" w:cs="Arial" w:eastAsia="Arial" w:hAnsi="Arial"/>
                <w:sz w:val="22"/>
                <w:szCs w:val="22"/>
                <w:color w:val="auto"/>
              </w:rPr>
              <w:t>***</w:t>
            </w:r>
          </w:p>
        </w:tc>
        <w:tc>
          <w:tcPr>
            <w:tcW w:w="7500" w:type="dxa"/>
            <w:vAlign w:val="bottom"/>
            <w:gridSpan w:val="9"/>
          </w:tcPr>
          <w:p>
            <w:pPr>
              <w:ind w:left="280"/>
              <w:spacing w:after="0"/>
              <w:rPr>
                <w:sz w:val="20"/>
                <w:szCs w:val="20"/>
                <w:color w:val="auto"/>
              </w:rPr>
            </w:pPr>
            <w:r>
              <w:rPr>
                <w:rFonts w:ascii="Arial" w:cs="Arial" w:eastAsia="Arial" w:hAnsi="Arial"/>
                <w:sz w:val="22"/>
                <w:szCs w:val="22"/>
                <w:color w:val="auto"/>
              </w:rPr>
              <w:t>] within two (2) Business Days after the termination of this Agreement.</w:t>
            </w: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463"/>
        </w:trPr>
        <w:tc>
          <w:tcPr>
            <w:tcW w:w="1120" w:type="dxa"/>
            <w:vAlign w:val="bottom"/>
          </w:tcPr>
          <w:p>
            <w:pPr>
              <w:ind w:left="660"/>
              <w:spacing w:after="0"/>
              <w:rPr>
                <w:sz w:val="20"/>
                <w:szCs w:val="20"/>
                <w:color w:val="auto"/>
              </w:rPr>
            </w:pPr>
            <w:r>
              <w:rPr>
                <w:rFonts w:ascii="Arial" w:cs="Arial" w:eastAsia="Arial" w:hAnsi="Arial"/>
                <w:sz w:val="22"/>
                <w:szCs w:val="22"/>
                <w:color w:val="auto"/>
              </w:rPr>
              <w:t>(c)</w:t>
            </w:r>
          </w:p>
        </w:tc>
        <w:tc>
          <w:tcPr>
            <w:tcW w:w="6260" w:type="dxa"/>
            <w:vAlign w:val="bottom"/>
            <w:gridSpan w:val="10"/>
          </w:tcPr>
          <w:p>
            <w:pPr>
              <w:spacing w:after="0"/>
              <w:rPr>
                <w:sz w:val="20"/>
                <w:szCs w:val="20"/>
                <w:color w:val="auto"/>
              </w:rPr>
            </w:pPr>
            <w:r>
              <w:rPr>
                <w:rFonts w:ascii="Arial" w:cs="Arial" w:eastAsia="Arial" w:hAnsi="Arial"/>
                <w:sz w:val="22"/>
                <w:szCs w:val="22"/>
                <w:color w:val="auto"/>
                <w:w w:val="97"/>
              </w:rPr>
              <w:t>Termination Fee. If this Agreement is terminated pursuant to [   ***</w:t>
            </w:r>
          </w:p>
        </w:tc>
        <w:tc>
          <w:tcPr>
            <w:tcW w:w="4040" w:type="dxa"/>
            <w:vAlign w:val="bottom"/>
            <w:gridSpan w:val="5"/>
          </w:tcPr>
          <w:p>
            <w:pPr>
              <w:jc w:val="right"/>
              <w:ind w:right="20"/>
              <w:spacing w:after="0"/>
              <w:rPr>
                <w:sz w:val="20"/>
                <w:szCs w:val="20"/>
                <w:color w:val="auto"/>
              </w:rPr>
            </w:pPr>
            <w:r>
              <w:rPr>
                <w:rFonts w:ascii="Arial" w:cs="Arial" w:eastAsia="Arial" w:hAnsi="Arial"/>
                <w:sz w:val="22"/>
                <w:szCs w:val="22"/>
                <w:color w:val="auto"/>
                <w:w w:val="94"/>
              </w:rPr>
              <w:t>] the Insurer shall also pay to the Company,</w:t>
            </w: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87"/>
        </w:trPr>
        <w:tc>
          <w:tcPr>
            <w:tcW w:w="5600" w:type="dxa"/>
            <w:vAlign w:val="bottom"/>
            <w:gridSpan w:val="9"/>
          </w:tcPr>
          <w:p>
            <w:pPr>
              <w:spacing w:after="0"/>
              <w:rPr>
                <w:sz w:val="20"/>
                <w:szCs w:val="20"/>
                <w:color w:val="auto"/>
              </w:rPr>
            </w:pPr>
            <w:r>
              <w:rPr>
                <w:rFonts w:ascii="Arial" w:cs="Arial" w:eastAsia="Arial" w:hAnsi="Arial"/>
                <w:sz w:val="22"/>
                <w:szCs w:val="22"/>
                <w:color w:val="auto"/>
                <w:w w:val="91"/>
              </w:rPr>
              <w:t>by wire transfer of immediately available funds, the amount of [</w:t>
            </w:r>
          </w:p>
        </w:tc>
        <w:tc>
          <w:tcPr>
            <w:tcW w:w="7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672"/>
              <w:spacing w:after="0"/>
              <w:rPr>
                <w:sz w:val="20"/>
                <w:szCs w:val="20"/>
                <w:color w:val="auto"/>
              </w:rPr>
            </w:pPr>
            <w:r>
              <w:rPr>
                <w:rFonts w:ascii="Arial" w:cs="Arial" w:eastAsia="Arial" w:hAnsi="Arial"/>
                <w:sz w:val="22"/>
                <w:szCs w:val="22"/>
                <w:color w:val="auto"/>
              </w:rPr>
              <w:t>]</w:t>
            </w: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39" w:lineRule="exact"/>
        <w:rPr>
          <w:sz w:val="20"/>
          <w:szCs w:val="20"/>
          <w:color w:val="auto"/>
        </w:rPr>
      </w:pPr>
    </w:p>
    <w:p>
      <w:pPr>
        <w:ind w:left="1120" w:hanging="464"/>
        <w:spacing w:after="0"/>
        <w:tabs>
          <w:tab w:leader="none" w:pos="112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Extension</w:t>
      </w:r>
      <w:r>
        <w:rPr>
          <w:rFonts w:ascii="Arial" w:cs="Arial" w:eastAsia="Arial" w:hAnsi="Arial"/>
          <w:sz w:val="22"/>
          <w:szCs w:val="22"/>
          <w:color w:val="auto"/>
        </w:rPr>
        <w:t>.</w:t>
      </w:r>
    </w:p>
    <w:p>
      <w:pPr>
        <w:spacing w:after="0" w:line="260"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Re-Pricing Offer</w:t>
      </w:r>
      <w:r>
        <w:rPr>
          <w:rFonts w:ascii="Arial" w:cs="Arial" w:eastAsia="Arial" w:hAnsi="Arial"/>
          <w:sz w:val="19"/>
          <w:szCs w:val="19"/>
          <w:color w:val="auto"/>
        </w:rPr>
        <w:t>. The Outside Date shall be deemed to be extended to [ *** ] if, on or before December 28, 2012, the Company delivers a request to the Insurer in writing that the Insurer deliver a Re-Pricing Offer (the “</w:t>
      </w:r>
      <w:r>
        <w:rPr>
          <w:rFonts w:ascii="Arial" w:cs="Arial" w:eastAsia="Arial" w:hAnsi="Arial"/>
          <w:sz w:val="19"/>
          <w:szCs w:val="19"/>
          <w:u w:val="single" w:color="auto"/>
          <w:color w:val="auto"/>
        </w:rPr>
        <w:t>Re-Pricing Request</w:t>
      </w:r>
      <w:r>
        <w:rPr>
          <w:rFonts w:ascii="Arial" w:cs="Arial" w:eastAsia="Arial" w:hAnsi="Arial"/>
          <w:sz w:val="19"/>
          <w:szCs w:val="19"/>
          <w:color w:val="auto"/>
        </w:rPr>
        <w:t>”). In such circumstance, on or prior to January 15, 2013, the Insurer shall deliver to the Company and</w:t>
      </w:r>
    </w:p>
    <w:tbl>
      <w:tblPr>
        <w:tblLayout w:type="fixed"/>
        <w:tblInd w:w="660" w:type="dxa"/>
        <w:tblCellMar>
          <w:top w:w="0" w:type="dxa"/>
          <w:left w:w="0" w:type="dxa"/>
          <w:bottom w:w="0" w:type="dxa"/>
          <w:right w:w="0" w:type="dxa"/>
        </w:tblCellMar>
      </w:tblPr>
      <w:tr>
        <w:trPr>
          <w:trHeight w:val="207"/>
        </w:trPr>
        <w:tc>
          <w:tcPr>
            <w:tcW w:w="3920" w:type="dxa"/>
            <w:vAlign w:val="bottom"/>
          </w:tcPr>
          <w:p>
            <w:pPr>
              <w:spacing w:after="0" w:line="207" w:lineRule="exact"/>
              <w:rPr>
                <w:sz w:val="20"/>
                <w:szCs w:val="20"/>
                <w:color w:val="auto"/>
              </w:rPr>
            </w:pPr>
            <w:r>
              <w:rPr>
                <w:rFonts w:ascii="Arial" w:cs="Arial" w:eastAsia="Arial" w:hAnsi="Arial"/>
                <w:sz w:val="22"/>
                <w:szCs w:val="22"/>
                <w:color w:val="auto"/>
                <w:w w:val="97"/>
              </w:rPr>
              <w:t>the Independent Fiduciary a written [   ***</w:t>
            </w:r>
          </w:p>
        </w:tc>
        <w:tc>
          <w:tcPr>
            <w:tcW w:w="6820" w:type="dxa"/>
            <w:vAlign w:val="bottom"/>
            <w:gridSpan w:val="5"/>
          </w:tcPr>
          <w:p>
            <w:pPr>
              <w:jc w:val="right"/>
              <w:spacing w:after="0" w:line="207" w:lineRule="exact"/>
              <w:rPr>
                <w:sz w:val="20"/>
                <w:szCs w:val="20"/>
                <w:color w:val="auto"/>
              </w:rPr>
            </w:pPr>
            <w:r>
              <w:rPr>
                <w:rFonts w:ascii="Arial" w:cs="Arial" w:eastAsia="Arial" w:hAnsi="Arial"/>
                <w:sz w:val="22"/>
                <w:szCs w:val="22"/>
                <w:color w:val="auto"/>
                <w:w w:val="98"/>
              </w:rPr>
              <w:t>] offer (the “Re-Pricing Offer”), which shall be determined by the Insurer</w:t>
            </w:r>
          </w:p>
        </w:tc>
      </w:tr>
      <w:tr>
        <w:trPr>
          <w:trHeight w:val="20"/>
        </w:trPr>
        <w:tc>
          <w:tcPr>
            <w:tcW w:w="3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87"/>
        </w:trPr>
        <w:tc>
          <w:tcPr>
            <w:tcW w:w="3920" w:type="dxa"/>
            <w:vAlign w:val="bottom"/>
          </w:tcPr>
          <w:p>
            <w:pPr>
              <w:spacing w:after="0"/>
              <w:rPr>
                <w:sz w:val="20"/>
                <w:szCs w:val="20"/>
                <w:color w:val="auto"/>
              </w:rPr>
            </w:pPr>
            <w:r>
              <w:rPr>
                <w:rFonts w:ascii="Arial" w:cs="Arial" w:eastAsia="Arial" w:hAnsi="Arial"/>
                <w:sz w:val="22"/>
                <w:szCs w:val="22"/>
                <w:color w:val="auto"/>
                <w:w w:val="91"/>
              </w:rPr>
              <w:t>based on pricing methodologies that are the</w:t>
            </w:r>
          </w:p>
        </w:tc>
        <w:tc>
          <w:tcPr>
            <w:tcW w:w="3440" w:type="dxa"/>
            <w:vAlign w:val="bottom"/>
            <w:gridSpan w:val="3"/>
          </w:tcPr>
          <w:p>
            <w:pPr>
              <w:ind w:left="40"/>
              <w:spacing w:after="0"/>
              <w:rPr>
                <w:sz w:val="20"/>
                <w:szCs w:val="20"/>
                <w:color w:val="auto"/>
              </w:rPr>
            </w:pPr>
            <w:r>
              <w:rPr>
                <w:rFonts w:ascii="Arial" w:cs="Arial" w:eastAsia="Arial" w:hAnsi="Arial"/>
                <w:sz w:val="22"/>
                <w:szCs w:val="22"/>
                <w:color w:val="auto"/>
                <w:w w:val="95"/>
              </w:rPr>
              <w:t>same as the pricing methodologies [</w:t>
            </w:r>
          </w:p>
        </w:tc>
        <w:tc>
          <w:tcPr>
            <w:tcW w:w="7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2620" w:type="dxa"/>
            <w:vAlign w:val="bottom"/>
          </w:tcPr>
          <w:p>
            <w:pPr>
              <w:jc w:val="right"/>
              <w:spacing w:after="0"/>
              <w:rPr>
                <w:sz w:val="20"/>
                <w:szCs w:val="20"/>
                <w:color w:val="auto"/>
              </w:rPr>
            </w:pPr>
            <w:r>
              <w:rPr>
                <w:rFonts w:ascii="Arial" w:cs="Arial" w:eastAsia="Arial" w:hAnsi="Arial"/>
                <w:sz w:val="22"/>
                <w:szCs w:val="22"/>
                <w:color w:val="auto"/>
                <w:w w:val="99"/>
              </w:rPr>
              <w:t>] used to develop the Base</w:t>
            </w:r>
          </w:p>
        </w:tc>
      </w:tr>
    </w:tbl>
    <w:p>
      <w:pPr>
        <w:ind w:left="5620" w:right="2160" w:hanging="4967"/>
        <w:spacing w:after="0" w:line="429" w:lineRule="auto"/>
        <w:rPr>
          <w:sz w:val="20"/>
          <w:szCs w:val="20"/>
          <w:color w:val="auto"/>
        </w:rPr>
      </w:pPr>
      <w:r>
        <w:rPr>
          <w:rFonts w:ascii="Arial" w:cs="Arial" w:eastAsia="Arial" w:hAnsi="Arial"/>
          <w:sz w:val="22"/>
          <w:szCs w:val="22"/>
          <w:color w:val="auto"/>
        </w:rPr>
        <w:t xml:space="preserve">Annuity Premium and the Revised Base Annuity Premium, including the pricing methodologies set </w:t>
      </w:r>
      <w:r>
        <w:rPr>
          <w:rFonts w:ascii="Arial" w:cs="Arial" w:eastAsia="Arial" w:hAnsi="Arial"/>
          <w:sz w:val="18"/>
          <w:szCs w:val="18"/>
          <w:color w:val="auto"/>
        </w:rPr>
        <w:t>59</w:t>
      </w:r>
    </w:p>
    <w:p>
      <w:pPr>
        <w:sectPr>
          <w:pgSz w:w="11900" w:h="16838" w:orient="portrait"/>
          <w:cols w:equalWidth="0" w:num="1">
            <w:col w:w="11420"/>
          </w:cols>
          <w:pgMar w:left="240" w:top="591" w:right="239" w:bottom="1440" w:gutter="0" w:footer="0" w:header="0"/>
        </w:sectPr>
      </w:pPr>
    </w:p>
    <w:bookmarkStart w:id="154" w:name="page155"/>
    <w:bookmarkEnd w:id="154"/>
    <w:p>
      <w:pPr>
        <w:ind w:left="4" w:right="20"/>
        <w:spacing w:after="0" w:line="291" w:lineRule="auto"/>
        <w:rPr>
          <w:sz w:val="20"/>
          <w:szCs w:val="20"/>
          <w:color w:val="auto"/>
        </w:rPr>
      </w:pPr>
      <w:r>
        <w:rPr>
          <w:rFonts w:ascii="Arial" w:cs="Arial" w:eastAsia="Arial" w:hAnsi="Arial"/>
          <w:sz w:val="19"/>
          <w:szCs w:val="19"/>
          <w:color w:val="auto"/>
        </w:rPr>
        <w:t xml:space="preserve">forth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the Procedures Manual and on the Identified CD-ROM (the “</w:t>
      </w:r>
      <w:r>
        <w:rPr>
          <w:rFonts w:ascii="Arial" w:cs="Arial" w:eastAsia="Arial" w:hAnsi="Arial"/>
          <w:sz w:val="19"/>
          <w:szCs w:val="19"/>
          <w:u w:val="single" w:color="auto"/>
          <w:color w:val="auto"/>
        </w:rPr>
        <w:t>Original Pricing Methodologies</w:t>
      </w:r>
      <w:r>
        <w:rPr>
          <w:rFonts w:ascii="Arial" w:cs="Arial" w:eastAsia="Arial" w:hAnsi="Arial"/>
          <w:sz w:val="19"/>
          <w:szCs w:val="19"/>
          <w:color w:val="auto"/>
        </w:rPr>
        <w:t xml:space="preserve">”), updated to reflect the agreed methodologies and changes determined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2.8(b)</w:t>
      </w:r>
      <w:r>
        <w:rPr>
          <w:rFonts w:ascii="Arial" w:cs="Arial" w:eastAsia="Arial" w:hAnsi="Arial"/>
          <w:sz w:val="19"/>
          <w:szCs w:val="19"/>
          <w:color w:val="auto"/>
        </w:rPr>
        <w:t>, [ ***</w:t>
      </w:r>
    </w:p>
    <w:p>
      <w:pPr>
        <w:spacing w:after="0" w:line="1" w:lineRule="exact"/>
        <w:rPr>
          <w:sz w:val="20"/>
          <w:szCs w:val="20"/>
          <w:color w:val="auto"/>
        </w:rPr>
      </w:pPr>
    </w:p>
    <w:p>
      <w:pPr>
        <w:ind w:left="224"/>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tbl>
      <w:tblPr>
        <w:tblLayout w:type="fixed"/>
        <w:tblInd w:w="1304" w:type="dxa"/>
        <w:tblCellMar>
          <w:top w:w="0" w:type="dxa"/>
          <w:left w:w="0" w:type="dxa"/>
          <w:bottom w:w="0" w:type="dxa"/>
          <w:right w:w="0" w:type="dxa"/>
        </w:tblCellMar>
      </w:tblPr>
      <w:tr>
        <w:trPr>
          <w:trHeight w:val="275"/>
        </w:trPr>
        <w:tc>
          <w:tcPr>
            <w:tcW w:w="600" w:type="dxa"/>
            <w:vAlign w:val="bottom"/>
          </w:tcPr>
          <w:p>
            <w:pPr>
              <w:spacing w:after="0"/>
              <w:rPr>
                <w:sz w:val="20"/>
                <w:szCs w:val="20"/>
                <w:color w:val="auto"/>
              </w:rPr>
            </w:pPr>
            <w:r>
              <w:rPr>
                <w:rFonts w:ascii="Arial" w:cs="Arial" w:eastAsia="Arial" w:hAnsi="Arial"/>
                <w:sz w:val="22"/>
                <w:szCs w:val="22"/>
                <w:color w:val="auto"/>
              </w:rPr>
              <w:t>(A)</w:t>
            </w:r>
          </w:p>
        </w:tc>
        <w:tc>
          <w:tcPr>
            <w:tcW w:w="520" w:type="dxa"/>
            <w:vAlign w:val="bottom"/>
          </w:tcPr>
          <w:p>
            <w:pPr>
              <w:jc w:val="right"/>
              <w:spacing w:after="0"/>
              <w:rPr>
                <w:sz w:val="20"/>
                <w:szCs w:val="20"/>
                <w:color w:val="auto"/>
              </w:rPr>
            </w:pPr>
            <w:r>
              <w:rPr>
                <w:rFonts w:ascii="Arial" w:cs="Arial" w:eastAsia="Arial" w:hAnsi="Arial"/>
                <w:sz w:val="22"/>
                <w:szCs w:val="22"/>
                <w:color w:val="auto"/>
              </w:rPr>
              <w:t>[</w:t>
            </w:r>
          </w:p>
        </w:tc>
        <w:tc>
          <w:tcPr>
            <w:tcW w:w="6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513"/>
        </w:trPr>
        <w:tc>
          <w:tcPr>
            <w:tcW w:w="600" w:type="dxa"/>
            <w:vAlign w:val="bottom"/>
          </w:tcPr>
          <w:p>
            <w:pPr>
              <w:spacing w:after="0"/>
              <w:rPr>
                <w:sz w:val="20"/>
                <w:szCs w:val="20"/>
                <w:color w:val="auto"/>
              </w:rPr>
            </w:pPr>
            <w:r>
              <w:rPr>
                <w:rFonts w:ascii="Arial" w:cs="Arial" w:eastAsia="Arial" w:hAnsi="Arial"/>
                <w:sz w:val="22"/>
                <w:szCs w:val="22"/>
                <w:color w:val="auto"/>
              </w:rPr>
              <w:t>(B)</w:t>
            </w:r>
          </w:p>
        </w:tc>
        <w:tc>
          <w:tcPr>
            <w:tcW w:w="5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6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513"/>
        </w:trPr>
        <w:tc>
          <w:tcPr>
            <w:tcW w:w="600" w:type="dxa"/>
            <w:vAlign w:val="bottom"/>
          </w:tcPr>
          <w:p>
            <w:pPr>
              <w:spacing w:after="0"/>
              <w:rPr>
                <w:sz w:val="20"/>
                <w:szCs w:val="20"/>
                <w:color w:val="auto"/>
              </w:rPr>
            </w:pPr>
            <w:r>
              <w:rPr>
                <w:rFonts w:ascii="Arial" w:cs="Arial" w:eastAsia="Arial" w:hAnsi="Arial"/>
                <w:sz w:val="22"/>
                <w:szCs w:val="22"/>
                <w:color w:val="auto"/>
              </w:rPr>
              <w:t>(C)</w:t>
            </w:r>
          </w:p>
        </w:tc>
        <w:tc>
          <w:tcPr>
            <w:tcW w:w="5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6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513"/>
        </w:trPr>
        <w:tc>
          <w:tcPr>
            <w:tcW w:w="600" w:type="dxa"/>
            <w:vAlign w:val="bottom"/>
          </w:tcPr>
          <w:p>
            <w:pPr>
              <w:spacing w:after="0"/>
              <w:rPr>
                <w:sz w:val="20"/>
                <w:szCs w:val="20"/>
                <w:color w:val="auto"/>
              </w:rPr>
            </w:pPr>
            <w:r>
              <w:rPr>
                <w:rFonts w:ascii="Arial" w:cs="Arial" w:eastAsia="Arial" w:hAnsi="Arial"/>
                <w:sz w:val="22"/>
                <w:szCs w:val="22"/>
                <w:color w:val="auto"/>
              </w:rPr>
              <w:t>(D)</w:t>
            </w:r>
          </w:p>
        </w:tc>
        <w:tc>
          <w:tcPr>
            <w:tcW w:w="520" w:type="dxa"/>
            <w:vAlign w:val="bottom"/>
          </w:tcPr>
          <w:p>
            <w:pPr>
              <w:jc w:val="right"/>
              <w:spacing w:after="0"/>
              <w:rPr>
                <w:sz w:val="20"/>
                <w:szCs w:val="20"/>
                <w:color w:val="auto"/>
              </w:rPr>
            </w:pPr>
            <w:r>
              <w:rPr>
                <w:rFonts w:ascii="Arial" w:cs="Arial" w:eastAsia="Arial" w:hAnsi="Arial"/>
                <w:sz w:val="22"/>
                <w:szCs w:val="22"/>
                <w:color w:val="auto"/>
              </w:rPr>
              <w:t>[</w:t>
            </w:r>
          </w:p>
        </w:tc>
        <w:tc>
          <w:tcPr>
            <w:tcW w:w="6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513"/>
        </w:trPr>
        <w:tc>
          <w:tcPr>
            <w:tcW w:w="600" w:type="dxa"/>
            <w:vAlign w:val="bottom"/>
          </w:tcPr>
          <w:p>
            <w:pPr>
              <w:spacing w:after="0"/>
              <w:rPr>
                <w:sz w:val="20"/>
                <w:szCs w:val="20"/>
                <w:color w:val="auto"/>
              </w:rPr>
            </w:pPr>
            <w:r>
              <w:rPr>
                <w:rFonts w:ascii="Arial" w:cs="Arial" w:eastAsia="Arial" w:hAnsi="Arial"/>
                <w:sz w:val="22"/>
                <w:szCs w:val="22"/>
                <w:color w:val="auto"/>
              </w:rPr>
              <w:t>(E)</w:t>
            </w:r>
          </w:p>
        </w:tc>
        <w:tc>
          <w:tcPr>
            <w:tcW w:w="5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6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513"/>
        </w:trPr>
        <w:tc>
          <w:tcPr>
            <w:tcW w:w="600" w:type="dxa"/>
            <w:vAlign w:val="bottom"/>
          </w:tcPr>
          <w:p>
            <w:pPr>
              <w:spacing w:after="0"/>
              <w:rPr>
                <w:sz w:val="20"/>
                <w:szCs w:val="20"/>
                <w:color w:val="auto"/>
              </w:rPr>
            </w:pPr>
            <w:r>
              <w:rPr>
                <w:rFonts w:ascii="Arial" w:cs="Arial" w:eastAsia="Arial" w:hAnsi="Arial"/>
                <w:sz w:val="22"/>
                <w:szCs w:val="22"/>
                <w:color w:val="auto"/>
              </w:rPr>
              <w:t>(F)</w:t>
            </w:r>
          </w:p>
        </w:tc>
        <w:tc>
          <w:tcPr>
            <w:tcW w:w="5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6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39" w:lineRule="exact"/>
        <w:rPr>
          <w:sz w:val="20"/>
          <w:szCs w:val="20"/>
          <w:color w:val="auto"/>
        </w:rPr>
      </w:pPr>
    </w:p>
    <w:p>
      <w:pPr>
        <w:jc w:val="both"/>
        <w:ind w:left="4" w:firstLine="645"/>
        <w:spacing w:after="0" w:line="297" w:lineRule="auto"/>
        <w:tabs>
          <w:tab w:leader="none" w:pos="1632"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Company Response</w:t>
      </w:r>
      <w:r>
        <w:rPr>
          <w:rFonts w:ascii="Arial" w:cs="Arial" w:eastAsia="Arial" w:hAnsi="Arial"/>
          <w:sz w:val="19"/>
          <w:szCs w:val="19"/>
          <w:color w:val="auto"/>
        </w:rPr>
        <w:t>. The Company and the Insurer will cooperate in good faith for a period of ten (10) Business Days to negotiate any amendments to this Agreement and the Ancillary Agreements necessary to implement the terms of the Re-Pricing Offer, and to agree upon any other open items that need to be resolved (including any administrative transition issues). The Company shall deliver a written response to the Insurer either accepting or rejecting the Re-Pricing Offer within 10 Business Days following the Insurer's delivery of the Re-Pricing Offer to the Company.</w:t>
      </w:r>
    </w:p>
    <w:p>
      <w:pPr>
        <w:spacing w:after="0" w:line="187" w:lineRule="exact"/>
        <w:rPr>
          <w:rFonts w:ascii="Arial" w:cs="Arial" w:eastAsia="Arial" w:hAnsi="Arial"/>
          <w:sz w:val="19"/>
          <w:szCs w:val="19"/>
          <w:color w:val="auto"/>
        </w:rPr>
      </w:pPr>
    </w:p>
    <w:p>
      <w:pPr>
        <w:ind w:left="1624" w:hanging="975"/>
        <w:spacing w:after="0"/>
        <w:tabs>
          <w:tab w:leader="none" w:pos="1624"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Rejection of Re-Pricing Offer</w:t>
      </w:r>
      <w:r>
        <w:rPr>
          <w:rFonts w:ascii="Arial" w:cs="Arial" w:eastAsia="Arial" w:hAnsi="Arial"/>
          <w:sz w:val="19"/>
          <w:szCs w:val="19"/>
          <w:color w:val="auto"/>
        </w:rPr>
        <w:t>. If the Company rejects the Re-Pricing Offer, then this Agreement shall</w:t>
      </w:r>
    </w:p>
    <w:p>
      <w:pPr>
        <w:spacing w:after="0" w:line="56" w:lineRule="exact"/>
        <w:rPr>
          <w:sz w:val="20"/>
          <w:szCs w:val="20"/>
          <w:color w:val="auto"/>
        </w:rPr>
      </w:pPr>
    </w:p>
    <w:p>
      <w:pPr>
        <w:jc w:val="both"/>
        <w:ind w:left="4"/>
        <w:spacing w:after="0" w:line="302" w:lineRule="auto"/>
        <w:rPr>
          <w:sz w:val="20"/>
          <w:szCs w:val="20"/>
          <w:color w:val="auto"/>
        </w:rPr>
      </w:pPr>
      <w:r>
        <w:rPr>
          <w:rFonts w:ascii="Arial" w:cs="Arial" w:eastAsia="Arial" w:hAnsi="Arial"/>
          <w:sz w:val="19"/>
          <w:szCs w:val="19"/>
          <w:color w:val="auto"/>
        </w:rPr>
        <w:t>immediately terminate, and such termination will be treated in the same manner as a termination by the mutual written consent of the Company and the Insurer (and, for the avoidance of doubt, the Company shall, together with the Insurer Parent, [ *** ] (2) Business Days after the delivery of such notice of termination of this Agreement and [ *** ]).</w:t>
      </w:r>
    </w:p>
    <w:p>
      <w:pPr>
        <w:spacing w:after="0" w:line="184" w:lineRule="exact"/>
        <w:rPr>
          <w:sz w:val="20"/>
          <w:szCs w:val="20"/>
          <w:color w:val="auto"/>
        </w:rPr>
      </w:pPr>
    </w:p>
    <w:p>
      <w:pPr>
        <w:ind w:left="4" w:right="20" w:firstLine="645"/>
        <w:spacing w:after="0" w:line="263" w:lineRule="auto"/>
        <w:tabs>
          <w:tab w:leader="none" w:pos="1612"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Acceptance of Re-Pricing Offer</w:t>
      </w:r>
      <w:r>
        <w:rPr>
          <w:rFonts w:ascii="Arial" w:cs="Arial" w:eastAsia="Arial" w:hAnsi="Arial"/>
          <w:sz w:val="22"/>
          <w:szCs w:val="22"/>
          <w:color w:val="auto"/>
        </w:rPr>
        <w:t>. If the Company accepts the Re-Pricing Offer, then the following provisions will apply:</w:t>
      </w:r>
    </w:p>
    <w:p>
      <w:pPr>
        <w:spacing w:after="0" w:line="215" w:lineRule="exact"/>
        <w:rPr>
          <w:sz w:val="20"/>
          <w:szCs w:val="20"/>
          <w:color w:val="auto"/>
        </w:rPr>
      </w:pPr>
    </w:p>
    <w:p>
      <w:pPr>
        <w:jc w:val="both"/>
        <w:ind w:left="4" w:firstLine="1297"/>
        <w:spacing w:after="0" w:line="250" w:lineRule="auto"/>
        <w:rPr>
          <w:sz w:val="20"/>
          <w:szCs w:val="20"/>
          <w:color w:val="auto"/>
        </w:rPr>
      </w:pPr>
      <w:r>
        <w:rPr>
          <w:rFonts w:ascii="Arial" w:cs="Arial" w:eastAsia="Arial" w:hAnsi="Arial"/>
          <w:sz w:val="22"/>
          <w:szCs w:val="22"/>
          <w:color w:val="auto"/>
        </w:rPr>
        <w:t>(A) The Closing Date and the Annuity Commencement Date shall take place [ *** ] (other than conditions that by their nature or pursuant to the terms of this Agreement are to be satisfied at or immediately prior to the Closing, but subject to the satisfaction or, where permitted, waiver of such conditions), or such other date as mutually agreed to by the Company and the Insurer.</w:t>
      </w:r>
    </w:p>
    <w:p>
      <w:pPr>
        <w:spacing w:after="0" w:line="229" w:lineRule="exact"/>
        <w:rPr>
          <w:sz w:val="20"/>
          <w:szCs w:val="20"/>
          <w:color w:val="auto"/>
        </w:rPr>
      </w:pPr>
    </w:p>
    <w:p>
      <w:pPr>
        <w:ind w:left="2224" w:hanging="927"/>
        <w:spacing w:after="0"/>
        <w:tabs>
          <w:tab w:leader="none" w:pos="222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The Re-Pricing Offer will be used for purposes of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as if the DTFA Execution Date were</w:t>
      </w:r>
    </w:p>
    <w:p>
      <w:pPr>
        <w:spacing w:after="0" w:line="56" w:lineRule="exact"/>
        <w:rPr>
          <w:sz w:val="20"/>
          <w:szCs w:val="20"/>
          <w:color w:val="auto"/>
        </w:rPr>
      </w:pPr>
    </w:p>
    <w:p>
      <w:pPr>
        <w:ind w:left="4" w:hanging="4"/>
        <w:spacing w:after="0" w:line="246" w:lineRule="auto"/>
        <w:tabs>
          <w:tab w:leader="none" w:pos="36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 ] and all provisions of such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will apply thereafter (e.g., the Company and the Insurer will continue the practice of calculating the Dry-Run Closing Premium on a monthly basis).</w:t>
      </w:r>
    </w:p>
    <w:p>
      <w:pPr>
        <w:spacing w:after="0" w:line="233" w:lineRule="exact"/>
        <w:rPr>
          <w:sz w:val="20"/>
          <w:szCs w:val="20"/>
          <w:color w:val="auto"/>
        </w:rPr>
      </w:pPr>
    </w:p>
    <w:p>
      <w:pPr>
        <w:ind w:left="4" w:firstLine="1297"/>
        <w:spacing w:after="0" w:line="253" w:lineRule="auto"/>
        <w:rPr>
          <w:sz w:val="20"/>
          <w:szCs w:val="20"/>
          <w:color w:val="auto"/>
        </w:rPr>
      </w:pPr>
      <w:r>
        <w:rPr>
          <w:rFonts w:ascii="Arial" w:cs="Arial" w:eastAsia="Arial" w:hAnsi="Arial"/>
          <w:sz w:val="22"/>
          <w:szCs w:val="22"/>
          <w:color w:val="auto"/>
        </w:rPr>
        <w:t>(C) During the Extension Period, [ *** ] on or prior to December 31, 2012. For the avoidance of doubt, the [ *** ] will (i) upon the Closing, [ *** ] in accordance with Section 2.1(a) and (ii) upon the termination of this Agreement, [ *** ] pursuant to this Section 10.2.</w:t>
      </w:r>
    </w:p>
    <w:p>
      <w:pPr>
        <w:sectPr>
          <w:pgSz w:w="11900" w:h="16838" w:orient="portrait"/>
          <w:cols w:equalWidth="0" w:num="1">
            <w:col w:w="10764"/>
          </w:cols>
          <w:pgMar w:left="896" w:top="591" w:right="239" w:bottom="1440" w:gutter="0" w:footer="0" w:header="0"/>
        </w:sectPr>
      </w:pPr>
    </w:p>
    <w:p>
      <w:pPr>
        <w:spacing w:after="0" w:line="226" w:lineRule="exact"/>
        <w:rPr>
          <w:sz w:val="20"/>
          <w:szCs w:val="20"/>
          <w:color w:val="auto"/>
        </w:rPr>
      </w:pPr>
    </w:p>
    <w:p>
      <w:pPr>
        <w:ind w:left="1304"/>
        <w:spacing w:after="0"/>
        <w:tabs>
          <w:tab w:leader="none" w:pos="2223"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For the purpose of any calculations made from and after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 the reference to “December</w:t>
      </w:r>
    </w:p>
    <w:p>
      <w:pPr>
        <w:spacing w:after="0" w:line="56" w:lineRule="exact"/>
        <w:rPr>
          <w:sz w:val="20"/>
          <w:szCs w:val="20"/>
          <w:color w:val="auto"/>
        </w:rPr>
      </w:pPr>
    </w:p>
    <w:p>
      <w:pPr>
        <w:sectPr>
          <w:pgSz w:w="11900" w:h="16838" w:orient="portrait"/>
          <w:cols w:equalWidth="0" w:num="3">
            <w:col w:w="7224" w:space="280"/>
            <w:col w:w="320" w:space="380"/>
            <w:col w:w="2560"/>
          </w:cols>
          <w:pgMar w:left="896" w:top="591" w:right="239" w:bottom="1440" w:gutter="0" w:footer="0" w:header="0"/>
          <w:type w:val="continuous"/>
        </w:sectPr>
      </w:pPr>
    </w:p>
    <w:p>
      <w:pPr>
        <w:ind w:left="4"/>
        <w:spacing w:after="0"/>
        <w:rPr>
          <w:sz w:val="20"/>
          <w:szCs w:val="20"/>
          <w:color w:val="auto"/>
        </w:rPr>
      </w:pPr>
      <w:r>
        <w:rPr>
          <w:rFonts w:ascii="Arial" w:cs="Arial" w:eastAsia="Arial" w:hAnsi="Arial"/>
          <w:sz w:val="19"/>
          <w:szCs w:val="19"/>
          <w:color w:val="auto"/>
        </w:rPr>
        <w:t>31, 2012” in the definition of “Company MAC” will be deemed to be “[</w:t>
      </w:r>
    </w:p>
    <w:p>
      <w:pPr>
        <w:spacing w:after="0" w:line="25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764"/>
          </w:cols>
          <w:pgMar w:left="896" w:top="591" w:right="239" w:bottom="1440" w:gutter="0" w:footer="0" w:header="0"/>
          <w:type w:val="continuous"/>
        </w:sectPr>
      </w:pPr>
    </w:p>
    <w:bookmarkStart w:id="155" w:name="page156"/>
    <w:bookmarkEnd w:id="155"/>
    <w:p>
      <w:pPr>
        <w:ind w:left="660" w:hanging="4"/>
        <w:spacing w:after="0" w:line="263" w:lineRule="auto"/>
        <w:tabs>
          <w:tab w:leader="none" w:pos="137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and reference to “end of the 2012 calendar year” in the definition of “Projected RBC Ratio” will be deemed to be “[ *** ].”</w:t>
      </w:r>
    </w:p>
    <w:p>
      <w:pPr>
        <w:spacing w:after="0" w:line="215" w:lineRule="exact"/>
        <w:rPr>
          <w:rFonts w:ascii="Arial" w:cs="Arial" w:eastAsia="Arial" w:hAnsi="Arial"/>
          <w:sz w:val="22"/>
          <w:szCs w:val="22"/>
          <w:color w:val="auto"/>
        </w:rPr>
      </w:pPr>
    </w:p>
    <w:p>
      <w:pPr>
        <w:jc w:val="both"/>
        <w:ind w:left="660" w:firstLine="1293"/>
        <w:spacing w:after="0" w:line="250" w:lineRule="auto"/>
        <w:tabs>
          <w:tab w:leader="none" w:pos="2881"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Insurer shall provide to the Company and the Independent Fiduciary the Insurer's RBC Ratio as of December 31, 2012, promptly following the date by which the Insurer prepares such RBC Ratio in the normal course of its business, which is expected to be approximately March 1, 2013, and together with a reasonably detailed explanation of the material underlying assumptions used in connection therewith.</w:t>
      </w:r>
    </w:p>
    <w:p>
      <w:pPr>
        <w:spacing w:after="0" w:line="228" w:lineRule="exact"/>
        <w:rPr>
          <w:rFonts w:ascii="Arial" w:cs="Arial" w:eastAsia="Arial" w:hAnsi="Arial"/>
          <w:sz w:val="22"/>
          <w:szCs w:val="22"/>
          <w:color w:val="auto"/>
        </w:rPr>
      </w:pPr>
    </w:p>
    <w:p>
      <w:pPr>
        <w:ind w:left="660" w:firstLine="1293"/>
        <w:spacing w:after="0" w:line="263" w:lineRule="auto"/>
        <w:tabs>
          <w:tab w:leader="none" w:pos="2869" w:val="left"/>
        </w:tabs>
        <w:numPr>
          <w:ilvl w:val="1"/>
          <w:numId w:val="156"/>
        </w:numPr>
        <w:rPr>
          <w:rFonts w:ascii="Arial" w:cs="Arial" w:eastAsia="Arial" w:hAnsi="Arial"/>
          <w:sz w:val="22"/>
          <w:szCs w:val="22"/>
          <w:color w:val="auto"/>
        </w:rPr>
      </w:pPr>
      <w:r>
        <w:rPr>
          <w:rFonts w:ascii="Arial" w:cs="Arial" w:eastAsia="Arial" w:hAnsi="Arial"/>
          <w:sz w:val="22"/>
          <w:szCs w:val="22"/>
          <w:color w:val="auto"/>
        </w:rPr>
        <w:t xml:space="preserve">The Parties will negotiate in good faith to implement any amendments to this Agreement necessary to give effect to the Re-Pricing Proposal and the provisions of this </w:t>
      </w:r>
      <w:r>
        <w:rPr>
          <w:rFonts w:ascii="Arial" w:cs="Arial" w:eastAsia="Arial" w:hAnsi="Arial"/>
          <w:sz w:val="22"/>
          <w:szCs w:val="22"/>
          <w:u w:val="single" w:color="auto"/>
          <w:color w:val="auto"/>
        </w:rPr>
        <w:t>Section 10.2(d)</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left="660" w:firstLine="1293"/>
        <w:spacing w:after="0" w:line="297" w:lineRule="auto"/>
        <w:tabs>
          <w:tab w:leader="none" w:pos="2905"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The terms “RBC Actions” and “Liquidity Actions”, shall, following December 31, 2012, be eliminated from this Agreement and shall not be given effect for any purposes hereunder or under the Ancillary Documents and the Company and the Insurer shall, in connection with the negotiation of the amendments to this Agreement and the Ancillary Agreements contemplated by </w:t>
      </w:r>
      <w:r>
        <w:rPr>
          <w:rFonts w:ascii="Arial" w:cs="Arial" w:eastAsia="Arial" w:hAnsi="Arial"/>
          <w:sz w:val="19"/>
          <w:szCs w:val="19"/>
          <w:u w:val="single" w:color="auto"/>
          <w:color w:val="auto"/>
        </w:rPr>
        <w:t>Section 10.2(d)(ii)</w:t>
      </w:r>
      <w:r>
        <w:rPr>
          <w:rFonts w:ascii="Arial" w:cs="Arial" w:eastAsia="Arial" w:hAnsi="Arial"/>
          <w:sz w:val="19"/>
          <w:szCs w:val="19"/>
          <w:color w:val="auto"/>
        </w:rPr>
        <w:t>, negotiate in good faith revised definitions of “RBC Actions” and “Liquidity Actions” with such updates and revisions as the Company and the Insurer may mutually agree upon.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expressly set forth herein, each Party will bear its own costs and expenses incurred in connection with this Agreement and the transactions contemplated hereby, including all fees of law firms, commercial banks, investment banks, accountants, public relations firms, experts and consultants.</w:t>
      </w:r>
    </w:p>
    <w:p>
      <w:pPr>
        <w:spacing w:after="0" w:line="18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Ancillary Agreements, constitute the entire agreement between the Parties and supersede any prior understandings, agreements or representations (whether written or oral) by or between the Parties, written or oral, to the extent they relate in any way to the subject matter hereof. Notwithstanding the foregoing, the IF Engagement Letter shall not be superseded by this Agreement or the Ancillary Agreements.</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No amendment of any provision of this Agreement or the Ancillary Agreements will be valid unless the same will be in writing and signed by each party thereto, except as expressly provided herein. No waiver of any breach of this Agreement will be construed as an implied amendment or agreement to amend or modify any provision of this Agreement. No waiver by any Party of any default, misrepresentation or breach of warranty or covenant hereunder, whether intentional or not, will be valid unless the same will be in writing and signed by the Party making such waiver, nor will such waiver be deemed to extend to any prior or subsequent default, misrepresentation or breach of warranty or covenant hereunder or affect in any way any rights arising by virtue of any prior or subsequent default, misrepresentation or breach of warranty or covenant. No conditions, course of dealing or performance, understanding or agreement purporting to modify, vary, explain or supplement the terms or conditions of this Agreement will be binding unless this Agreement is amended or modified in writing pursuant to the first sentence of this </w:t>
      </w:r>
      <w:r>
        <w:rPr>
          <w:rFonts w:ascii="Arial" w:cs="Arial" w:eastAsia="Arial" w:hAnsi="Arial"/>
          <w:sz w:val="19"/>
          <w:szCs w:val="19"/>
          <w:u w:val="single" w:color="auto"/>
          <w:color w:val="auto"/>
        </w:rPr>
        <w:t>Section 11.3</w:t>
      </w:r>
      <w:r>
        <w:rPr>
          <w:rFonts w:ascii="Arial" w:cs="Arial" w:eastAsia="Arial" w:hAnsi="Arial"/>
          <w:sz w:val="19"/>
          <w:szCs w:val="19"/>
          <w:color w:val="auto"/>
        </w:rPr>
        <w:t>. Except where a specific period for action or inaction is provided herein, no delay on the part of any Party in exercising any right, power or privilege hereunder will operate as a waiver thereof.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91" w:right="239" w:bottom="1440" w:gutter="0" w:footer="0" w:header="0"/>
        </w:sectPr>
      </w:pPr>
    </w:p>
    <w:bookmarkStart w:id="156" w:name="page157"/>
    <w:bookmarkEnd w:id="156"/>
    <w:p>
      <w:pPr>
        <w:jc w:val="both"/>
        <w:ind w:firstLine="648"/>
        <w:spacing w:after="0" w:line="253"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Succession and Assignment</w:t>
      </w:r>
      <w:r>
        <w:rPr>
          <w:rFonts w:ascii="Arial" w:cs="Arial" w:eastAsia="Arial" w:hAnsi="Arial"/>
          <w:sz w:val="22"/>
          <w:szCs w:val="22"/>
          <w:color w:val="auto"/>
        </w:rPr>
        <w:t>. This Agreement will be binding upon and inure to the benefit of the Parties and their respective successors and permitted assigns. No Party may assign either this Agreement or any of its rights, interests or obligations hereunder without the prior written consent of the other Parties.</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claims, certifications and other communications hereunder will be in writing except as expressly provided herein. Any notice, request, demand, claim or other communication hereunder will be deemed duly given (</w:t>
      </w:r>
      <w:r>
        <w:rPr>
          <w:rFonts w:ascii="Arial" w:cs="Arial" w:eastAsia="Arial" w:hAnsi="Arial"/>
          <w:sz w:val="22"/>
          <w:szCs w:val="22"/>
          <w:u w:val="single" w:color="auto"/>
          <w:color w:val="auto"/>
        </w:rPr>
        <w:t>i</w:t>
      </w:r>
      <w:r>
        <w:rPr>
          <w:rFonts w:ascii="Arial" w:cs="Arial" w:eastAsia="Arial" w:hAnsi="Arial"/>
          <w:sz w:val="22"/>
          <w:szCs w:val="22"/>
          <w:color w:val="auto"/>
        </w:rPr>
        <w:t>) when delivered personally to the recipient; (</w:t>
      </w:r>
      <w:r>
        <w:rPr>
          <w:rFonts w:ascii="Arial" w:cs="Arial" w:eastAsia="Arial" w:hAnsi="Arial"/>
          <w:sz w:val="22"/>
          <w:szCs w:val="22"/>
          <w:u w:val="single" w:color="auto"/>
          <w:color w:val="auto"/>
        </w:rPr>
        <w:t>ii</w:t>
      </w:r>
      <w:r>
        <w:rPr>
          <w:rFonts w:ascii="Arial" w:cs="Arial" w:eastAsia="Arial" w:hAnsi="Arial"/>
          <w:sz w:val="22"/>
          <w:szCs w:val="22"/>
          <w:color w:val="auto"/>
        </w:rPr>
        <w:t>) one (1) Business Day after being sent to the recipient by reputable overnight courier service (charges prepaid), addressed as set forth below; or (iii) when transmitted, if transmitted by facsimile, with confirmation of successful transmission received by the sender, with copies provided by email, if any, to those indicated below (including the recipient):</w:t>
      </w:r>
    </w:p>
    <w:p>
      <w:pPr>
        <w:spacing w:after="0" w:line="342" w:lineRule="exact"/>
        <w:rPr>
          <w:sz w:val="20"/>
          <w:szCs w:val="20"/>
          <w:color w:val="auto"/>
        </w:rPr>
      </w:pPr>
    </w:p>
    <w:p>
      <w:pPr>
        <w:ind w:left="4720"/>
        <w:spacing w:after="0"/>
        <w:tabs>
          <w:tab w:leader="none" w:pos="650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General Motors LLC</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300 Renaissance Center</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Detroit, MI 48265</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Attention: Director, Pensions Funding,</w:t>
      </w:r>
    </w:p>
    <w:p>
      <w:pPr>
        <w:spacing w:after="0" w:line="44"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Treasurer's Office</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Email: alfred.kibe@gm.com</w:t>
      </w:r>
    </w:p>
    <w:p>
      <w:pPr>
        <w:spacing w:after="0" w:line="36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With a copy (which will not constitute</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notice to the Company) to:</w:t>
      </w:r>
    </w:p>
    <w:p>
      <w:pPr>
        <w:spacing w:after="0" w:line="36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General Motors LLC</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300 Renaissance Center</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Detroit, MI 48265</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Attention: Associate General Counsel --</w:t>
      </w:r>
    </w:p>
    <w:p>
      <w:pPr>
        <w:spacing w:after="0" w:line="44" w:lineRule="exact"/>
        <w:rPr>
          <w:sz w:val="20"/>
          <w:szCs w:val="20"/>
          <w:color w:val="auto"/>
        </w:rPr>
      </w:pPr>
    </w:p>
    <w:p>
      <w:pPr>
        <w:ind w:left="7660"/>
        <w:spacing w:after="0"/>
        <w:rPr>
          <w:sz w:val="20"/>
          <w:szCs w:val="20"/>
          <w:color w:val="auto"/>
        </w:rPr>
      </w:pPr>
      <w:r>
        <w:rPr>
          <w:rFonts w:ascii="Arial" w:cs="Arial" w:eastAsia="Arial" w:hAnsi="Arial"/>
          <w:sz w:val="22"/>
          <w:szCs w:val="22"/>
          <w:color w:val="auto"/>
        </w:rPr>
        <w:t>Manufacturing and Labor</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Relations</w:t>
      </w:r>
    </w:p>
    <w:p>
      <w:pPr>
        <w:spacing w:after="0" w:line="26"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Email: francis.s.jaworski@gm.com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If to Insurer Parent: Prudential Financial, Inc.</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280 Trumbull Street</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One Commercial Plaza</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Hartford, CT 06103</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Attention: Phil Waldeck</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Facsimile: (860) 534-2614</w:t>
      </w:r>
    </w:p>
    <w:p>
      <w:pPr>
        <w:spacing w:after="0" w:line="36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With a copy (which will not constitute</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notice to the Insurer Parent) to:</w:t>
      </w:r>
    </w:p>
    <w:p>
      <w:pPr>
        <w:spacing w:after="0" w:line="36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Debevoise &amp; Plimpton LLP</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919 Third Avenue</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New York, NY 10022</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Attention: Nicholas Potter</w:t>
      </w:r>
    </w:p>
    <w:p>
      <w:pPr>
        <w:spacing w:after="0" w:line="44" w:lineRule="exact"/>
        <w:rPr>
          <w:sz w:val="20"/>
          <w:szCs w:val="20"/>
          <w:color w:val="auto"/>
        </w:rPr>
      </w:pPr>
    </w:p>
    <w:p>
      <w:pPr>
        <w:ind w:left="7660"/>
        <w:spacing w:after="0"/>
        <w:rPr>
          <w:sz w:val="20"/>
          <w:szCs w:val="20"/>
          <w:color w:val="auto"/>
        </w:rPr>
      </w:pPr>
      <w:r>
        <w:rPr>
          <w:rFonts w:ascii="Arial" w:cs="Arial" w:eastAsia="Arial" w:hAnsi="Arial"/>
          <w:sz w:val="22"/>
          <w:szCs w:val="22"/>
          <w:color w:val="auto"/>
        </w:rPr>
        <w:t>Sarah Fitts</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Email: nfpotter@debevoise.com</w:t>
      </w:r>
    </w:p>
    <w:p>
      <w:pPr>
        <w:spacing w:after="0" w:line="44"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sawfitts@debevoise.com</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91" w:right="239" w:bottom="1440" w:gutter="0" w:footer="0" w:header="0"/>
          <w:type w:val="continuous"/>
        </w:sectPr>
      </w:pPr>
    </w:p>
    <w:bookmarkStart w:id="157" w:name="page158"/>
    <w:bookmarkEnd w:id="157"/>
    <w:p>
      <w:pPr>
        <w:ind w:left="4720"/>
        <w:spacing w:after="0"/>
        <w:tabs>
          <w:tab w:leader="none" w:pos="6500" w:val="left"/>
        </w:tabs>
        <w:rPr>
          <w:sz w:val="20"/>
          <w:szCs w:val="20"/>
          <w:color w:val="auto"/>
        </w:rPr>
      </w:pPr>
      <w:r>
        <w:rPr>
          <w:rFonts w:ascii="Arial" w:cs="Arial" w:eastAsia="Arial" w:hAnsi="Arial"/>
          <w:sz w:val="22"/>
          <w:szCs w:val="22"/>
          <w:color w:val="auto"/>
        </w:rPr>
        <w:t>If to the Insurer:</w:t>
      </w:r>
      <w:r>
        <w:rPr>
          <w:sz w:val="20"/>
          <w:szCs w:val="20"/>
          <w:color w:val="auto"/>
        </w:rPr>
        <w:tab/>
      </w:r>
      <w:r>
        <w:rPr>
          <w:rFonts w:ascii="Arial" w:cs="Arial" w:eastAsia="Arial" w:hAnsi="Arial"/>
          <w:sz w:val="19"/>
          <w:szCs w:val="19"/>
          <w:color w:val="auto"/>
        </w:rPr>
        <w:t>Prudential Insurance Company of America</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200 Wood Avenue South</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Iselin, NJ 08830</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Attention: Dylan Tyson</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Facsimile: (732) 482-6878</w:t>
      </w:r>
    </w:p>
    <w:p>
      <w:pPr>
        <w:spacing w:after="0" w:line="36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With a copy (which will not constitute</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notice to the Insurer) to:</w:t>
      </w:r>
    </w:p>
    <w:p>
      <w:pPr>
        <w:spacing w:after="0" w:line="36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Debevoise &amp; Plimpton LLP</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919 Third Avenue</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New York, NY 10022</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Attention: Nicholas Potter</w:t>
      </w:r>
    </w:p>
    <w:p>
      <w:pPr>
        <w:spacing w:after="0" w:line="44" w:lineRule="exact"/>
        <w:rPr>
          <w:sz w:val="20"/>
          <w:szCs w:val="20"/>
          <w:color w:val="auto"/>
        </w:rPr>
      </w:pPr>
    </w:p>
    <w:p>
      <w:pPr>
        <w:ind w:left="7660"/>
        <w:spacing w:after="0"/>
        <w:rPr>
          <w:sz w:val="20"/>
          <w:szCs w:val="20"/>
          <w:color w:val="auto"/>
        </w:rPr>
      </w:pPr>
      <w:r>
        <w:rPr>
          <w:rFonts w:ascii="Arial" w:cs="Arial" w:eastAsia="Arial" w:hAnsi="Arial"/>
          <w:sz w:val="22"/>
          <w:szCs w:val="22"/>
          <w:color w:val="auto"/>
        </w:rPr>
        <w:t>Sarah Fitts</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Email: nfpotter@debevoise.com</w:t>
      </w:r>
    </w:p>
    <w:p>
      <w:pPr>
        <w:spacing w:after="0" w:line="44"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sawfitts@debevoise.com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If to Independent</w:t>
      </w:r>
    </w:p>
    <w:p>
      <w:pPr>
        <w:spacing w:after="0" w:line="8" w:lineRule="exact"/>
        <w:rPr>
          <w:sz w:val="20"/>
          <w:szCs w:val="20"/>
          <w:color w:val="auto"/>
        </w:rPr>
      </w:pPr>
    </w:p>
    <w:p>
      <w:pPr>
        <w:ind w:left="4720"/>
        <w:spacing w:after="0"/>
        <w:tabs>
          <w:tab w:leader="none" w:pos="6500" w:val="left"/>
        </w:tabs>
        <w:rPr>
          <w:sz w:val="20"/>
          <w:szCs w:val="20"/>
          <w:color w:val="auto"/>
        </w:rPr>
      </w:pPr>
      <w:r>
        <w:rPr>
          <w:rFonts w:ascii="Arial" w:cs="Arial" w:eastAsia="Arial" w:hAnsi="Arial"/>
          <w:sz w:val="22"/>
          <w:szCs w:val="22"/>
          <w:color w:val="auto"/>
        </w:rPr>
        <w:t>Fiduciary:</w:t>
      </w:r>
      <w:r>
        <w:rPr>
          <w:sz w:val="20"/>
          <w:szCs w:val="20"/>
          <w:color w:val="auto"/>
        </w:rPr>
        <w:tab/>
      </w:r>
      <w:r>
        <w:rPr>
          <w:rFonts w:ascii="Arial" w:cs="Arial" w:eastAsia="Arial" w:hAnsi="Arial"/>
          <w:sz w:val="22"/>
          <w:szCs w:val="22"/>
          <w:color w:val="auto"/>
        </w:rPr>
        <w:t>State Street Global Advisors</w:t>
      </w:r>
    </w:p>
    <w:p>
      <w:pPr>
        <w:spacing w:after="0" w:line="26"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One Lincoln Street</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Boston, MA 02111</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Attention: Denise Sisk, Managing Director</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Email: denise_sisk@ssga.com</w:t>
      </w:r>
    </w:p>
    <w:p>
      <w:pPr>
        <w:spacing w:after="0" w:line="36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With a copy (which will not constitute</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notice to the Independent Fiduciary) to:</w:t>
      </w:r>
    </w:p>
    <w:p>
      <w:pPr>
        <w:spacing w:after="0" w:line="36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K&amp;L Gates LLP</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K&amp;L Gates Center</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210 Sixth Avenue</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Pittsburgh, PA 15222</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Attention: Charles R. Smith</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Email: charles.smith@klgates.com</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 xml:space="preserve">Any Party may change the address to which notices, requests, demands, claims and other communications hereunder are to be delivered by giving the other Parties notice in the manner set forth in this </w:t>
      </w:r>
      <w:r>
        <w:rPr>
          <w:rFonts w:ascii="Arial" w:cs="Arial" w:eastAsia="Arial" w:hAnsi="Arial"/>
          <w:sz w:val="22"/>
          <w:szCs w:val="22"/>
          <w:u w:val="single" w:color="auto"/>
          <w:color w:val="auto"/>
        </w:rPr>
        <w:t>Section 11.5</w:t>
      </w:r>
      <w:r>
        <w:rPr>
          <w:rFonts w:ascii="Arial" w:cs="Arial" w:eastAsia="Arial" w:hAnsi="Arial"/>
          <w:sz w:val="22"/>
          <w:szCs w:val="22"/>
          <w:color w:val="auto"/>
        </w:rPr>
        <w:t>.</w:t>
      </w:r>
    </w:p>
    <w:p>
      <w:pPr>
        <w:spacing w:after="0" w:line="391"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u w:val="single" w:color="auto"/>
          <w:color w:val="auto"/>
        </w:rPr>
        <w:t>Governing Law</w:t>
      </w:r>
      <w:r>
        <w:rPr>
          <w:rFonts w:ascii="Arial" w:cs="Arial" w:eastAsia="Arial" w:hAnsi="Arial"/>
          <w:sz w:val="19"/>
          <w:szCs w:val="19"/>
          <w:color w:val="auto"/>
        </w:rPr>
        <w:t>. Except to the extent preempted by applicable Federal Law, this Agreement will be governed by, and construed in accordance with, the Laws of the State of New York, without regard to any principles of conflicts of law thereof that are not mandatorily applicable by Law and would permit or require the application of the Laws of another jurisdiction.</w:t>
      </w:r>
    </w:p>
    <w:p>
      <w:pPr>
        <w:spacing w:after="0" w:line="1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11.7</w:t>
      </w:r>
      <w:r>
        <w:rPr>
          <w:sz w:val="20"/>
          <w:szCs w:val="20"/>
          <w:color w:val="auto"/>
        </w:rPr>
        <w:tab/>
      </w:r>
      <w:r>
        <w:rPr>
          <w:rFonts w:ascii="Arial" w:cs="Arial" w:eastAsia="Arial" w:hAnsi="Arial"/>
          <w:sz w:val="19"/>
          <w:szCs w:val="19"/>
          <w:u w:val="single" w:color="auto"/>
          <w:color w:val="auto"/>
        </w:rPr>
        <w:t>Submission to Jurisdiction; Service of Process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60" w:lineRule="auto"/>
        <w:tabs>
          <w:tab w:leader="none" w:pos="1496" w:val="left"/>
        </w:tabs>
        <w:numPr>
          <w:ilvl w:val="0"/>
          <w:numId w:val="157"/>
        </w:numPr>
        <w:rPr>
          <w:rFonts w:ascii="Arial" w:cs="Arial" w:eastAsia="Arial" w:hAnsi="Arial"/>
          <w:sz w:val="18"/>
          <w:szCs w:val="18"/>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2.12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6.6</w:t>
      </w:r>
      <w:r>
        <w:rPr>
          <w:rFonts w:ascii="Arial" w:cs="Arial" w:eastAsia="Arial" w:hAnsi="Arial"/>
          <w:sz w:val="22"/>
          <w:szCs w:val="22"/>
          <w:color w:val="auto"/>
        </w:rPr>
        <w:t>, each of the Parties irrevocably and unconditionally submits to the jurisdiction of any state or federal court, and only federal court if diversity of Parties exists, sitting in New York County, New York in any Dispute arising out of or relating to this Agreement or any Ancillary</w:t>
      </w:r>
    </w:p>
    <w:p>
      <w:pPr>
        <w:sectPr>
          <w:pgSz w:w="11900" w:h="16838" w:orient="portrait"/>
          <w:cols w:equalWidth="0" w:num="1">
            <w:col w:w="11420"/>
          </w:cols>
          <w:pgMar w:left="240" w:top="955" w:right="239" w:bottom="866"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955" w:right="239" w:bottom="866" w:gutter="0" w:footer="0" w:header="0"/>
          <w:type w:val="continuous"/>
        </w:sectPr>
      </w:pPr>
    </w:p>
    <w:bookmarkStart w:id="158" w:name="page159"/>
    <w:bookmarkEnd w:id="158"/>
    <w:p>
      <w:pPr>
        <w:jc w:val="both"/>
        <w:spacing w:after="0" w:line="246" w:lineRule="auto"/>
        <w:rPr>
          <w:sz w:val="20"/>
          <w:szCs w:val="20"/>
          <w:color w:val="auto"/>
        </w:rPr>
      </w:pPr>
      <w:r>
        <w:rPr>
          <w:rFonts w:ascii="Arial" w:cs="Arial" w:eastAsia="Arial" w:hAnsi="Arial"/>
          <w:sz w:val="22"/>
          <w:szCs w:val="22"/>
          <w:color w:val="auto"/>
        </w:rPr>
        <w:t xml:space="preserve">Agreement and agrees that all claims in respect of such Action may be heard and determined in any such court. Each Party also agrees not to bring any Action arising out of or relating to this Agreement or any Ancillary Agreement in any other court. Each of the Parties irrevocably and unconditionally waives any objection to personal jurisdiction, venue, and any defense of inconvenient forum to the maintenance of, any Action so brought 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w:t>
      </w:r>
      <w:r>
        <w:rPr>
          <w:rFonts w:ascii="Arial" w:cs="Arial" w:eastAsia="Arial" w:hAnsi="Arial"/>
          <w:sz w:val="22"/>
          <w:szCs w:val="22"/>
          <w:u w:val="single" w:color="auto"/>
          <w:color w:val="auto"/>
        </w:rPr>
        <w:t>Section 11.5</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nothing in this </w:t>
      </w:r>
      <w:r>
        <w:rPr>
          <w:rFonts w:ascii="Arial" w:cs="Arial" w:eastAsia="Arial" w:hAnsi="Arial"/>
          <w:sz w:val="22"/>
          <w:szCs w:val="22"/>
          <w:u w:val="single" w:color="auto"/>
          <w:color w:val="auto"/>
        </w:rPr>
        <w:t>Section 11.7</w:t>
      </w:r>
      <w:r>
        <w:rPr>
          <w:rFonts w:ascii="Arial" w:cs="Arial" w:eastAsia="Arial" w:hAnsi="Arial"/>
          <w:sz w:val="22"/>
          <w:szCs w:val="22"/>
          <w:color w:val="auto"/>
        </w:rPr>
        <w:t xml:space="preserve"> will affect the right of any Party to serve legal process in any other manner permitted by Law or in equity.</w:t>
      </w:r>
    </w:p>
    <w:p>
      <w:pPr>
        <w:spacing w:after="0" w:line="235" w:lineRule="exact"/>
        <w:rPr>
          <w:sz w:val="20"/>
          <w:szCs w:val="20"/>
          <w:color w:val="auto"/>
        </w:rPr>
      </w:pPr>
    </w:p>
    <w:p>
      <w:pPr>
        <w:jc w:val="both"/>
        <w:ind w:firstLine="656"/>
        <w:spacing w:after="0" w:line="287" w:lineRule="auto"/>
        <w:tabs>
          <w:tab w:leader="none" w:pos="1506" w:val="left"/>
        </w:tabs>
        <w:numPr>
          <w:ilvl w:val="0"/>
          <w:numId w:val="158"/>
        </w:numPr>
        <w:rPr>
          <w:rFonts w:ascii="Arial" w:cs="Arial" w:eastAsia="Arial" w:hAnsi="Arial"/>
          <w:sz w:val="16"/>
          <w:szCs w:val="16"/>
          <w:color w:val="auto"/>
        </w:rPr>
      </w:pPr>
      <w:r>
        <w:rPr>
          <w:rFonts w:ascii="Arial" w:cs="Arial" w:eastAsia="Arial" w:hAnsi="Arial"/>
          <w:sz w:val="19"/>
          <w:szCs w:val="19"/>
          <w:color w:val="auto"/>
        </w:rPr>
        <w:t xml:space="preserve">Notwithstanding anything to the contrary set forth herein, the Parties acknowledge and agree that in the course of any Action including any dispute resolution process pursuant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6.6</w:t>
      </w:r>
      <w:r>
        <w:rPr>
          <w:rFonts w:ascii="Arial" w:cs="Arial" w:eastAsia="Arial" w:hAnsi="Arial"/>
          <w:sz w:val="19"/>
          <w:szCs w:val="19"/>
          <w:color w:val="auto"/>
        </w:rPr>
        <w:t xml:space="preserve">, if the Insurer or the Independent Third Party produces or otherwise disclose the Life-By-Life Information, or information from which Life-By-Life Information may be derived, to the Company, the Independent Fiduciary or their respective Affiliates or Representatives, the Company and the Independent Fiduciary shall consent to the filing of, and the Parties shall use their all reasonable efforts to move for and urge the court to adopt, a protective order implementing terms reasonably satisfactory to the Insurer to limit the disclosure of such Insurer Provided Life-by-Life Information and ensure the strictly confidential treatment thereof, including requiring such Insurer Provided Life-by-Life Information to be submitted under seal and for the return and destruction of such Insurer Provided Life-by-Life Information or copies thereof following the conclusion of any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case will the Company be required to take any steps that would compromise the ability of the Company to prosecute or defend the Action or otherwise prejudice the Company's position (including any restrictions on the ability of Company experts to review, access and analyze any materials that the Company determines are relevant to such prosecution or defense);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Company and the Independent Fiduciary agree that it will not be considered unreasonable for the Insurer to seek a protective order that prevents disclosure of such information in such a way that it would be reasonably likely to become available to competitors of the Insurer or other third parties not involved in any such Action.</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11.8 </w:t>
      </w:r>
      <w:r>
        <w:rPr>
          <w:rFonts w:ascii="Arial" w:cs="Arial" w:eastAsia="Arial" w:hAnsi="Arial"/>
          <w:sz w:val="22"/>
          <w:szCs w:val="22"/>
          <w:u w:val="single" w:color="auto"/>
          <w:color w:val="auto"/>
        </w:rPr>
        <w:t>Waivers of Jury Trial</w:t>
      </w:r>
      <w:r>
        <w:rPr>
          <w:rFonts w:ascii="Arial" w:cs="Arial" w:eastAsia="Arial" w:hAnsi="Arial"/>
          <w:sz w:val="22"/>
          <w:szCs w:val="22"/>
          <w:color w:val="auto"/>
        </w:rPr>
        <w:t>. EACH PARTY IRREVOCABLY AND UNCONDITIONALLY WAIVES ANY RIGHT IT MAY HAVE TO A TRIAL BY JURY IN RESPECT OF ANY ACTION DIRECTLY OR INDIRECTLY ARISING OUT OF, UNDER OR IN CONNECTION WITH THIS AGREEMENT, THE ANCILLARY AGREEMENTS OR THE TRANSACTIONS CONTEMPLATED BY THIS AGREEMENT, INCLUDING THE STANDARD TERMINATION AND THE LUMP-SUM SOLICITATION.</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11.9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agree that irreparable damage would occur if any of the provisions of this Agreement were not performed in accordance with their specific terms or were otherwise breached. Accordingly, each Party will be entitled to an injunction or injunctions to prevent breaches of this Agreement by the breaching Party and to enforce specifically the terms and provisions of this Agreement, in addition to any other remedy to which such Party is entitled at law or in equity. The Parties further agree that (</w:t>
      </w:r>
      <w:r>
        <w:rPr>
          <w:rFonts w:ascii="Arial" w:cs="Arial" w:eastAsia="Arial" w:hAnsi="Arial"/>
          <w:sz w:val="19"/>
          <w:szCs w:val="19"/>
          <w:u w:val="single" w:color="auto"/>
          <w:color w:val="auto"/>
        </w:rPr>
        <w:t>a</w:t>
      </w:r>
      <w:r>
        <w:rPr>
          <w:rFonts w:ascii="Arial" w:cs="Arial" w:eastAsia="Arial" w:hAnsi="Arial"/>
          <w:sz w:val="19"/>
          <w:szCs w:val="19"/>
          <w:color w:val="auto"/>
        </w:rPr>
        <w:t xml:space="preserve">) by seeking the remedies provided for in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a Party will not in any respect waive its right to seek any other form of relief that may be available to such Party under this Agreement (including monetary damages) if the remedies provided for in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are not available or otherwise are not granted,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nothing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11.9</w:t>
      </w:r>
      <w:r>
        <w:rPr>
          <w:rFonts w:ascii="Arial" w:cs="Arial" w:eastAsia="Arial" w:hAnsi="Arial"/>
          <w:sz w:val="19"/>
          <w:szCs w:val="19"/>
          <w:color w:val="auto"/>
        </w:rPr>
        <w:t xml:space="preserve"> will require any Party hereto to institute any proceeding for (or limit any Party's right to institute any proceeding for) specific performance under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prior or as a condition to exercising any termination right under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X (or receipt of any amounts due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nor will the commencement of any legal action or legal proceeding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11.9</w:t>
      </w:r>
      <w:r>
        <w:rPr>
          <w:rFonts w:ascii="Arial" w:cs="Arial" w:eastAsia="Arial" w:hAnsi="Arial"/>
          <w:sz w:val="19"/>
          <w:szCs w:val="19"/>
          <w:color w:val="auto"/>
        </w:rPr>
        <w:t xml:space="preserve"> or anything set forth in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restrict or limit any Party's right to terminate this Agreement in accordance with the terms of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X, or pursue any other remedies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91"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under this Agreement that may be available then or thereafter.</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will not affect the validity or enforceability of any other provisions of this Agreement. If any of the provisions of this Agreement are be held by a court or other tribunal of competent jurisdiction to be illegal, invalid or unenforceable, such provisions will be limited or eliminated only to the minimum extent necessary so that this Agreement will otherwise remain in full force and effect. If any of the material provisions of this Agreement are held illegal, invalid or unenforceable, this entire Agreement shall be null and void; provided that the Parties shall seek to reform any such provisions to the greatest extent practicable to restore the original meaning, intent and application of such provisions and shall restore this Agreement to the extent they are able to replicate its terms and conditions in all material respects.</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xml:space="preserve">. Except to the extent otherwise provided 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with respect to Indemnified Parties, this Agreement will not confer any rights or remedies upon any Person other than the Parties and the respective successors and permitted assigns of the foregoing.</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u w:val="single" w:color="auto"/>
          <w:color w:val="auto"/>
        </w:rPr>
        <w:t>Counterparts; Facsimile and Electronic Signatures</w:t>
      </w:r>
      <w:r>
        <w:rPr>
          <w:rFonts w:ascii="Arial" w:cs="Arial" w:eastAsia="Arial" w:hAnsi="Arial"/>
          <w:sz w:val="22"/>
          <w:szCs w:val="22"/>
          <w:color w:val="auto"/>
        </w:rPr>
        <w:t xml:space="preserve">. This Agreement may be executed in one or more counterparts, each of which will be deemed an original but all of which together will constitute one and the same instrument. This Agreement or any counterpart may be executed and delivered to the recipients in </w:t>
      </w:r>
      <w:r>
        <w:rPr>
          <w:rFonts w:ascii="Arial" w:cs="Arial" w:eastAsia="Arial" w:hAnsi="Arial"/>
          <w:sz w:val="22"/>
          <w:szCs w:val="22"/>
          <w:u w:val="single" w:color="auto"/>
          <w:color w:val="auto"/>
        </w:rPr>
        <w:t>Section 11.5</w:t>
      </w:r>
      <w:r>
        <w:rPr>
          <w:rFonts w:ascii="Arial" w:cs="Arial" w:eastAsia="Arial" w:hAnsi="Arial"/>
          <w:sz w:val="22"/>
          <w:szCs w:val="22"/>
          <w:color w:val="auto"/>
        </w:rPr>
        <w:t xml:space="preserve"> by electronic communications by portable document format (.pdf), each of which will be deemed an original.</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11.13</w:t>
      </w:r>
      <w:r>
        <w:rPr>
          <w:sz w:val="20"/>
          <w:szCs w:val="20"/>
          <w:color w:val="auto"/>
        </w:rPr>
        <w:tab/>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w:t>
      </w:r>
    </w:p>
    <w:p>
      <w:pPr>
        <w:spacing w:after="0" w:line="260" w:lineRule="exact"/>
        <w:rPr>
          <w:sz w:val="20"/>
          <w:szCs w:val="20"/>
          <w:color w:val="auto"/>
        </w:rPr>
      </w:pPr>
    </w:p>
    <w:p>
      <w:pPr>
        <w:ind w:firstLine="656"/>
        <w:spacing w:after="0" w:line="343" w:lineRule="auto"/>
        <w:tabs>
          <w:tab w:leader="none" w:pos="1185"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representations and warranties of the Parties will survive the Closing until the expiry of the relevant statute of limitations for contractual claims under the Laws of the State of New York as contemplated by </w:t>
      </w:r>
      <w:r>
        <w:rPr>
          <w:rFonts w:ascii="Arial" w:cs="Arial" w:eastAsia="Arial" w:hAnsi="Arial"/>
          <w:sz w:val="19"/>
          <w:szCs w:val="19"/>
          <w:u w:val="single" w:color="auto"/>
          <w:color w:val="auto"/>
        </w:rPr>
        <w:t>Section 11.6</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jc w:val="both"/>
        <w:ind w:firstLine="656"/>
        <w:spacing w:after="0" w:line="253" w:lineRule="auto"/>
        <w:tabs>
          <w:tab w:leader="none" w:pos="1346"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xml:space="preserve">. The Parties acknowledge that, except in the case of fraud or deliberate and intentional misrepresentations, after the Closing the sole and exclusive remedy of the Parties to address any Arbitration Dispute, shall be as set forth in </w:t>
      </w:r>
      <w:r>
        <w:rPr>
          <w:rFonts w:ascii="Arial" w:cs="Arial" w:eastAsia="Arial" w:hAnsi="Arial"/>
          <w:sz w:val="22"/>
          <w:szCs w:val="22"/>
          <w:u w:val="single" w:color="auto"/>
          <w:color w:val="auto"/>
        </w:rPr>
        <w:t>Sections 2.10</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2.19</w:t>
      </w:r>
      <w:r>
        <w:rPr>
          <w:rFonts w:ascii="Arial" w:cs="Arial" w:eastAsia="Arial" w:hAnsi="Arial"/>
          <w:sz w:val="22"/>
          <w:szCs w:val="22"/>
          <w:color w:val="auto"/>
        </w:rPr>
        <w:t xml:space="preserve">, </w:t>
      </w:r>
      <w:r>
        <w:rPr>
          <w:rFonts w:ascii="Arial" w:cs="Arial" w:eastAsia="Arial" w:hAnsi="Arial"/>
          <w:sz w:val="22"/>
          <w:szCs w:val="22"/>
          <w:u w:val="single" w:color="auto"/>
          <w:color w:val="auto"/>
        </w:rPr>
        <w:t>2.21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2.23</w:t>
      </w:r>
      <w:r>
        <w:rPr>
          <w:rFonts w:ascii="Arial" w:cs="Arial" w:eastAsia="Arial" w:hAnsi="Arial"/>
          <w:sz w:val="22"/>
          <w:szCs w:val="22"/>
          <w:color w:val="auto"/>
        </w:rPr>
        <w:t>.</w:t>
      </w:r>
    </w:p>
    <w:p>
      <w:pPr>
        <w:spacing w:after="0" w:line="18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11.14</w:t>
      </w:r>
      <w:r>
        <w:rPr>
          <w:sz w:val="20"/>
          <w:szCs w:val="20"/>
          <w:color w:val="auto"/>
        </w:rPr>
        <w:tab/>
      </w:r>
      <w:r>
        <w:rPr>
          <w:rFonts w:ascii="Arial" w:cs="Arial" w:eastAsia="Arial" w:hAnsi="Arial"/>
          <w:sz w:val="19"/>
          <w:szCs w:val="19"/>
          <w:u w:val="single" w:color="auto"/>
          <w:color w:val="auto"/>
        </w:rPr>
        <w:t>Confidentiality; Intellectual Property</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58" w:lineRule="auto"/>
        <w:tabs>
          <w:tab w:leader="none" w:pos="1235"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It is understood that each Party has received and will receive Confidential Information from the other Parties in connection with the negotiation of this Agreement and the Ancillary Agreements as well as in previous discussions and interactions involving the matters addressed by this Agreement and the Ancillary Agreements. Except as set forth herein (including except as expressly permitted or contemplated by the other provisions of this Agreement), the Parties shall not use the Confidential Information of another disclosing Party except in connection with the performance of their respective obligations under this Agreement and shall not disclose (and shall cause their respective Representatives, Affiliates, and Affiliates' Representatives not to disclose) any Confidential Information received from another Party, the Independent Third Party or an Approved Firm, except to such receiving Party's Representatives, Affiliates, and Affiliates' Representatives, who have a need to know and have agreed to maintain the confidentiality of Confidential Information in accordance with this </w:t>
      </w:r>
      <w:r>
        <w:rPr>
          <w:rFonts w:ascii="Arial" w:cs="Arial" w:eastAsia="Arial" w:hAnsi="Arial"/>
          <w:sz w:val="21"/>
          <w:szCs w:val="21"/>
          <w:u w:val="single" w:color="auto"/>
          <w:color w:val="auto"/>
        </w:rPr>
        <w:t>Section 11.14</w:t>
      </w:r>
      <w:r>
        <w:rPr>
          <w:rFonts w:ascii="Arial" w:cs="Arial" w:eastAsia="Arial" w:hAnsi="Arial"/>
          <w:sz w:val="21"/>
          <w:szCs w:val="21"/>
          <w:color w:val="auto"/>
        </w:rPr>
        <w:t>; the disclosing Party is and shall be an express third party beneficiary of such agreement by such receiving Party's Representatives, Affiliates, and Affiliates' Representatives.</w:t>
      </w:r>
    </w:p>
    <w:p>
      <w:pPr>
        <w:spacing w:after="0" w:line="223" w:lineRule="exact"/>
        <w:rPr>
          <w:rFonts w:ascii="Arial" w:cs="Arial" w:eastAsia="Arial" w:hAnsi="Arial"/>
          <w:sz w:val="21"/>
          <w:szCs w:val="21"/>
          <w:color w:val="auto"/>
        </w:rPr>
      </w:pPr>
    </w:p>
    <w:p>
      <w:pPr>
        <w:ind w:left="1120" w:hanging="464"/>
        <w:spacing w:after="0"/>
        <w:tabs>
          <w:tab w:leader="none" w:pos="112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Section 11.14(a)</w:t>
      </w:r>
      <w:r>
        <w:rPr>
          <w:rFonts w:ascii="Arial" w:cs="Arial" w:eastAsia="Arial" w:hAnsi="Arial"/>
          <w:sz w:val="22"/>
          <w:szCs w:val="22"/>
          <w:color w:val="auto"/>
        </w:rPr>
        <w:t xml:space="preserve"> shall not apply with respect to Confidential Information that the receiving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91" w:right="2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Party can demonstrate is or was:</w:t>
      </w:r>
    </w:p>
    <w:p>
      <w:pPr>
        <w:spacing w:after="0" w:line="260" w:lineRule="exact"/>
        <w:rPr>
          <w:sz w:val="20"/>
          <w:szCs w:val="20"/>
          <w:color w:val="auto"/>
        </w:rPr>
      </w:pPr>
    </w:p>
    <w:p>
      <w:pPr>
        <w:ind w:left="660" w:firstLine="645"/>
        <w:spacing w:after="0" w:line="263" w:lineRule="auto"/>
        <w:tabs>
          <w:tab w:leader="none" w:pos="216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already known to such Party or its Affiliates prior to the confidential disclosure by the disclosing Party, the Independent Third Party or an Approved Firm;</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2221" w:val="left"/>
        </w:tabs>
        <w:numPr>
          <w:ilvl w:val="1"/>
          <w:numId w:val="161"/>
        </w:numPr>
        <w:rPr>
          <w:rFonts w:ascii="Arial" w:cs="Arial" w:eastAsia="Arial" w:hAnsi="Arial"/>
          <w:sz w:val="22"/>
          <w:szCs w:val="22"/>
          <w:color w:val="auto"/>
        </w:rPr>
      </w:pPr>
      <w:r>
        <w:rPr>
          <w:rFonts w:ascii="Arial" w:cs="Arial" w:eastAsia="Arial" w:hAnsi="Arial"/>
          <w:sz w:val="22"/>
          <w:szCs w:val="22"/>
          <w:color w:val="auto"/>
        </w:rPr>
        <w:t>independently developed by the receiving Party or its Affiliates not in violation or breach of this Agreement or any other confidentiality obligation to the disclosing Party (such as the Confidentiality Agreements or any retention agreement with a firm or professional in connection with this Agreement);</w:t>
      </w:r>
    </w:p>
    <w:p>
      <w:pPr>
        <w:spacing w:after="0" w:line="226" w:lineRule="exact"/>
        <w:rPr>
          <w:rFonts w:ascii="Arial" w:cs="Arial" w:eastAsia="Arial" w:hAnsi="Arial"/>
          <w:sz w:val="22"/>
          <w:szCs w:val="22"/>
          <w:color w:val="auto"/>
        </w:rPr>
      </w:pPr>
    </w:p>
    <w:p>
      <w:pPr>
        <w:ind w:left="2280" w:hanging="975"/>
        <w:spacing w:after="0"/>
        <w:tabs>
          <w:tab w:leader="none" w:pos="228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already known to the public without breach of confidence by such Party or any of its Affiliates;</w:t>
      </w:r>
    </w:p>
    <w:p>
      <w:pPr>
        <w:spacing w:after="0" w:line="260" w:lineRule="exact"/>
        <w:rPr>
          <w:rFonts w:ascii="Arial" w:cs="Arial" w:eastAsia="Arial" w:hAnsi="Arial"/>
          <w:sz w:val="22"/>
          <w:szCs w:val="22"/>
          <w:color w:val="auto"/>
        </w:rPr>
      </w:pPr>
    </w:p>
    <w:p>
      <w:pPr>
        <w:ind w:left="660" w:firstLine="645"/>
        <w:spacing w:after="0" w:line="263" w:lineRule="auto"/>
        <w:tabs>
          <w:tab w:leader="none" w:pos="2268" w:val="left"/>
        </w:tabs>
        <w:numPr>
          <w:ilvl w:val="1"/>
          <w:numId w:val="161"/>
        </w:numPr>
        <w:rPr>
          <w:rFonts w:ascii="Arial" w:cs="Arial" w:eastAsia="Arial" w:hAnsi="Arial"/>
          <w:sz w:val="22"/>
          <w:szCs w:val="22"/>
          <w:color w:val="auto"/>
        </w:rPr>
      </w:pPr>
      <w:r>
        <w:rPr>
          <w:rFonts w:ascii="Arial" w:cs="Arial" w:eastAsia="Arial" w:hAnsi="Arial"/>
          <w:sz w:val="22"/>
          <w:szCs w:val="22"/>
          <w:color w:val="auto"/>
        </w:rPr>
        <w:t>received by the receiving Party from a third party without restrictions on its use in favor of the disclosing Party, whether by law or contract; or</w:t>
      </w:r>
    </w:p>
    <w:p>
      <w:pPr>
        <w:spacing w:after="0" w:line="215" w:lineRule="exact"/>
        <w:rPr>
          <w:rFonts w:ascii="Arial" w:cs="Arial" w:eastAsia="Arial" w:hAnsi="Arial"/>
          <w:sz w:val="22"/>
          <w:szCs w:val="22"/>
          <w:color w:val="auto"/>
        </w:rPr>
      </w:pPr>
    </w:p>
    <w:p>
      <w:pPr>
        <w:ind w:left="660" w:firstLine="645"/>
        <w:spacing w:after="0" w:line="263" w:lineRule="auto"/>
        <w:tabs>
          <w:tab w:leader="none" w:pos="2209" w:val="left"/>
        </w:tabs>
        <w:numPr>
          <w:ilvl w:val="1"/>
          <w:numId w:val="161"/>
        </w:numPr>
        <w:rPr>
          <w:rFonts w:ascii="Arial" w:cs="Arial" w:eastAsia="Arial" w:hAnsi="Arial"/>
          <w:sz w:val="22"/>
          <w:szCs w:val="22"/>
          <w:color w:val="auto"/>
        </w:rPr>
      </w:pPr>
      <w:r>
        <w:rPr>
          <w:rFonts w:ascii="Arial" w:cs="Arial" w:eastAsia="Arial" w:hAnsi="Arial"/>
          <w:sz w:val="22"/>
          <w:szCs w:val="22"/>
          <w:color w:val="auto"/>
        </w:rPr>
        <w:t xml:space="preserve">subject to prior compliance with </w:t>
      </w:r>
      <w:r>
        <w:rPr>
          <w:rFonts w:ascii="Arial" w:cs="Arial" w:eastAsia="Arial" w:hAnsi="Arial"/>
          <w:sz w:val="22"/>
          <w:szCs w:val="22"/>
          <w:u w:val="single" w:color="auto"/>
          <w:color w:val="auto"/>
        </w:rPr>
        <w:t>Section 11.14(c)</w:t>
      </w:r>
      <w:r>
        <w:rPr>
          <w:rFonts w:ascii="Arial" w:cs="Arial" w:eastAsia="Arial" w:hAnsi="Arial"/>
          <w:sz w:val="22"/>
          <w:szCs w:val="22"/>
          <w:color w:val="auto"/>
        </w:rPr>
        <w:t>, required to be disclosed pursuant to any applicable Law, stock exchange regulation, regulatory provision, court order, subpoena or other legal process.</w:t>
      </w:r>
    </w:p>
    <w:p>
      <w:pPr>
        <w:spacing w:after="0" w:line="215" w:lineRule="exact"/>
        <w:rPr>
          <w:rFonts w:ascii="Arial" w:cs="Arial" w:eastAsia="Arial" w:hAnsi="Arial"/>
          <w:sz w:val="22"/>
          <w:szCs w:val="22"/>
          <w:color w:val="auto"/>
        </w:rPr>
      </w:pPr>
    </w:p>
    <w:p>
      <w:pPr>
        <w:jc w:val="both"/>
        <w:ind w:firstLine="656"/>
        <w:spacing w:after="0" w:line="247" w:lineRule="auto"/>
        <w:tabs>
          <w:tab w:leader="none" w:pos="1212"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Section 11.14(a)</w:t>
      </w:r>
      <w:r>
        <w:rPr>
          <w:rFonts w:ascii="Arial" w:cs="Arial" w:eastAsia="Arial" w:hAnsi="Arial"/>
          <w:sz w:val="22"/>
          <w:szCs w:val="22"/>
          <w:color w:val="auto"/>
        </w:rPr>
        <w:t xml:space="preserve"> shall not apply from and after the Closing to restrict the use or disclosure by the Insurer of any Confidential Information related to Priced Lives, Annuity Payments, or the pricing or underwriting of the Group Annuity Contract, received from another disclosing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Insurer shall use such Confidential Information only in compliance with all applicable Laws relating to privacy of personally identifying information. For the avoidance of doubt, this </w:t>
      </w:r>
      <w:r>
        <w:rPr>
          <w:rFonts w:ascii="Arial" w:cs="Arial" w:eastAsia="Arial" w:hAnsi="Arial"/>
          <w:sz w:val="22"/>
          <w:szCs w:val="22"/>
          <w:u w:val="single" w:color="auto"/>
          <w:color w:val="auto"/>
        </w:rPr>
        <w:t>Section 11.14(c)</w:t>
      </w:r>
      <w:r>
        <w:rPr>
          <w:rFonts w:ascii="Arial" w:cs="Arial" w:eastAsia="Arial" w:hAnsi="Arial"/>
          <w:sz w:val="22"/>
          <w:szCs w:val="22"/>
          <w:color w:val="auto"/>
        </w:rPr>
        <w:t xml:space="preserve"> does not apply to Confidential Information regarding the Company or the Plan (other than to the extent required in connection with the Group Annuity Contract).</w:t>
      </w:r>
    </w:p>
    <w:p>
      <w:pPr>
        <w:spacing w:after="0" w:line="234" w:lineRule="exact"/>
        <w:rPr>
          <w:rFonts w:ascii="Arial" w:cs="Arial" w:eastAsia="Arial" w:hAnsi="Arial"/>
          <w:sz w:val="22"/>
          <w:szCs w:val="22"/>
          <w:color w:val="auto"/>
        </w:rPr>
      </w:pPr>
    </w:p>
    <w:p>
      <w:pPr>
        <w:jc w:val="both"/>
        <w:ind w:firstLine="656"/>
        <w:spacing w:after="0" w:line="287" w:lineRule="auto"/>
        <w:tabs>
          <w:tab w:leader="none" w:pos="126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Except as otherwise provided in this Agreement, if any Party, its Representatives, its Affiliates or its Affiliates' Representatives, receives a request, subpoena, demand, or order for disclosure or become required by Law or stock exchange rule or regulation to disclose any Confidential Information (a “</w:t>
      </w:r>
      <w:r>
        <w:rPr>
          <w:rFonts w:ascii="Arial" w:cs="Arial" w:eastAsia="Arial" w:hAnsi="Arial"/>
          <w:sz w:val="19"/>
          <w:szCs w:val="19"/>
          <w:u w:val="single" w:color="auto"/>
          <w:color w:val="auto"/>
        </w:rPr>
        <w:t>Compelled Disclosing Party</w:t>
      </w:r>
      <w:r>
        <w:rPr>
          <w:rFonts w:ascii="Arial" w:cs="Arial" w:eastAsia="Arial" w:hAnsi="Arial"/>
          <w:sz w:val="19"/>
          <w:szCs w:val="19"/>
          <w:color w:val="auto"/>
        </w:rPr>
        <w:t>”), such Compelled Disclosing Party shall promptly, and in no case more than five (5) Business Days following receipt of such a request, subpoena, demand, or order (so long as it is legally permitted to provide such notification), notify the other Parties to afford them the opportunity to object or seek a protective order or other remedy, including a protective order requiring Confidential Information to be submitted under seal and for the return and destruction of Confidential Information or copies thereof following the conclusion of any Action, prior to the disclosure of any such Confidential Information. The Compelled Disclosing Party shall, to the extent permitted by Law, cooperate with the other Party's or Parties' efforts to obtain such protective order, at such other Party's or Parties' cost and expense. In the event that such protective order or other remedy is not sought or obtained, only that portion of Confidential Information which the Compelled Disclosing Party in good faith believes is legally required to be provided may be disclosed and such Compelled Disclosing Party shall request that appropriate confidential treatment will be accorded to such Confidential Information.</w:t>
      </w:r>
    </w:p>
    <w:p>
      <w:pPr>
        <w:spacing w:after="0" w:line="200" w:lineRule="exact"/>
        <w:rPr>
          <w:rFonts w:ascii="Arial" w:cs="Arial" w:eastAsia="Arial" w:hAnsi="Arial"/>
          <w:sz w:val="19"/>
          <w:szCs w:val="19"/>
          <w:color w:val="auto"/>
        </w:rPr>
      </w:pPr>
    </w:p>
    <w:p>
      <w:pPr>
        <w:jc w:val="both"/>
        <w:ind w:firstLine="656"/>
        <w:spacing w:after="0" w:line="248" w:lineRule="auto"/>
        <w:tabs>
          <w:tab w:leader="none" w:pos="1151"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Each engagement letter between any of the Parties on the one hand and the Independent Third Party, each Approved Firm or each other professional engaged in connection with this Agreement, on the other, shall include undertakings by such professional to maintain the confidentiality of Confidential Information in accordance with this </w:t>
      </w:r>
      <w:r>
        <w:rPr>
          <w:rFonts w:ascii="Arial" w:cs="Arial" w:eastAsia="Arial" w:hAnsi="Arial"/>
          <w:sz w:val="22"/>
          <w:szCs w:val="22"/>
          <w:u w:val="single" w:color="auto"/>
          <w:color w:val="auto"/>
        </w:rPr>
        <w:t>Section 11.14</w:t>
      </w:r>
      <w:r>
        <w:rPr>
          <w:rFonts w:ascii="Arial" w:cs="Arial" w:eastAsia="Arial" w:hAnsi="Arial"/>
          <w:sz w:val="22"/>
          <w:szCs w:val="22"/>
          <w:color w:val="auto"/>
        </w:rPr>
        <w:t xml:space="preserve"> and to clearly mark any reports or other work product prepared in connection with such engagement as confidential and not subject to disclosure except as permitted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91"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 xml:space="preserve">by this </w:t>
      </w:r>
      <w:r>
        <w:rPr>
          <w:rFonts w:ascii="Arial" w:cs="Arial" w:eastAsia="Arial" w:hAnsi="Arial"/>
          <w:sz w:val="22"/>
          <w:szCs w:val="22"/>
          <w:u w:val="single" w:color="auto"/>
          <w:color w:val="auto"/>
        </w:rPr>
        <w:t>Section 11.14</w:t>
      </w:r>
      <w:r>
        <w:rPr>
          <w:rFonts w:ascii="Arial" w:cs="Arial" w:eastAsia="Arial" w:hAnsi="Arial"/>
          <w:sz w:val="22"/>
          <w:szCs w:val="22"/>
          <w:color w:val="auto"/>
        </w:rPr>
        <w:t>.</w:t>
      </w:r>
    </w:p>
    <w:p>
      <w:pPr>
        <w:spacing w:after="0" w:line="260"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The Parties acknowledge and agree that this </w:t>
      </w:r>
      <w:r>
        <w:rPr>
          <w:rFonts w:ascii="Arial" w:cs="Arial" w:eastAsia="Arial" w:hAnsi="Arial"/>
          <w:sz w:val="21"/>
          <w:szCs w:val="21"/>
          <w:u w:val="single" w:color="auto"/>
          <w:color w:val="auto"/>
        </w:rPr>
        <w:t>Section 11.14</w:t>
      </w:r>
      <w:r>
        <w:rPr>
          <w:rFonts w:ascii="Arial" w:cs="Arial" w:eastAsia="Arial" w:hAnsi="Arial"/>
          <w:sz w:val="21"/>
          <w:szCs w:val="21"/>
          <w:color w:val="auto"/>
        </w:rPr>
        <w:t xml:space="preserve"> shall supersede the Confidentiality Agreements.</w:t>
      </w:r>
    </w:p>
    <w:p>
      <w:pPr>
        <w:spacing w:after="0" w:line="271" w:lineRule="exact"/>
        <w:rPr>
          <w:rFonts w:ascii="Arial" w:cs="Arial" w:eastAsia="Arial" w:hAnsi="Arial"/>
          <w:sz w:val="21"/>
          <w:szCs w:val="21"/>
          <w:color w:val="auto"/>
        </w:rPr>
      </w:pPr>
    </w:p>
    <w:p>
      <w:pPr>
        <w:ind w:left="1140" w:hanging="484"/>
        <w:spacing w:after="0"/>
        <w:tabs>
          <w:tab w:leader="none" w:pos="114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Insurer is, and the other Parties acknowledge that Insurer is, the sole owner of all spreadsheets and formulas, including</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methodologies in the CMA Adjustment tab, [ *** ] Adjustment tab, PFS Adjustment tab and SCA Adjustment tab on the spreadsheets and manuals (including the Procedures Manual) on the Identified CD-ROM, and that all such materials constitute Insurer's valuable and proprietary know how. The foregoing remains true even with respect to any such materials or know how incorporated or reproduced in the work product of the Independent Third Party, the Approved Firms or any arbitrator or staff thereof or any other professional engaged in connection with this Agreement. Insurer grants the Independent Fiduciary, the Company and, pursuant to the applicable engagement letter and subject to this </w:t>
      </w:r>
      <w:r>
        <w:rPr>
          <w:rFonts w:ascii="Arial" w:cs="Arial" w:eastAsia="Arial" w:hAnsi="Arial"/>
          <w:sz w:val="19"/>
          <w:szCs w:val="19"/>
          <w:u w:val="single" w:color="auto"/>
          <w:color w:val="auto"/>
        </w:rPr>
        <w:t>Section 11.14</w:t>
      </w:r>
      <w:r>
        <w:rPr>
          <w:rFonts w:ascii="Arial" w:cs="Arial" w:eastAsia="Arial" w:hAnsi="Arial"/>
          <w:sz w:val="19"/>
          <w:szCs w:val="19"/>
          <w:color w:val="auto"/>
        </w:rPr>
        <w:t xml:space="preserve"> only, the Independent Third Party, the Approved Firms or any arbitrator or staff thereof or any other professional engaged in connection with this Agreement, the limited right to use such materials solely in connection with the transactions and proceedings contemplated by this Agreement. No party having use thereof shall have any rights in connection therein except as specifically granted by the foregoing sentence.</w:t>
      </w:r>
    </w:p>
    <w:p>
      <w:pPr>
        <w:spacing w:after="0" w:line="15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11.15 </w:t>
      </w:r>
      <w:r>
        <w:rPr>
          <w:rFonts w:ascii="Arial" w:cs="Arial" w:eastAsia="Arial" w:hAnsi="Arial"/>
          <w:sz w:val="22"/>
          <w:szCs w:val="22"/>
          <w:u w:val="single" w:color="auto"/>
          <w:color w:val="auto"/>
        </w:rPr>
        <w:t>Waiver of Punitive Damages</w:t>
      </w:r>
      <w:r>
        <w:rPr>
          <w:rFonts w:ascii="Arial" w:cs="Arial" w:eastAsia="Arial" w:hAnsi="Arial"/>
          <w:sz w:val="22"/>
          <w:szCs w:val="22"/>
          <w:color w:val="auto"/>
        </w:rPr>
        <w:t>. To the fullest extent permitted by Law, and notwithstanding any other provision of this Agreement, none of the Parties shall be liable to any other Party for any punitive or exemplary damages of any nature in respect of matters arising out of this Agreement or the Ancillary Agreements, whether arising out of breach of contract, negligence, tort, strict liability or any other legal or equitable principle. The foregoing sentence will not preclude recovery of amounts claimed in Third Party Claim to the extent that claims for such amounts are subject to indemnification under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Remainder of page intentionally left blank.</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91" w:right="2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IN WITNESS WHEREOF, the Parties have executed this Agreement as of the date first above written.</w:t>
      </w:r>
    </w:p>
    <w:p>
      <w:pPr>
        <w:spacing w:after="0" w:line="397"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GENERAL MOTORS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By:_____________________________________________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THE PRUDENTIAL INSURANCE COMPANY</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OF AMERICA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By:_____________________________________________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PRUDENTIAL FINANCIAL,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By:_____________________________________________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STATE STREET BANK AND TRUST COMPANY,</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21"/>
          <w:szCs w:val="21"/>
          <w:b w:val="1"/>
          <w:bCs w:val="1"/>
          <w:color w:val="auto"/>
        </w:rPr>
        <w:t>Solely In Its Capacity As Independent Fiduciary of</w:t>
      </w:r>
    </w:p>
    <w:p>
      <w:pPr>
        <w:spacing w:after="0" w:line="5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the General Motors Retirement Plan for Salaried</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Employees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By:_____________________________________________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9559"/>
          </w:cols>
          <w:pgMar w:left="900" w:top="807" w:right="1440"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APPENDICES</w:t>
      </w:r>
    </w:p>
    <w:p>
      <w:pPr>
        <w:spacing w:after="0" w:line="244"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Appendices to that certain Definitive Transaction Framework Agreement, dated as of May 30, 2012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The Prudential Insurance Company of America, a New Jersey life insurance company (the “</w:t>
      </w:r>
      <w:r>
        <w:rPr>
          <w:rFonts w:ascii="Arial" w:cs="Arial" w:eastAsia="Arial" w:hAnsi="Arial"/>
          <w:sz w:val="19"/>
          <w:szCs w:val="19"/>
          <w:u w:val="single" w:color="auto"/>
          <w:color w:val="auto"/>
        </w:rPr>
        <w:t>Insurer</w:t>
      </w:r>
      <w:r>
        <w:rPr>
          <w:rFonts w:ascii="Arial" w:cs="Arial" w:eastAsia="Arial" w:hAnsi="Arial"/>
          <w:sz w:val="19"/>
          <w:szCs w:val="19"/>
          <w:color w:val="auto"/>
        </w:rPr>
        <w:t>”), Prudential Financial, Inc., a New Jersey corporation (“</w:t>
      </w:r>
      <w:r>
        <w:rPr>
          <w:rFonts w:ascii="Arial" w:cs="Arial" w:eastAsia="Arial" w:hAnsi="Arial"/>
          <w:sz w:val="19"/>
          <w:szCs w:val="19"/>
          <w:u w:val="single" w:color="auto"/>
          <w:color w:val="auto"/>
        </w:rPr>
        <w:t>Insurer Parent</w:t>
      </w:r>
      <w:r>
        <w:rPr>
          <w:rFonts w:ascii="Arial" w:cs="Arial" w:eastAsia="Arial" w:hAnsi="Arial"/>
          <w:sz w:val="19"/>
          <w:szCs w:val="19"/>
          <w:color w:val="auto"/>
        </w:rPr>
        <w:t>”), General Motors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acting in a non-fiduciary capacity as the sponsor of the General Motors Retirement Program for Salaried Employees (the “</w:t>
      </w:r>
      <w:r>
        <w:rPr>
          <w:rFonts w:ascii="Arial" w:cs="Arial" w:eastAsia="Arial" w:hAnsi="Arial"/>
          <w:sz w:val="19"/>
          <w:szCs w:val="19"/>
          <w:u w:val="single" w:color="auto"/>
          <w:color w:val="auto"/>
        </w:rPr>
        <w:t>Plan</w:t>
      </w:r>
      <w:r>
        <w:rPr>
          <w:rFonts w:ascii="Arial" w:cs="Arial" w:eastAsia="Arial" w:hAnsi="Arial"/>
          <w:sz w:val="19"/>
          <w:szCs w:val="19"/>
          <w:color w:val="auto"/>
        </w:rPr>
        <w:t>”), and State Street Bank and Trust Company the independent fiduciary of the Plan (the “</w:t>
      </w:r>
      <w:r>
        <w:rPr>
          <w:rFonts w:ascii="Arial" w:cs="Arial" w:eastAsia="Arial" w:hAnsi="Arial"/>
          <w:sz w:val="19"/>
          <w:szCs w:val="19"/>
          <w:u w:val="single" w:color="auto"/>
          <w:color w:val="auto"/>
        </w:rPr>
        <w:t>Independent Fiduciary</w:t>
      </w:r>
      <w:r>
        <w:rPr>
          <w:rFonts w:ascii="Arial" w:cs="Arial" w:eastAsia="Arial" w:hAnsi="Arial"/>
          <w:sz w:val="19"/>
          <w:szCs w:val="19"/>
          <w:color w:val="auto"/>
        </w:rPr>
        <w:t>”). Capitalized terms used herein and not herein defined shall derive their meaning from Section 1.1 of the Agreement.</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1440" w:right="359" w:bottom="1440" w:gutter="0" w:footer="0" w:header="0"/>
        </w:sectPr>
      </w:pPr>
    </w:p>
    <w:bookmarkStart w:id="164" w:name="page165"/>
    <w:bookmarkEnd w:id="164"/>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1.1-A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GROUP ANNUITY CONTRACT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1.1A - 1</w:t>
      </w:r>
    </w:p>
    <w:p>
      <w:pPr>
        <w:sectPr>
          <w:pgSz w:w="11900" w:h="16838" w:orient="portrait"/>
          <w:cols w:equalWidth="0" w:num="1">
            <w:col w:w="9019"/>
          </w:cols>
          <w:pgMar w:left="1440" w:top="1440" w:right="1440" w:bottom="1440" w:gutter="0" w:footer="0" w:header="0"/>
        </w:sectPr>
      </w:pPr>
    </w:p>
    <w:bookmarkStart w:id="165" w:name="page166"/>
    <w:bookmarkEnd w:id="165"/>
    <w:p>
      <w:pPr>
        <w:spacing w:after="0"/>
        <w:rPr>
          <w:sz w:val="20"/>
          <w:szCs w:val="20"/>
          <w:color w:val="auto"/>
        </w:rPr>
      </w:pPr>
      <w:r>
        <w:rPr>
          <w:rFonts w:ascii="Arial" w:cs="Arial" w:eastAsia="Arial" w:hAnsi="Arial"/>
          <w:sz w:val="36"/>
          <w:szCs w:val="36"/>
          <w:color w:val="auto"/>
        </w:rPr>
        <w:t>[Prudential Logo]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gridSpan w:val="2"/>
          </w:tcPr>
          <w:p>
            <w:pPr>
              <w:jc w:val="right"/>
              <w:spacing w:after="0"/>
              <w:rPr>
                <w:sz w:val="20"/>
                <w:szCs w:val="20"/>
                <w:color w:val="auto"/>
              </w:rPr>
            </w:pPr>
            <w:r>
              <w:rPr>
                <w:rFonts w:ascii="Arial" w:cs="Arial" w:eastAsia="Arial" w:hAnsi="Arial"/>
                <w:sz w:val="20"/>
                <w:szCs w:val="20"/>
                <w:b w:val="1"/>
                <w:bCs w:val="1"/>
                <w:color w:val="auto"/>
              </w:rPr>
              <w:t>The Prudential Insurance Company of America</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80" w:type="dxa"/>
            <w:vAlign w:val="bottom"/>
            <w:gridSpan w:val="2"/>
          </w:tcPr>
          <w:p>
            <w:pPr>
              <w:jc w:val="right"/>
              <w:spacing w:after="0"/>
              <w:rPr>
                <w:sz w:val="20"/>
                <w:szCs w:val="20"/>
                <w:color w:val="auto"/>
              </w:rPr>
            </w:pPr>
            <w:r>
              <w:rPr>
                <w:rFonts w:ascii="Arial" w:cs="Arial" w:eastAsia="Arial" w:hAnsi="Arial"/>
                <w:sz w:val="20"/>
                <w:szCs w:val="20"/>
                <w:color w:val="auto"/>
              </w:rPr>
              <w:t>Newark, New Jersey</w:t>
            </w:r>
          </w:p>
        </w:tc>
        <w:tc>
          <w:tcPr>
            <w:tcW w:w="0" w:type="dxa"/>
            <w:vAlign w:val="bottom"/>
          </w:tcPr>
          <w:p>
            <w:pPr>
              <w:spacing w:after="0"/>
              <w:rPr>
                <w:sz w:val="1"/>
                <w:szCs w:val="1"/>
                <w:color w:val="auto"/>
              </w:rPr>
            </w:pPr>
          </w:p>
        </w:tc>
      </w:tr>
      <w:tr>
        <w:trPr>
          <w:trHeight w:val="563"/>
        </w:trPr>
        <w:tc>
          <w:tcPr>
            <w:tcW w:w="5620" w:type="dxa"/>
            <w:vAlign w:val="bottom"/>
            <w:vMerge w:val="restart"/>
          </w:tcPr>
          <w:p>
            <w:pPr>
              <w:ind w:left="40"/>
              <w:spacing w:after="0"/>
              <w:rPr>
                <w:sz w:val="20"/>
                <w:szCs w:val="20"/>
                <w:color w:val="auto"/>
              </w:rPr>
            </w:pPr>
            <w:r>
              <w:rPr>
                <w:rFonts w:ascii="Arial" w:cs="Arial" w:eastAsia="Arial" w:hAnsi="Arial"/>
                <w:sz w:val="20"/>
                <w:szCs w:val="20"/>
                <w:color w:val="auto"/>
              </w:rPr>
              <w:t>Contract-Holder:</w:t>
            </w:r>
          </w:p>
        </w:tc>
        <w:tc>
          <w:tcPr>
            <w:tcW w:w="20" w:type="dxa"/>
            <w:vAlign w:val="bottom"/>
          </w:tcPr>
          <w:p>
            <w:pPr>
              <w:spacing w:after="0"/>
              <w:rPr>
                <w:sz w:val="24"/>
                <w:szCs w:val="24"/>
                <w:color w:val="auto"/>
              </w:rPr>
            </w:pPr>
          </w:p>
        </w:tc>
        <w:tc>
          <w:tcPr>
            <w:tcW w:w="5680" w:type="dxa"/>
            <w:vAlign w:val="bottom"/>
            <w:gridSpan w:val="2"/>
            <w:vMerge w:val="restart"/>
          </w:tcPr>
          <w:p>
            <w:pPr>
              <w:ind w:left="80"/>
              <w:spacing w:after="0"/>
              <w:rPr>
                <w:sz w:val="20"/>
                <w:szCs w:val="20"/>
                <w:color w:val="auto"/>
              </w:rPr>
            </w:pPr>
            <w:r>
              <w:rPr>
                <w:rFonts w:ascii="Arial" w:cs="Arial" w:eastAsia="Arial" w:hAnsi="Arial"/>
                <w:sz w:val="20"/>
                <w:szCs w:val="20"/>
                <w:color w:val="auto"/>
              </w:rPr>
              <w:t>Plan:</w:t>
            </w:r>
          </w:p>
        </w:tc>
        <w:tc>
          <w:tcPr>
            <w:tcW w:w="0" w:type="dxa"/>
            <w:vAlign w:val="bottom"/>
          </w:tcPr>
          <w:p>
            <w:pPr>
              <w:spacing w:after="0"/>
              <w:rPr>
                <w:sz w:val="1"/>
                <w:szCs w:val="1"/>
                <w:color w:val="auto"/>
              </w:rPr>
            </w:pPr>
          </w:p>
        </w:tc>
      </w:tr>
      <w:tr>
        <w:trPr>
          <w:trHeight w:val="261"/>
        </w:trPr>
        <w:tc>
          <w:tcPr>
            <w:tcW w:w="562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6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vMerge w:val="restart"/>
          </w:tcPr>
          <w:p>
            <w:pPr>
              <w:ind w:left="40"/>
              <w:spacing w:after="0"/>
              <w:rPr>
                <w:sz w:val="20"/>
                <w:szCs w:val="20"/>
                <w:color w:val="auto"/>
              </w:rPr>
            </w:pPr>
            <w:r>
              <w:rPr>
                <w:rFonts w:ascii="Arial" w:cs="Arial" w:eastAsia="Arial" w:hAnsi="Arial"/>
                <w:sz w:val="20"/>
                <w:szCs w:val="20"/>
                <w:color w:val="auto"/>
                <w:w w:val="94"/>
              </w:rPr>
              <w:t>[NAME OF TRUST BANK, as Directed Trustee of the Vita Salaried</w:t>
            </w:r>
          </w:p>
        </w:tc>
        <w:tc>
          <w:tcPr>
            <w:tcW w:w="20" w:type="dxa"/>
            <w:vAlign w:val="bottom"/>
            <w:shd w:val="clear" w:color="auto" w:fill="000000"/>
          </w:tcPr>
          <w:p>
            <w:pPr>
              <w:spacing w:after="0"/>
              <w:rPr>
                <w:sz w:val="19"/>
                <w:szCs w:val="19"/>
                <w:color w:val="auto"/>
              </w:rPr>
            </w:pPr>
          </w:p>
        </w:tc>
        <w:tc>
          <w:tcPr>
            <w:tcW w:w="5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5620" w:type="dxa"/>
            <w:vAlign w:val="bottom"/>
          </w:tcPr>
          <w:p>
            <w:pPr>
              <w:ind w:left="40"/>
              <w:spacing w:after="0"/>
              <w:rPr>
                <w:sz w:val="20"/>
                <w:szCs w:val="20"/>
                <w:color w:val="auto"/>
              </w:rPr>
            </w:pPr>
            <w:r>
              <w:rPr>
                <w:rFonts w:ascii="Arial" w:cs="Arial" w:eastAsia="Arial" w:hAnsi="Arial"/>
                <w:sz w:val="20"/>
                <w:szCs w:val="20"/>
                <w:color w:val="auto"/>
              </w:rPr>
              <w:t>Retirement Trust, a New York trust]</w:t>
            </w:r>
            <w:r>
              <w:rPr>
                <w:rFonts w:ascii="Arial" w:cs="Arial" w:eastAsia="Arial" w:hAnsi="Arial"/>
                <w:sz w:val="25"/>
                <w:szCs w:val="25"/>
                <w:color w:val="auto"/>
                <w:vertAlign w:val="superscript"/>
              </w:rPr>
              <w:t>A</w:t>
            </w: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20"/>
                <w:szCs w:val="20"/>
                <w:color w:val="auto"/>
              </w:rPr>
              <w:t>[Vita]</w:t>
            </w:r>
            <w:r>
              <w:rPr>
                <w:rFonts w:ascii="Arial" w:cs="Arial" w:eastAsia="Arial" w:hAnsi="Arial"/>
                <w:sz w:val="25"/>
                <w:szCs w:val="25"/>
                <w:color w:val="auto"/>
                <w:vertAlign w:val="superscript"/>
              </w:rPr>
              <w:t>A</w:t>
            </w:r>
            <w:r>
              <w:rPr>
                <w:rFonts w:ascii="Arial" w:cs="Arial" w:eastAsia="Arial" w:hAnsi="Arial"/>
                <w:sz w:val="20"/>
                <w:szCs w:val="20"/>
                <w:color w:val="auto"/>
              </w:rPr>
              <w:t xml:space="preserve"> Salaried Retirement Plan</w:t>
            </w:r>
          </w:p>
        </w:tc>
        <w:tc>
          <w:tcPr>
            <w:tcW w:w="0" w:type="dxa"/>
            <w:vAlign w:val="bottom"/>
          </w:tcPr>
          <w:p>
            <w:pPr>
              <w:spacing w:after="0"/>
              <w:rPr>
                <w:sz w:val="1"/>
                <w:szCs w:val="1"/>
                <w:color w:val="auto"/>
              </w:rPr>
            </w:pPr>
          </w:p>
        </w:tc>
      </w:tr>
      <w:tr>
        <w:trPr>
          <w:trHeight w:val="158"/>
        </w:trPr>
        <w:tc>
          <w:tcPr>
            <w:tcW w:w="5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56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20"/>
                <w:szCs w:val="20"/>
                <w:color w:val="auto"/>
              </w:rPr>
              <w:t>Jurisdiction:</w:t>
            </w:r>
          </w:p>
        </w:tc>
        <w:tc>
          <w:tcPr>
            <w:tcW w:w="0" w:type="dxa"/>
            <w:vAlign w:val="bottom"/>
          </w:tcPr>
          <w:p>
            <w:pPr>
              <w:spacing w:after="0"/>
              <w:rPr>
                <w:sz w:val="1"/>
                <w:szCs w:val="1"/>
                <w:color w:val="auto"/>
              </w:rPr>
            </w:pPr>
          </w:p>
        </w:tc>
      </w:tr>
      <w:tr>
        <w:trPr>
          <w:trHeight w:val="446"/>
        </w:trPr>
        <w:tc>
          <w:tcPr>
            <w:tcW w:w="5620" w:type="dxa"/>
            <w:vAlign w:val="bottom"/>
            <w:vMerge w:val="restart"/>
          </w:tcPr>
          <w:p>
            <w:pPr>
              <w:ind w:left="40"/>
              <w:spacing w:after="0"/>
              <w:rPr>
                <w:sz w:val="20"/>
                <w:szCs w:val="20"/>
                <w:color w:val="auto"/>
              </w:rPr>
            </w:pPr>
            <w:r>
              <w:rPr>
                <w:rFonts w:ascii="Arial" w:cs="Arial" w:eastAsia="Arial" w:hAnsi="Arial"/>
                <w:sz w:val="20"/>
                <w:szCs w:val="20"/>
                <w:color w:val="auto"/>
              </w:rPr>
              <w:t>[ *** ]</w:t>
            </w: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20"/>
                <w:szCs w:val="20"/>
                <w:color w:val="auto"/>
              </w:rPr>
              <w:t>New York</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0"/>
        </w:trPr>
        <w:tc>
          <w:tcPr>
            <w:tcW w:w="56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20"/>
                <w:szCs w:val="20"/>
                <w:color w:val="auto"/>
              </w:rPr>
              <w:t>Total Contribution Amount:</w:t>
            </w:r>
          </w:p>
        </w:tc>
        <w:tc>
          <w:tcPr>
            <w:tcW w:w="0" w:type="dxa"/>
            <w:vAlign w:val="bottom"/>
          </w:tcPr>
          <w:p>
            <w:pPr>
              <w:spacing w:after="0"/>
              <w:rPr>
                <w:sz w:val="1"/>
                <w:szCs w:val="1"/>
                <w:color w:val="auto"/>
              </w:rPr>
            </w:pPr>
          </w:p>
        </w:tc>
      </w:tr>
      <w:tr>
        <w:trPr>
          <w:trHeight w:val="527"/>
        </w:trPr>
        <w:tc>
          <w:tcPr>
            <w:tcW w:w="56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20"/>
                <w:szCs w:val="20"/>
                <w:color w:val="auto"/>
              </w:rPr>
              <w:t>[$XXX,XXX]</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365"/>
        </w:trPr>
        <w:tc>
          <w:tcPr>
            <w:tcW w:w="5620" w:type="dxa"/>
            <w:vAlign w:val="bottom"/>
            <w:vMerge w:val="restart"/>
          </w:tcPr>
          <w:p>
            <w:pPr>
              <w:ind w:left="40"/>
              <w:spacing w:after="0"/>
              <w:rPr>
                <w:sz w:val="20"/>
                <w:szCs w:val="20"/>
                <w:color w:val="auto"/>
              </w:rPr>
            </w:pPr>
            <w:r>
              <w:rPr>
                <w:rFonts w:ascii="Arial" w:cs="Arial" w:eastAsia="Arial" w:hAnsi="Arial"/>
                <w:sz w:val="22"/>
                <w:szCs w:val="22"/>
                <w:color w:val="auto"/>
              </w:rPr>
              <w:t>[Amendment</w:t>
            </w:r>
            <w:r>
              <w:rPr>
                <w:rFonts w:ascii="Arial" w:cs="Arial" w:eastAsia="Arial" w:hAnsi="Arial"/>
                <w:sz w:val="19"/>
                <w:szCs w:val="19"/>
                <w:color w:val="auto"/>
              </w:rPr>
              <w:t>]</w:t>
            </w:r>
            <w:r>
              <w:rPr>
                <w:rFonts w:ascii="Arial" w:cs="Arial" w:eastAsia="Arial" w:hAnsi="Arial"/>
                <w:sz w:val="25"/>
                <w:szCs w:val="25"/>
                <w:color w:val="auto"/>
                <w:vertAlign w:val="superscript"/>
              </w:rPr>
              <w:t>A</w:t>
            </w:r>
            <w:r>
              <w:rPr>
                <w:rFonts w:ascii="Arial" w:cs="Arial" w:eastAsia="Arial" w:hAnsi="Arial"/>
                <w:sz w:val="22"/>
                <w:szCs w:val="22"/>
                <w:color w:val="auto"/>
              </w:rPr>
              <w:t xml:space="preserve"> Date:</w:t>
            </w:r>
          </w:p>
        </w:tc>
        <w:tc>
          <w:tcPr>
            <w:tcW w:w="20" w:type="dxa"/>
            <w:vAlign w:val="bottom"/>
            <w:shd w:val="clear" w:color="auto" w:fill="000000"/>
          </w:tcPr>
          <w:p>
            <w:pPr>
              <w:spacing w:after="0"/>
              <w:rPr>
                <w:sz w:val="24"/>
                <w:szCs w:val="24"/>
                <w:color w:val="auto"/>
              </w:rPr>
            </w:pPr>
          </w:p>
        </w:tc>
        <w:tc>
          <w:tcPr>
            <w:tcW w:w="5680" w:type="dxa"/>
            <w:vAlign w:val="bottom"/>
            <w:gridSpan w:val="2"/>
          </w:tcPr>
          <w:p>
            <w:pPr>
              <w:ind w:left="20"/>
              <w:spacing w:after="0"/>
              <w:rPr>
                <w:sz w:val="20"/>
                <w:szCs w:val="20"/>
                <w:color w:val="auto"/>
              </w:rPr>
            </w:pPr>
            <w:r>
              <w:rPr>
                <w:rFonts w:ascii="Arial" w:cs="Arial" w:eastAsia="Arial" w:hAnsi="Arial"/>
                <w:sz w:val="20"/>
                <w:szCs w:val="20"/>
                <w:color w:val="auto"/>
              </w:rPr>
              <w:t>Adjusted Contribution Amount:</w:t>
            </w:r>
          </w:p>
        </w:tc>
        <w:tc>
          <w:tcPr>
            <w:tcW w:w="0" w:type="dxa"/>
            <w:vAlign w:val="bottom"/>
          </w:tcPr>
          <w:p>
            <w:pPr>
              <w:spacing w:after="0"/>
              <w:rPr>
                <w:sz w:val="1"/>
                <w:szCs w:val="1"/>
                <w:color w:val="auto"/>
              </w:rPr>
            </w:pPr>
          </w:p>
        </w:tc>
      </w:tr>
      <w:tr>
        <w:trPr>
          <w:trHeight w:val="283"/>
        </w:trPr>
        <w:tc>
          <w:tcPr>
            <w:tcW w:w="56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80" w:type="dxa"/>
            <w:vAlign w:val="bottom"/>
            <w:gridSpan w:val="2"/>
            <w:vMerge w:val="restart"/>
          </w:tcPr>
          <w:p>
            <w:pPr>
              <w:ind w:left="20"/>
              <w:spacing w:after="0"/>
              <w:rPr>
                <w:sz w:val="20"/>
                <w:szCs w:val="20"/>
                <w:color w:val="auto"/>
              </w:rPr>
            </w:pPr>
            <w:r>
              <w:rPr>
                <w:rFonts w:ascii="Arial" w:cs="Arial" w:eastAsia="Arial" w:hAnsi="Arial"/>
                <w:sz w:val="20"/>
                <w:szCs w:val="20"/>
                <w:color w:val="auto"/>
              </w:rPr>
              <w:t>[$XXX,XXX due to Prudential or Contract-Holder on an</w:t>
            </w:r>
          </w:p>
        </w:tc>
        <w:tc>
          <w:tcPr>
            <w:tcW w:w="0" w:type="dxa"/>
            <w:vAlign w:val="bottom"/>
          </w:tcPr>
          <w:p>
            <w:pPr>
              <w:spacing w:after="0"/>
              <w:rPr>
                <w:sz w:val="1"/>
                <w:szCs w:val="1"/>
                <w:color w:val="auto"/>
              </w:rPr>
            </w:pPr>
          </w:p>
        </w:tc>
      </w:tr>
      <w:tr>
        <w:trPr>
          <w:trHeight w:val="141"/>
        </w:trPr>
        <w:tc>
          <w:tcPr>
            <w:tcW w:w="5620" w:type="dxa"/>
            <w:vAlign w:val="bottom"/>
            <w:vMerge w:val="restart"/>
          </w:tcPr>
          <w:p>
            <w:pPr>
              <w:ind w:left="40"/>
              <w:spacing w:after="0"/>
              <w:rPr>
                <w:sz w:val="20"/>
                <w:szCs w:val="20"/>
                <w:color w:val="auto"/>
              </w:rPr>
            </w:pPr>
            <w:r>
              <w:rPr>
                <w:rFonts w:ascii="Arial" w:cs="Arial" w:eastAsia="Arial" w:hAnsi="Arial"/>
                <w:sz w:val="22"/>
                <w:szCs w:val="22"/>
                <w:color w:val="auto"/>
              </w:rPr>
              <w:t>[MM DD, YYYY</w:t>
            </w:r>
            <w:r>
              <w:rPr>
                <w:rFonts w:ascii="Arial" w:cs="Arial" w:eastAsia="Arial" w:hAnsi="Arial"/>
                <w:sz w:val="19"/>
                <w:szCs w:val="19"/>
                <w:color w:val="auto"/>
              </w:rPr>
              <w:t>]</w:t>
            </w:r>
            <w:r>
              <w:rPr>
                <w:rFonts w:ascii="Arial" w:cs="Arial" w:eastAsia="Arial" w:hAnsi="Arial"/>
                <w:sz w:val="25"/>
                <w:szCs w:val="25"/>
                <w:color w:val="auto"/>
                <w:vertAlign w:val="superscript"/>
              </w:rPr>
              <w:t>E</w:t>
            </w:r>
          </w:p>
        </w:tc>
        <w:tc>
          <w:tcPr>
            <w:tcW w:w="20" w:type="dxa"/>
            <w:vAlign w:val="bottom"/>
            <w:shd w:val="clear" w:color="auto" w:fill="000000"/>
          </w:tcPr>
          <w:p>
            <w:pPr>
              <w:spacing w:after="0"/>
              <w:rPr>
                <w:sz w:val="12"/>
                <w:szCs w:val="12"/>
                <w:color w:val="auto"/>
              </w:rPr>
            </w:pPr>
          </w:p>
        </w:tc>
        <w:tc>
          <w:tcPr>
            <w:tcW w:w="5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562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5580" w:type="dxa"/>
            <w:vAlign w:val="bottom"/>
            <w:tcBorders>
              <w:bottom w:val="single" w:sz="8" w:color="auto"/>
            </w:tcBorders>
          </w:tcPr>
          <w:p>
            <w:pPr>
              <w:ind w:left="20"/>
              <w:spacing w:after="0" w:line="274" w:lineRule="exact"/>
              <w:rPr>
                <w:sz w:val="20"/>
                <w:szCs w:val="20"/>
                <w:color w:val="auto"/>
              </w:rPr>
            </w:pPr>
            <w:r>
              <w:rPr>
                <w:rFonts w:ascii="Arial" w:cs="Arial" w:eastAsia="Arial" w:hAnsi="Arial"/>
                <w:sz w:val="20"/>
                <w:szCs w:val="20"/>
                <w:color w:val="auto"/>
              </w:rPr>
              <w:t>Amendment Date]</w:t>
            </w:r>
            <w:r>
              <w:rPr>
                <w:rFonts w:ascii="Arial" w:cs="Arial" w:eastAsia="Arial" w:hAnsi="Arial"/>
                <w:sz w:val="25"/>
                <w:szCs w:val="25"/>
                <w:color w:val="auto"/>
                <w:vertAlign w:val="superscript"/>
              </w:rPr>
              <w:t>A</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-2820670</wp:posOffset>
            </wp:positionV>
            <wp:extent cx="7126605" cy="31470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6605" cy="3147060"/>
                    </a:xfrm>
                    <a:prstGeom prst="rect">
                      <a:avLst/>
                    </a:prstGeom>
                    <a:noFill/>
                  </pic:spPr>
                </pic:pic>
              </a:graphicData>
            </a:graphic>
          </wp:anchor>
        </w:drawing>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Pages Attached: [1-XX, Transferred Assets Exhibit(s) and Annuity Exhibit(s)]</w:t>
      </w:r>
      <w:r>
        <w:rPr>
          <w:rFonts w:ascii="Arial" w:cs="Arial" w:eastAsia="Arial" w:hAnsi="Arial"/>
          <w:sz w:val="25"/>
          <w:szCs w:val="25"/>
          <w:color w:val="auto"/>
          <w:vertAlign w:val="superscript"/>
        </w:rPr>
        <w:t>A</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line="276" w:lineRule="auto"/>
        <w:rPr>
          <w:sz w:val="20"/>
          <w:szCs w:val="20"/>
          <w:color w:val="auto"/>
        </w:rPr>
      </w:pPr>
      <w:r>
        <w:rPr>
          <w:rFonts w:ascii="Arial" w:cs="Arial" w:eastAsia="Arial" w:hAnsi="Arial"/>
          <w:sz w:val="20"/>
          <w:szCs w:val="20"/>
          <w:color w:val="auto"/>
        </w:rPr>
        <w:t>[NAME OF TRUST BANK as Directed Trustee of the Vita Salaried Retirement Trust, a New York trust]</w:t>
      </w:r>
      <w:r>
        <w:rPr>
          <w:rFonts w:ascii="Arial" w:cs="Arial" w:eastAsia="Arial" w:hAnsi="Arial"/>
          <w:sz w:val="25"/>
          <w:szCs w:val="25"/>
          <w:color w:val="auto"/>
          <w:vertAlign w:val="superscript"/>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[By:_______________________________</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Date:]</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PRUDENTIAL INSURANCE COMPANY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OF AMERICA</w:t>
      </w:r>
    </w:p>
    <w:p>
      <w:pPr>
        <w:ind w:left="20"/>
        <w:spacing w:after="0" w:line="236" w:lineRule="auto"/>
        <w:rPr>
          <w:sz w:val="20"/>
          <w:szCs w:val="20"/>
          <w:color w:val="auto"/>
        </w:rPr>
      </w:pPr>
      <w:r>
        <w:rPr>
          <w:rFonts w:ascii="Arial" w:cs="Arial" w:eastAsia="Arial" w:hAnsi="Arial"/>
          <w:sz w:val="20"/>
          <w:szCs w:val="20"/>
          <w:color w:val="auto"/>
        </w:rPr>
        <w:t>[200 Wood Avenue South</w:t>
      </w:r>
    </w:p>
    <w:p>
      <w:pPr>
        <w:ind w:left="20"/>
        <w:spacing w:after="0"/>
        <w:rPr>
          <w:sz w:val="20"/>
          <w:szCs w:val="20"/>
          <w:color w:val="auto"/>
        </w:rPr>
      </w:pPr>
      <w:r>
        <w:rPr>
          <w:rFonts w:ascii="Arial" w:cs="Arial" w:eastAsia="Arial" w:hAnsi="Arial"/>
          <w:sz w:val="20"/>
          <w:szCs w:val="20"/>
          <w:color w:val="auto"/>
        </w:rPr>
        <w:t>Iselin, New Jersey 08830]</w:t>
      </w:r>
      <w:r>
        <w:rPr>
          <w:rFonts w:ascii="Arial" w:cs="Arial" w:eastAsia="Arial" w:hAnsi="Arial"/>
          <w:sz w:val="25"/>
          <w:szCs w:val="25"/>
          <w:color w:val="auto"/>
          <w:vertAlign w:val="superscript"/>
        </w:rPr>
        <w:t>B</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[Chairman and Chief Executive Officer]</w:t>
      </w:r>
      <w:r>
        <w:rPr>
          <w:rFonts w:ascii="Arial" w:cs="Arial" w:eastAsia="Arial" w:hAnsi="Arial"/>
          <w:sz w:val="25"/>
          <w:szCs w:val="25"/>
          <w:color w:val="auto"/>
          <w:vertAlign w:val="superscript"/>
        </w:rPr>
        <w:t>B</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[Secretary]</w:t>
      </w:r>
      <w:r>
        <w:rPr>
          <w:rFonts w:ascii="Arial" w:cs="Arial" w:eastAsia="Arial" w:hAnsi="Arial"/>
          <w:sz w:val="25"/>
          <w:szCs w:val="25"/>
          <w:color w:val="auto"/>
          <w:vertAlign w:val="superscript"/>
        </w:rPr>
        <w:t>B</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Attest: _______________________________</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ectPr>
          <w:pgSz w:w="11900" w:h="16838" w:orient="portrait"/>
          <w:cols w:equalWidth="0" w:num="2">
            <w:col w:w="5700" w:space="80"/>
            <w:col w:w="5640"/>
          </w:cols>
          <w:pgMar w:left="240" w:top="584" w:right="239" w:bottom="1440" w:gutter="0" w:footer="0" w:header="0"/>
          <w:type w:val="continuous"/>
        </w:sectPr>
      </w:pPr>
    </w:p>
    <w:p>
      <w:pPr>
        <w:spacing w:after="0" w:line="4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Single-Premium Group Annuity Contract [ *** ], as provided herein, and providing for an irrevocable commitment to make Annuity Payments, subject to the provisions of this Contract. The Annuity Payments hereunder do not vary based on any gains or losses of the assets held in the Separate Account or the General Account.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1.1A - 1</w:t>
      </w:r>
    </w:p>
    <w:p>
      <w:pPr>
        <w:sectPr>
          <w:pgSz w:w="11900" w:h="16838" w:orient="portrait"/>
          <w:cols w:equalWidth="0" w:num="1">
            <w:col w:w="11420"/>
          </w:cols>
          <w:pgMar w:left="240" w:top="584" w:right="239" w:bottom="1440" w:gutter="0" w:footer="0" w:header="0"/>
          <w:type w:val="continuous"/>
        </w:sectPr>
      </w:pPr>
    </w:p>
    <w:bookmarkStart w:id="166" w:name="page167"/>
    <w:bookmarkEnd w:id="166"/>
    <w:p>
      <w:pPr>
        <w:ind w:left="105" w:hanging="105"/>
        <w:spacing w:after="0"/>
        <w:tabs>
          <w:tab w:leader="none" w:pos="105"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I</w:t>
      </w:r>
      <w:r>
        <w:rPr>
          <w:rFonts w:ascii="Arial" w:cs="Arial" w:eastAsia="Arial" w:hAnsi="Arial"/>
          <w:sz w:val="17"/>
          <w:szCs w:val="17"/>
          <w:b w:val="1"/>
          <w:bCs w:val="1"/>
          <w:color w:val="auto"/>
        </w:rPr>
        <w:t>DEFINITIONS; SEPARATE ACCOUNT OPERATIONS; PAYMENT OPERATIONS</w:t>
      </w:r>
    </w:p>
    <w:p>
      <w:pPr>
        <w:spacing w:after="0" w:line="67" w:lineRule="exact"/>
        <w:rPr>
          <w:rFonts w:ascii="Arial" w:cs="Arial" w:eastAsia="Arial" w:hAnsi="Arial"/>
          <w:sz w:val="18"/>
          <w:szCs w:val="18"/>
          <w:b w:val="1"/>
          <w:bCs w:val="1"/>
          <w:color w:val="auto"/>
        </w:rPr>
      </w:pPr>
    </w:p>
    <w:p>
      <w:pPr>
        <w:ind w:left="105" w:hanging="105"/>
        <w:spacing w:after="0"/>
        <w:tabs>
          <w:tab w:leader="none" w:pos="1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w:t>
      </w:r>
    </w:p>
    <w:p>
      <w:pPr>
        <w:spacing w:after="0" w:line="46"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864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67">
              <w:r>
                <w:rPr>
                  <w:rFonts w:ascii="Arial" w:cs="Arial" w:eastAsia="Arial" w:hAnsi="Arial"/>
                  <w:sz w:val="18"/>
                  <w:szCs w:val="18"/>
                  <w:color w:val="0000FF"/>
                  <w:w w:val="79"/>
                </w:rPr>
                <w:t>2</w:t>
              </w:r>
            </w:hyperlink>
          </w:p>
        </w:tc>
        <w:tc>
          <w:tcPr>
            <w:tcW w:w="80" w:type="dxa"/>
            <w:vAlign w:val="bottom"/>
          </w:tcPr>
          <w:p>
            <w:pPr>
              <w:spacing w:after="0"/>
              <w:rPr>
                <w:sz w:val="17"/>
                <w:szCs w:val="17"/>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8640" w:type="dxa"/>
            <w:vAlign w:val="bottom"/>
          </w:tcPr>
          <w:p>
            <w:pPr>
              <w:ind w:left="80"/>
              <w:spacing w:after="0"/>
              <w:rPr>
                <w:sz w:val="20"/>
                <w:szCs w:val="20"/>
                <w:color w:val="auto"/>
              </w:rPr>
            </w:pPr>
            <w:r>
              <w:rPr>
                <w:rFonts w:ascii="Arial" w:cs="Arial" w:eastAsia="Arial" w:hAnsi="Arial"/>
                <w:sz w:val="18"/>
                <w:szCs w:val="18"/>
                <w:color w:val="auto"/>
              </w:rPr>
              <w:t>Adjusted Contribution Amount; [ *** ]</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0">
              <w:r>
                <w:rPr>
                  <w:rFonts w:ascii="Arial" w:cs="Arial" w:eastAsia="Arial" w:hAnsi="Arial"/>
                  <w:sz w:val="18"/>
                  <w:szCs w:val="18"/>
                  <w:color w:val="0000FF"/>
                  <w:w w:val="79"/>
                </w:rPr>
                <w:t>4</w:t>
              </w:r>
            </w:hyperlink>
          </w:p>
        </w:tc>
        <w:tc>
          <w:tcPr>
            <w:tcW w:w="80" w:type="dxa"/>
            <w:vAlign w:val="bottom"/>
          </w:tcPr>
          <w:p>
            <w:pPr>
              <w:spacing w:after="0"/>
              <w:rPr>
                <w:sz w:val="21"/>
                <w:szCs w:val="21"/>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8640" w:type="dxa"/>
            <w:vAlign w:val="bottom"/>
          </w:tcPr>
          <w:p>
            <w:pPr>
              <w:ind w:left="80"/>
              <w:spacing w:after="0"/>
              <w:rPr>
                <w:sz w:val="20"/>
                <w:szCs w:val="20"/>
                <w:color w:val="auto"/>
              </w:rPr>
            </w:pPr>
            <w:r>
              <w:rPr>
                <w:rFonts w:ascii="Arial" w:cs="Arial" w:eastAsia="Arial" w:hAnsi="Arial"/>
                <w:sz w:val="18"/>
                <w:szCs w:val="18"/>
                <w:color w:val="auto"/>
              </w:rPr>
              <w:t>Annuity Payments; Annuity Payment Support; Associated Withdrawals from Accounts; Termination</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1">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8640" w:type="dxa"/>
            <w:vAlign w:val="bottom"/>
          </w:tcPr>
          <w:p>
            <w:pPr>
              <w:ind w:left="80"/>
              <w:spacing w:after="0"/>
              <w:rPr>
                <w:sz w:val="20"/>
                <w:szCs w:val="20"/>
                <w:color w:val="auto"/>
              </w:rPr>
            </w:pPr>
            <w:r>
              <w:rPr>
                <w:rFonts w:ascii="Arial" w:cs="Arial" w:eastAsia="Arial" w:hAnsi="Arial"/>
                <w:sz w:val="18"/>
                <w:szCs w:val="18"/>
                <w:color w:val="auto"/>
              </w:rPr>
              <w:t>The Separate Accounts that Support this Contract</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1">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8640" w:type="dxa"/>
            <w:vAlign w:val="bottom"/>
          </w:tcPr>
          <w:p>
            <w:pPr>
              <w:ind w:left="80"/>
              <w:spacing w:after="0"/>
              <w:rPr>
                <w:sz w:val="20"/>
                <w:szCs w:val="20"/>
                <w:color w:val="auto"/>
              </w:rPr>
            </w:pPr>
            <w:r>
              <w:rPr>
                <w:rFonts w:ascii="Arial" w:cs="Arial" w:eastAsia="Arial" w:hAnsi="Arial"/>
                <w:sz w:val="18"/>
                <w:szCs w:val="18"/>
                <w:color w:val="auto"/>
              </w:rPr>
              <w:t>Investments Held in Separate Account; Insulation of Separate Account Assets</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1">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1.6</w:t>
            </w:r>
          </w:p>
        </w:tc>
        <w:tc>
          <w:tcPr>
            <w:tcW w:w="8640" w:type="dxa"/>
            <w:vAlign w:val="bottom"/>
          </w:tcPr>
          <w:p>
            <w:pPr>
              <w:ind w:left="80"/>
              <w:spacing w:after="0"/>
              <w:rPr>
                <w:sz w:val="20"/>
                <w:szCs w:val="20"/>
                <w:color w:val="auto"/>
              </w:rPr>
            </w:pPr>
            <w:r>
              <w:rPr>
                <w:rFonts w:ascii="Arial" w:cs="Arial" w:eastAsia="Arial" w:hAnsi="Arial"/>
                <w:sz w:val="18"/>
                <w:szCs w:val="18"/>
                <w:color w:val="auto"/>
              </w:rPr>
              <w:t>Payment Obligation of Prudential</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1">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1.7</w:t>
            </w:r>
          </w:p>
        </w:tc>
        <w:tc>
          <w:tcPr>
            <w:tcW w:w="8640" w:type="dxa"/>
            <w:vAlign w:val="bottom"/>
          </w:tcPr>
          <w:p>
            <w:pPr>
              <w:ind w:left="80"/>
              <w:spacing w:after="0"/>
              <w:rPr>
                <w:sz w:val="20"/>
                <w:szCs w:val="20"/>
                <w:color w:val="auto"/>
              </w:rPr>
            </w:pPr>
            <w:r>
              <w:rPr>
                <w:rFonts w:ascii="Arial" w:cs="Arial" w:eastAsia="Arial" w:hAnsi="Arial"/>
                <w:sz w:val="18"/>
                <w:szCs w:val="18"/>
                <w:color w:val="auto"/>
              </w:rPr>
              <w:t>Establishing Reserves; Withdrawal of Assets from the Separate Account</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1">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8640" w:type="dxa"/>
            <w:vAlign w:val="bottom"/>
          </w:tcPr>
          <w:p>
            <w:pPr>
              <w:ind w:left="80"/>
              <w:spacing w:after="0"/>
              <w:rPr>
                <w:sz w:val="20"/>
                <w:szCs w:val="20"/>
                <w:color w:val="auto"/>
              </w:rPr>
            </w:pPr>
            <w:r>
              <w:rPr>
                <w:rFonts w:ascii="Arial" w:cs="Arial" w:eastAsia="Arial" w:hAnsi="Arial"/>
                <w:sz w:val="18"/>
                <w:szCs w:val="18"/>
                <w:color w:val="auto"/>
              </w:rPr>
              <w:t>Process for making Monthly Annuity Payments</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2">
              <w:r>
                <w:rPr>
                  <w:rFonts w:ascii="Arial" w:cs="Arial" w:eastAsia="Arial" w:hAnsi="Arial"/>
                  <w:sz w:val="18"/>
                  <w:szCs w:val="18"/>
                  <w:color w:val="0000FF"/>
                  <w:w w:val="79"/>
                </w:rPr>
                <w:t>6</w:t>
              </w:r>
            </w:hyperlink>
          </w:p>
        </w:tc>
        <w:tc>
          <w:tcPr>
            <w:tcW w:w="80" w:type="dxa"/>
            <w:vAlign w:val="bottom"/>
          </w:tcPr>
          <w:p>
            <w:pPr>
              <w:spacing w:after="0"/>
              <w:rPr>
                <w:sz w:val="21"/>
                <w:szCs w:val="21"/>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1.9</w:t>
            </w:r>
          </w:p>
        </w:tc>
        <w:tc>
          <w:tcPr>
            <w:tcW w:w="8640" w:type="dxa"/>
            <w:vAlign w:val="bottom"/>
          </w:tcPr>
          <w:p>
            <w:pPr>
              <w:ind w:left="80"/>
              <w:spacing w:after="0"/>
              <w:rPr>
                <w:sz w:val="20"/>
                <w:szCs w:val="20"/>
                <w:color w:val="auto"/>
              </w:rPr>
            </w:pPr>
            <w:r>
              <w:rPr>
                <w:rFonts w:ascii="Arial" w:cs="Arial" w:eastAsia="Arial" w:hAnsi="Arial"/>
                <w:sz w:val="18"/>
                <w:szCs w:val="18"/>
                <w:color w:val="auto"/>
              </w:rPr>
              <w:t>Persons Entitled to Enforce this Contract against Prudential</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2">
              <w:r>
                <w:rPr>
                  <w:rFonts w:ascii="Arial" w:cs="Arial" w:eastAsia="Arial" w:hAnsi="Arial"/>
                  <w:sz w:val="18"/>
                  <w:szCs w:val="18"/>
                  <w:color w:val="0000FF"/>
                  <w:w w:val="79"/>
                </w:rPr>
                <w:t>6</w:t>
              </w:r>
            </w:hyperlink>
          </w:p>
        </w:tc>
        <w:tc>
          <w:tcPr>
            <w:tcW w:w="80" w:type="dxa"/>
            <w:vAlign w:val="bottom"/>
          </w:tcPr>
          <w:p>
            <w:pPr>
              <w:spacing w:after="0"/>
              <w:rPr>
                <w:sz w:val="21"/>
                <w:szCs w:val="21"/>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1.10</w:t>
            </w:r>
          </w:p>
        </w:tc>
        <w:tc>
          <w:tcPr>
            <w:tcW w:w="8640" w:type="dxa"/>
            <w:vAlign w:val="bottom"/>
          </w:tcPr>
          <w:p>
            <w:pPr>
              <w:ind w:left="80"/>
              <w:spacing w:after="0"/>
              <w:rPr>
                <w:sz w:val="20"/>
                <w:szCs w:val="20"/>
                <w:color w:val="auto"/>
              </w:rPr>
            </w:pPr>
            <w:r>
              <w:rPr>
                <w:rFonts w:ascii="Arial" w:cs="Arial" w:eastAsia="Arial" w:hAnsi="Arial"/>
                <w:sz w:val="18"/>
                <w:szCs w:val="18"/>
                <w:color w:val="auto"/>
              </w:rPr>
              <w:t>Small Account Conversions</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2">
              <w:r>
                <w:rPr>
                  <w:rFonts w:ascii="Arial" w:cs="Arial" w:eastAsia="Arial" w:hAnsi="Arial"/>
                  <w:sz w:val="18"/>
                  <w:szCs w:val="18"/>
                  <w:color w:val="0000FF"/>
                  <w:w w:val="79"/>
                </w:rPr>
                <w:t>6</w:t>
              </w:r>
            </w:hyperlink>
          </w:p>
        </w:tc>
        <w:tc>
          <w:tcPr>
            <w:tcW w:w="80" w:type="dxa"/>
            <w:vAlign w:val="bottom"/>
          </w:tcPr>
          <w:p>
            <w:pPr>
              <w:spacing w:after="0"/>
              <w:rPr>
                <w:sz w:val="21"/>
                <w:szCs w:val="21"/>
                <w:color w:val="auto"/>
              </w:rPr>
            </w:pPr>
          </w:p>
        </w:tc>
      </w:tr>
      <w:tr>
        <w:trPr>
          <w:trHeight w:val="615"/>
        </w:trPr>
        <w:tc>
          <w:tcPr>
            <w:tcW w:w="1520" w:type="dxa"/>
            <w:vAlign w:val="bottom"/>
          </w:tcPr>
          <w:p>
            <w:pPr>
              <w:spacing w:after="0"/>
              <w:rPr>
                <w:sz w:val="20"/>
                <w:szCs w:val="20"/>
                <w:color w:val="auto"/>
              </w:rPr>
            </w:pPr>
            <w:r>
              <w:rPr>
                <w:rFonts w:ascii="Arial" w:cs="Arial" w:eastAsia="Arial" w:hAnsi="Arial"/>
                <w:sz w:val="18"/>
                <w:szCs w:val="18"/>
                <w:b w:val="1"/>
                <w:bCs w:val="1"/>
                <w:color w:val="auto"/>
              </w:rPr>
              <w:t>Provision II</w:t>
            </w:r>
          </w:p>
        </w:tc>
        <w:tc>
          <w:tcPr>
            <w:tcW w:w="8640" w:type="dxa"/>
            <w:vAlign w:val="bottom"/>
          </w:tcPr>
          <w:p>
            <w:pPr>
              <w:ind w:left="80"/>
              <w:spacing w:after="0"/>
              <w:rPr>
                <w:sz w:val="20"/>
                <w:szCs w:val="20"/>
                <w:color w:val="auto"/>
              </w:rPr>
            </w:pPr>
            <w:r>
              <w:rPr>
                <w:rFonts w:ascii="Arial" w:cs="Arial" w:eastAsia="Arial" w:hAnsi="Arial"/>
                <w:sz w:val="18"/>
                <w:szCs w:val="18"/>
                <w:b w:val="1"/>
                <w:bCs w:val="1"/>
                <w:color w:val="auto"/>
              </w:rPr>
              <w:t>PAYMENT TERMS AND CONDITIONS FOR FORMS OF ANNUITIES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4"/>
        </w:trPr>
        <w:tc>
          <w:tcPr>
            <w:tcW w:w="1520" w:type="dxa"/>
            <w:vAlign w:val="bottom"/>
          </w:tcPr>
          <w:p>
            <w:pPr>
              <w:jc w:val="right"/>
              <w:spacing w:after="0"/>
              <w:rPr>
                <w:sz w:val="20"/>
                <w:szCs w:val="20"/>
                <w:color w:val="auto"/>
              </w:rPr>
            </w:pPr>
            <w:r>
              <w:rPr>
                <w:rFonts w:ascii="Arial" w:cs="Arial" w:eastAsia="Arial" w:hAnsi="Arial"/>
                <w:sz w:val="18"/>
                <w:szCs w:val="18"/>
                <w:color w:val="auto"/>
              </w:rPr>
              <w:t>2.1</w:t>
            </w:r>
          </w:p>
        </w:tc>
        <w:tc>
          <w:tcPr>
            <w:tcW w:w="8640" w:type="dxa"/>
            <w:vAlign w:val="bottom"/>
          </w:tcPr>
          <w:p>
            <w:pPr>
              <w:ind w:left="80"/>
              <w:spacing w:after="0"/>
              <w:rPr>
                <w:sz w:val="20"/>
                <w:szCs w:val="20"/>
                <w:color w:val="auto"/>
              </w:rPr>
            </w:pPr>
            <w:r>
              <w:rPr>
                <w:rFonts w:ascii="Arial" w:cs="Arial" w:eastAsia="Arial" w:hAnsi="Arial"/>
                <w:sz w:val="18"/>
                <w:szCs w:val="18"/>
                <w:color w:val="auto"/>
              </w:rPr>
              <w:t>General</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3">
              <w:r>
                <w:rPr>
                  <w:rFonts w:ascii="Arial" w:cs="Arial" w:eastAsia="Arial" w:hAnsi="Arial"/>
                  <w:sz w:val="18"/>
                  <w:szCs w:val="18"/>
                  <w:color w:val="0000FF"/>
                  <w:w w:val="79"/>
                </w:rPr>
                <w:t>7</w:t>
              </w:r>
            </w:hyperlink>
          </w:p>
        </w:tc>
        <w:tc>
          <w:tcPr>
            <w:tcW w:w="80" w:type="dxa"/>
            <w:vAlign w:val="bottom"/>
          </w:tcPr>
          <w:p>
            <w:pPr>
              <w:spacing w:after="0"/>
              <w:rPr>
                <w:sz w:val="24"/>
                <w:szCs w:val="24"/>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864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73">
              <w:r>
                <w:rPr>
                  <w:rFonts w:ascii="Arial" w:cs="Arial" w:eastAsia="Arial" w:hAnsi="Arial"/>
                  <w:sz w:val="18"/>
                  <w:szCs w:val="18"/>
                  <w:color w:val="0000FF"/>
                  <w:w w:val="79"/>
                </w:rPr>
                <w:t>7</w:t>
              </w:r>
            </w:hyperlink>
          </w:p>
        </w:tc>
        <w:tc>
          <w:tcPr>
            <w:tcW w:w="80" w:type="dxa"/>
            <w:vAlign w:val="bottom"/>
          </w:tcPr>
          <w:p>
            <w:pPr>
              <w:spacing w:after="0"/>
              <w:rPr>
                <w:sz w:val="21"/>
                <w:szCs w:val="21"/>
                <w:color w:val="auto"/>
              </w:rPr>
            </w:pPr>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2.3</w:t>
            </w:r>
          </w:p>
        </w:tc>
        <w:tc>
          <w:tcPr>
            <w:tcW w:w="8640" w:type="dxa"/>
            <w:vAlign w:val="bottom"/>
          </w:tcPr>
          <w:p>
            <w:pPr>
              <w:ind w:left="80"/>
              <w:spacing w:after="0"/>
              <w:rPr>
                <w:sz w:val="20"/>
                <w:szCs w:val="20"/>
                <w:color w:val="auto"/>
              </w:rPr>
            </w:pPr>
            <w:r>
              <w:rPr>
                <w:rFonts w:ascii="Arial" w:cs="Arial" w:eastAsia="Arial" w:hAnsi="Arial"/>
                <w:sz w:val="18"/>
                <w:szCs w:val="18"/>
                <w:color w:val="auto"/>
              </w:rPr>
              <w:t>Annuity Forms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80">
              <w:r>
                <w:rPr>
                  <w:rFonts w:ascii="Arial" w:cs="Arial" w:eastAsia="Arial" w:hAnsi="Arial"/>
                  <w:sz w:val="18"/>
                  <w:szCs w:val="18"/>
                  <w:color w:val="0000FF"/>
                  <w:w w:val="79"/>
                </w:rPr>
                <w:t>14</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8640" w:type="dxa"/>
            <w:vAlign w:val="bottom"/>
          </w:tcPr>
          <w:p>
            <w:pPr>
              <w:ind w:left="80"/>
              <w:spacing w:after="0"/>
              <w:rPr>
                <w:sz w:val="20"/>
                <w:szCs w:val="20"/>
                <w:color w:val="auto"/>
              </w:rPr>
            </w:pPr>
            <w:r>
              <w:rPr>
                <w:rFonts w:ascii="Arial" w:cs="Arial" w:eastAsia="Arial" w:hAnsi="Arial"/>
                <w:sz w:val="18"/>
                <w:szCs w:val="18"/>
                <w:color w:val="auto"/>
              </w:rPr>
              <w:t>Limitation on Assignment</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87">
              <w:r>
                <w:rPr>
                  <w:rFonts w:ascii="Arial" w:cs="Arial" w:eastAsia="Arial" w:hAnsi="Arial"/>
                  <w:sz w:val="18"/>
                  <w:szCs w:val="18"/>
                  <w:color w:val="0000FF"/>
                  <w:w w:val="79"/>
                </w:rPr>
                <w:t>21</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8640" w:type="dxa"/>
            <w:vAlign w:val="bottom"/>
          </w:tcPr>
          <w:p>
            <w:pPr>
              <w:ind w:left="80"/>
              <w:spacing w:after="0"/>
              <w:rPr>
                <w:sz w:val="20"/>
                <w:szCs w:val="20"/>
                <w:color w:val="auto"/>
              </w:rPr>
            </w:pPr>
            <w:r>
              <w:rPr>
                <w:rFonts w:ascii="Arial" w:cs="Arial" w:eastAsia="Arial" w:hAnsi="Arial"/>
                <w:sz w:val="18"/>
                <w:szCs w:val="18"/>
                <w:color w:val="auto"/>
              </w:rPr>
              <w:t>Proof of Continued Existence; Escheatment of Unpaid Amounts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87">
              <w:r>
                <w:rPr>
                  <w:rFonts w:ascii="Arial" w:cs="Arial" w:eastAsia="Arial" w:hAnsi="Arial"/>
                  <w:sz w:val="18"/>
                  <w:szCs w:val="18"/>
                  <w:color w:val="0000FF"/>
                  <w:w w:val="79"/>
                </w:rPr>
                <w:t>21</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2.6</w:t>
            </w:r>
          </w:p>
        </w:tc>
        <w:tc>
          <w:tcPr>
            <w:tcW w:w="8640" w:type="dxa"/>
            <w:vAlign w:val="bottom"/>
          </w:tcPr>
          <w:p>
            <w:pPr>
              <w:ind w:left="80"/>
              <w:spacing w:after="0"/>
              <w:rPr>
                <w:sz w:val="20"/>
                <w:szCs w:val="20"/>
                <w:color w:val="auto"/>
              </w:rPr>
            </w:pPr>
            <w:r>
              <w:rPr>
                <w:rFonts w:ascii="Arial" w:cs="Arial" w:eastAsia="Arial" w:hAnsi="Arial"/>
                <w:sz w:val="18"/>
                <w:szCs w:val="18"/>
                <w:color w:val="auto"/>
              </w:rPr>
              <w:t>Misstatements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87">
              <w:r>
                <w:rPr>
                  <w:rFonts w:ascii="Arial" w:cs="Arial" w:eastAsia="Arial" w:hAnsi="Arial"/>
                  <w:sz w:val="18"/>
                  <w:szCs w:val="18"/>
                  <w:color w:val="0000FF"/>
                  <w:w w:val="79"/>
                </w:rPr>
                <w:t>21</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8640" w:type="dxa"/>
            <w:vAlign w:val="bottom"/>
          </w:tcPr>
          <w:p>
            <w:pPr>
              <w:ind w:left="80"/>
              <w:spacing w:after="0"/>
              <w:rPr>
                <w:sz w:val="20"/>
                <w:szCs w:val="20"/>
                <w:color w:val="auto"/>
              </w:rPr>
            </w:pPr>
            <w:r>
              <w:rPr>
                <w:rFonts w:ascii="Arial" w:cs="Arial" w:eastAsia="Arial" w:hAnsi="Arial"/>
                <w:sz w:val="18"/>
                <w:szCs w:val="18"/>
                <w:color w:val="auto"/>
              </w:rPr>
              <w:t>Concerning Beneficiaries and Contingent Annuitants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88">
              <w:r>
                <w:rPr>
                  <w:rFonts w:ascii="Arial" w:cs="Arial" w:eastAsia="Arial" w:hAnsi="Arial"/>
                  <w:sz w:val="18"/>
                  <w:szCs w:val="18"/>
                  <w:color w:val="0000FF"/>
                  <w:w w:val="79"/>
                </w:rPr>
                <w:t>22</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8640" w:type="dxa"/>
            <w:vAlign w:val="bottom"/>
          </w:tcPr>
          <w:p>
            <w:pPr>
              <w:ind w:left="80"/>
              <w:spacing w:after="0"/>
              <w:rPr>
                <w:sz w:val="20"/>
                <w:szCs w:val="20"/>
                <w:color w:val="auto"/>
              </w:rPr>
            </w:pPr>
            <w:r>
              <w:rPr>
                <w:rFonts w:ascii="Arial" w:cs="Arial" w:eastAsia="Arial" w:hAnsi="Arial"/>
                <w:sz w:val="18"/>
                <w:szCs w:val="18"/>
                <w:color w:val="auto"/>
              </w:rPr>
              <w:t>Concerning Domestic Relations Orders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89">
              <w:r>
                <w:rPr>
                  <w:rFonts w:ascii="Arial" w:cs="Arial" w:eastAsia="Arial" w:hAnsi="Arial"/>
                  <w:sz w:val="18"/>
                  <w:szCs w:val="18"/>
                  <w:color w:val="0000FF"/>
                  <w:w w:val="79"/>
                </w:rPr>
                <w:t>23</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2.9</w:t>
            </w:r>
          </w:p>
        </w:tc>
        <w:tc>
          <w:tcPr>
            <w:tcW w:w="8640" w:type="dxa"/>
            <w:vAlign w:val="bottom"/>
          </w:tcPr>
          <w:p>
            <w:pPr>
              <w:ind w:left="80"/>
              <w:spacing w:after="0"/>
              <w:rPr>
                <w:sz w:val="20"/>
                <w:szCs w:val="20"/>
                <w:color w:val="auto"/>
              </w:rPr>
            </w:pPr>
            <w:r>
              <w:rPr>
                <w:rFonts w:ascii="Arial" w:cs="Arial" w:eastAsia="Arial" w:hAnsi="Arial"/>
                <w:sz w:val="18"/>
                <w:szCs w:val="18"/>
                <w:color w:val="auto"/>
              </w:rPr>
              <w:t>Substitute Payee</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89">
              <w:r>
                <w:rPr>
                  <w:rFonts w:ascii="Arial" w:cs="Arial" w:eastAsia="Arial" w:hAnsi="Arial"/>
                  <w:sz w:val="18"/>
                  <w:szCs w:val="18"/>
                  <w:color w:val="0000FF"/>
                  <w:w w:val="79"/>
                </w:rPr>
                <w:t>23</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2.10</w:t>
            </w:r>
          </w:p>
        </w:tc>
        <w:tc>
          <w:tcPr>
            <w:tcW w:w="8640" w:type="dxa"/>
            <w:vAlign w:val="bottom"/>
          </w:tcPr>
          <w:p>
            <w:pPr>
              <w:ind w:left="80"/>
              <w:spacing w:after="0"/>
              <w:rPr>
                <w:sz w:val="20"/>
                <w:szCs w:val="20"/>
                <w:color w:val="auto"/>
              </w:rPr>
            </w:pPr>
            <w:r>
              <w:rPr>
                <w:rFonts w:ascii="Arial" w:cs="Arial" w:eastAsia="Arial" w:hAnsi="Arial"/>
                <w:sz w:val="18"/>
                <w:szCs w:val="18"/>
                <w:color w:val="auto"/>
              </w:rPr>
              <w:t>Certificates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89">
              <w:r>
                <w:rPr>
                  <w:rFonts w:ascii="Arial" w:cs="Arial" w:eastAsia="Arial" w:hAnsi="Arial"/>
                  <w:sz w:val="18"/>
                  <w:szCs w:val="18"/>
                  <w:color w:val="0000FF"/>
                  <w:w w:val="79"/>
                </w:rPr>
                <w:t>23</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2.11</w:t>
            </w:r>
          </w:p>
        </w:tc>
        <w:tc>
          <w:tcPr>
            <w:tcW w:w="8640" w:type="dxa"/>
            <w:vAlign w:val="bottom"/>
          </w:tcPr>
          <w:p>
            <w:pPr>
              <w:ind w:left="80"/>
              <w:spacing w:after="0"/>
              <w:rPr>
                <w:sz w:val="20"/>
                <w:szCs w:val="20"/>
                <w:color w:val="auto"/>
              </w:rPr>
            </w:pPr>
            <w:r>
              <w:rPr>
                <w:rFonts w:ascii="Arial" w:cs="Arial" w:eastAsia="Arial" w:hAnsi="Arial"/>
                <w:sz w:val="18"/>
                <w:szCs w:val="18"/>
                <w:color w:val="auto"/>
              </w:rPr>
              <w:t>Reliance on Records; Correction of Errors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0">
              <w:r>
                <w:rPr>
                  <w:rFonts w:ascii="Arial" w:cs="Arial" w:eastAsia="Arial" w:hAnsi="Arial"/>
                  <w:sz w:val="18"/>
                  <w:szCs w:val="18"/>
                  <w:color w:val="0000FF"/>
                  <w:w w:val="79"/>
                </w:rPr>
                <w:t>24</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2.12</w:t>
            </w:r>
          </w:p>
        </w:tc>
        <w:tc>
          <w:tcPr>
            <w:tcW w:w="8640" w:type="dxa"/>
            <w:vAlign w:val="bottom"/>
          </w:tcPr>
          <w:p>
            <w:pPr>
              <w:ind w:left="80"/>
              <w:spacing w:after="0" w:line="250" w:lineRule="exact"/>
              <w:rPr>
                <w:sz w:val="20"/>
                <w:szCs w:val="20"/>
                <w:color w:val="auto"/>
              </w:rPr>
            </w:pPr>
            <w:r>
              <w:rPr>
                <w:rFonts w:ascii="Arial" w:cs="Arial" w:eastAsia="Arial" w:hAnsi="Arial"/>
                <w:sz w:val="18"/>
                <w:szCs w:val="18"/>
                <w:color w:val="auto"/>
              </w:rPr>
              <w:t>[Deductions from Annuity Payments]</w:t>
            </w:r>
            <w:r>
              <w:rPr>
                <w:rFonts w:ascii="Arial" w:cs="Arial" w:eastAsia="Arial" w:hAnsi="Arial"/>
                <w:sz w:val="25"/>
                <w:szCs w:val="25"/>
                <w:color w:val="auto"/>
                <w:vertAlign w:val="superscript"/>
              </w:rPr>
              <w:t>D</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0">
              <w:r>
                <w:rPr>
                  <w:rFonts w:ascii="Arial" w:cs="Arial" w:eastAsia="Arial" w:hAnsi="Arial"/>
                  <w:sz w:val="18"/>
                  <w:szCs w:val="18"/>
                  <w:color w:val="0000FF"/>
                  <w:w w:val="79"/>
                </w:rPr>
                <w:t>24</w:t>
              </w:r>
            </w:hyperlink>
          </w:p>
        </w:tc>
      </w:tr>
      <w:tr>
        <w:trPr>
          <w:trHeight w:val="615"/>
        </w:trPr>
        <w:tc>
          <w:tcPr>
            <w:tcW w:w="1520" w:type="dxa"/>
            <w:vAlign w:val="bottom"/>
          </w:tcPr>
          <w:p>
            <w:pPr>
              <w:spacing w:after="0"/>
              <w:rPr>
                <w:sz w:val="20"/>
                <w:szCs w:val="20"/>
                <w:color w:val="auto"/>
              </w:rPr>
            </w:pPr>
            <w:r>
              <w:rPr>
                <w:rFonts w:ascii="Arial" w:cs="Arial" w:eastAsia="Arial" w:hAnsi="Arial"/>
                <w:sz w:val="18"/>
                <w:szCs w:val="18"/>
                <w:b w:val="1"/>
                <w:bCs w:val="1"/>
                <w:color w:val="auto"/>
              </w:rPr>
              <w:t>Provision III</w:t>
            </w:r>
          </w:p>
        </w:tc>
        <w:tc>
          <w:tcPr>
            <w:tcW w:w="8640" w:type="dxa"/>
            <w:vAlign w:val="bottom"/>
          </w:tcPr>
          <w:p>
            <w:pPr>
              <w:ind w:left="80"/>
              <w:spacing w:after="0"/>
              <w:rPr>
                <w:sz w:val="20"/>
                <w:szCs w:val="20"/>
                <w:color w:val="auto"/>
              </w:rPr>
            </w:pPr>
            <w:r>
              <w:rPr>
                <w:rFonts w:ascii="Arial" w:cs="Arial" w:eastAsia="Arial" w:hAnsi="Arial"/>
                <w:sz w:val="18"/>
                <w:szCs w:val="18"/>
                <w:b w:val="1"/>
                <w:bCs w:val="1"/>
                <w:color w:val="auto"/>
              </w:rPr>
              <w:t>GENERAL TERMS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4"/>
        </w:trPr>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8640" w:type="dxa"/>
            <w:vAlign w:val="bottom"/>
          </w:tcPr>
          <w:p>
            <w:pPr>
              <w:ind w:left="80"/>
              <w:spacing w:after="0"/>
              <w:rPr>
                <w:sz w:val="20"/>
                <w:szCs w:val="20"/>
                <w:color w:val="auto"/>
              </w:rPr>
            </w:pPr>
            <w:r>
              <w:rPr>
                <w:rFonts w:ascii="Arial" w:cs="Arial" w:eastAsia="Arial" w:hAnsi="Arial"/>
                <w:sz w:val="18"/>
                <w:szCs w:val="18"/>
                <w:color w:val="auto"/>
              </w:rPr>
              <w:t>Communications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0">
              <w:r>
                <w:rPr>
                  <w:rFonts w:ascii="Arial" w:cs="Arial" w:eastAsia="Arial" w:hAnsi="Arial"/>
                  <w:sz w:val="18"/>
                  <w:szCs w:val="18"/>
                  <w:color w:val="0000FF"/>
                  <w:w w:val="79"/>
                </w:rPr>
                <w:t>24</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3.2</w:t>
            </w:r>
          </w:p>
        </w:tc>
        <w:tc>
          <w:tcPr>
            <w:tcW w:w="8640" w:type="dxa"/>
            <w:vAlign w:val="bottom"/>
          </w:tcPr>
          <w:p>
            <w:pPr>
              <w:ind w:left="80"/>
              <w:spacing w:after="0"/>
              <w:rPr>
                <w:sz w:val="20"/>
                <w:szCs w:val="20"/>
                <w:color w:val="auto"/>
              </w:rPr>
            </w:pPr>
            <w:r>
              <w:rPr>
                <w:rFonts w:ascii="Arial" w:cs="Arial" w:eastAsia="Arial" w:hAnsi="Arial"/>
                <w:sz w:val="18"/>
                <w:szCs w:val="18"/>
                <w:color w:val="auto"/>
              </w:rPr>
              <w:t>Currency; Payments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0">
              <w:r>
                <w:rPr>
                  <w:rFonts w:ascii="Arial" w:cs="Arial" w:eastAsia="Arial" w:hAnsi="Arial"/>
                  <w:sz w:val="18"/>
                  <w:szCs w:val="18"/>
                  <w:color w:val="0000FF"/>
                  <w:w w:val="79"/>
                </w:rPr>
                <w:t>24</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3.3</w:t>
            </w:r>
          </w:p>
        </w:tc>
        <w:tc>
          <w:tcPr>
            <w:tcW w:w="8640" w:type="dxa"/>
            <w:vAlign w:val="bottom"/>
          </w:tcPr>
          <w:p>
            <w:pPr>
              <w:ind w:left="80"/>
              <w:spacing w:after="0"/>
              <w:rPr>
                <w:sz w:val="20"/>
                <w:szCs w:val="20"/>
                <w:color w:val="auto"/>
              </w:rPr>
            </w:pPr>
            <w:r>
              <w:rPr>
                <w:rFonts w:ascii="Arial" w:cs="Arial" w:eastAsia="Arial" w:hAnsi="Arial"/>
                <w:sz w:val="18"/>
                <w:szCs w:val="18"/>
                <w:color w:val="auto"/>
              </w:rPr>
              <w:t>Contract-Holder</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0">
              <w:r>
                <w:rPr>
                  <w:rFonts w:ascii="Arial" w:cs="Arial" w:eastAsia="Arial" w:hAnsi="Arial"/>
                  <w:sz w:val="18"/>
                  <w:szCs w:val="18"/>
                  <w:color w:val="0000FF"/>
                  <w:w w:val="79"/>
                </w:rPr>
                <w:t>24</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8640" w:type="dxa"/>
            <w:vAlign w:val="bottom"/>
          </w:tcPr>
          <w:p>
            <w:pPr>
              <w:ind w:left="80"/>
              <w:spacing w:after="0"/>
              <w:rPr>
                <w:sz w:val="20"/>
                <w:szCs w:val="20"/>
                <w:color w:val="auto"/>
              </w:rPr>
            </w:pPr>
            <w:r>
              <w:rPr>
                <w:rFonts w:ascii="Arial" w:cs="Arial" w:eastAsia="Arial" w:hAnsi="Arial"/>
                <w:sz w:val="18"/>
                <w:szCs w:val="18"/>
                <w:color w:val="auto"/>
              </w:rPr>
              <w:t>No Implied Waiver</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1">
              <w:r>
                <w:rPr>
                  <w:rFonts w:ascii="Arial" w:cs="Arial" w:eastAsia="Arial" w:hAnsi="Arial"/>
                  <w:sz w:val="18"/>
                  <w:szCs w:val="18"/>
                  <w:color w:val="0000FF"/>
                  <w:w w:val="79"/>
                </w:rPr>
                <w:t>25</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3.5</w:t>
            </w:r>
          </w:p>
        </w:tc>
        <w:tc>
          <w:tcPr>
            <w:tcW w:w="8640" w:type="dxa"/>
            <w:vAlign w:val="bottom"/>
          </w:tcPr>
          <w:p>
            <w:pPr>
              <w:ind w:left="80"/>
              <w:spacing w:after="0"/>
              <w:rPr>
                <w:sz w:val="20"/>
                <w:szCs w:val="20"/>
                <w:color w:val="auto"/>
              </w:rPr>
            </w:pPr>
            <w:r>
              <w:rPr>
                <w:rFonts w:ascii="Arial" w:cs="Arial" w:eastAsia="Arial" w:hAnsi="Arial"/>
                <w:sz w:val="18"/>
                <w:szCs w:val="18"/>
                <w:color w:val="auto"/>
              </w:rPr>
              <w:t>Changes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1">
              <w:r>
                <w:rPr>
                  <w:rFonts w:ascii="Arial" w:cs="Arial" w:eastAsia="Arial" w:hAnsi="Arial"/>
                  <w:sz w:val="18"/>
                  <w:szCs w:val="18"/>
                  <w:color w:val="0000FF"/>
                  <w:w w:val="79"/>
                </w:rPr>
                <w:t>25</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8640" w:type="dxa"/>
            <w:vAlign w:val="bottom"/>
          </w:tcPr>
          <w:p>
            <w:pPr>
              <w:ind w:left="80"/>
              <w:spacing w:after="0"/>
              <w:rPr>
                <w:sz w:val="20"/>
                <w:szCs w:val="20"/>
                <w:color w:val="auto"/>
              </w:rPr>
            </w:pPr>
            <w:r>
              <w:rPr>
                <w:rFonts w:ascii="Arial" w:cs="Arial" w:eastAsia="Arial" w:hAnsi="Arial"/>
                <w:sz w:val="18"/>
                <w:szCs w:val="18"/>
                <w:color w:val="auto"/>
              </w:rPr>
              <w:t>Entire Contract - Construction</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1">
              <w:r>
                <w:rPr>
                  <w:rFonts w:ascii="Arial" w:cs="Arial" w:eastAsia="Arial" w:hAnsi="Arial"/>
                  <w:sz w:val="18"/>
                  <w:szCs w:val="18"/>
                  <w:color w:val="0000FF"/>
                  <w:w w:val="79"/>
                </w:rPr>
                <w:t>25</w:t>
              </w:r>
            </w:hyperlink>
          </w:p>
        </w:tc>
      </w:tr>
      <w:tr>
        <w:trPr>
          <w:trHeight w:val="250"/>
        </w:trPr>
        <w:tc>
          <w:tcPr>
            <w:tcW w:w="1520" w:type="dxa"/>
            <w:vAlign w:val="bottom"/>
          </w:tcPr>
          <w:p>
            <w:pPr>
              <w:jc w:val="right"/>
              <w:spacing w:after="0"/>
              <w:rPr>
                <w:sz w:val="20"/>
                <w:szCs w:val="20"/>
                <w:color w:val="auto"/>
              </w:rPr>
            </w:pPr>
            <w:r>
              <w:rPr>
                <w:rFonts w:ascii="Arial" w:cs="Arial" w:eastAsia="Arial" w:hAnsi="Arial"/>
                <w:sz w:val="18"/>
                <w:szCs w:val="18"/>
                <w:color w:val="auto"/>
              </w:rPr>
              <w:t>3.7</w:t>
            </w:r>
          </w:p>
        </w:tc>
        <w:tc>
          <w:tcPr>
            <w:tcW w:w="8640" w:type="dxa"/>
            <w:vAlign w:val="bottom"/>
          </w:tcPr>
          <w:p>
            <w:pPr>
              <w:ind w:left="80"/>
              <w:spacing w:after="0"/>
              <w:rPr>
                <w:sz w:val="20"/>
                <w:szCs w:val="20"/>
                <w:color w:val="auto"/>
              </w:rPr>
            </w:pPr>
            <w:r>
              <w:rPr>
                <w:rFonts w:ascii="Arial" w:cs="Arial" w:eastAsia="Arial" w:hAnsi="Arial"/>
                <w:sz w:val="18"/>
                <w:szCs w:val="18"/>
                <w:color w:val="auto"/>
              </w:rPr>
              <w:t>Third Party Beneficiaries: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1">
              <w:r>
                <w:rPr>
                  <w:rFonts w:ascii="Arial" w:cs="Arial" w:eastAsia="Arial" w:hAnsi="Arial"/>
                  <w:sz w:val="18"/>
                  <w:szCs w:val="18"/>
                  <w:color w:val="0000FF"/>
                  <w:w w:val="79"/>
                </w:rPr>
                <w:t>25</w:t>
              </w:r>
            </w:hyperlink>
          </w:p>
        </w:tc>
      </w:tr>
    </w:tbl>
    <w:p>
      <w:pPr>
        <w:spacing w:after="0" w:line="38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TRANSFERRED ASSETS EXHIBIT(S)</w:t>
      </w:r>
    </w:p>
    <w:p>
      <w:pPr>
        <w:spacing w:after="0" w:line="38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ANNUITY EXHIBIT(S) ]</w:t>
      </w:r>
      <w:r>
        <w:rPr>
          <w:rFonts w:ascii="Arial" w:cs="Arial" w:eastAsia="Arial" w:hAnsi="Arial"/>
          <w:sz w:val="25"/>
          <w:szCs w:val="25"/>
          <w:b w:val="1"/>
          <w:bCs w:val="1"/>
          <w:color w:val="auto"/>
          <w:vertAlign w:val="superscript"/>
        </w:rPr>
        <w:t>C</w:t>
      </w:r>
    </w:p>
    <w:p>
      <w:pPr>
        <w:spacing w:after="0" w:line="200" w:lineRule="exact"/>
        <w:rPr>
          <w:sz w:val="20"/>
          <w:szCs w:val="20"/>
          <w:color w:val="auto"/>
        </w:rPr>
      </w:pPr>
    </w:p>
    <w:p>
      <w:pPr>
        <w:spacing w:after="0" w:line="219" w:lineRule="exact"/>
        <w:rPr>
          <w:sz w:val="20"/>
          <w:szCs w:val="20"/>
          <w:color w:val="auto"/>
        </w:rPr>
      </w:pPr>
    </w:p>
    <w:p>
      <w:pPr>
        <w:ind w:left="5625"/>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45"/>
          </w:cols>
          <w:pgMar w:left="275" w:top="958" w:right="1279" w:bottom="1440" w:gutter="0" w:footer="0" w:header="0"/>
        </w:sectPr>
      </w:pPr>
    </w:p>
    <w:bookmarkStart w:id="167" w:name="page168"/>
    <w:bookmarkEnd w:id="167"/>
    <w:p>
      <w:pPr>
        <w:spacing w:after="0"/>
        <w:tabs>
          <w:tab w:leader="none" w:pos="1120" w:val="left"/>
        </w:tabs>
        <w:rPr>
          <w:sz w:val="20"/>
          <w:szCs w:val="20"/>
          <w:color w:val="auto"/>
        </w:rPr>
      </w:pPr>
      <w:r>
        <w:rPr>
          <w:rFonts w:ascii="Arial" w:cs="Arial" w:eastAsia="Arial" w:hAnsi="Arial"/>
          <w:sz w:val="20"/>
          <w:szCs w:val="20"/>
          <w:b w:val="1"/>
          <w:bCs w:val="1"/>
          <w:color w:val="auto"/>
        </w:rPr>
        <w:t>Provision I</w:t>
      </w:r>
      <w:r>
        <w:rPr>
          <w:sz w:val="20"/>
          <w:szCs w:val="20"/>
          <w:color w:val="auto"/>
        </w:rPr>
        <w:tab/>
      </w:r>
      <w:r>
        <w:rPr>
          <w:rFonts w:ascii="Arial" w:cs="Arial" w:eastAsia="Arial" w:hAnsi="Arial"/>
          <w:sz w:val="16"/>
          <w:szCs w:val="16"/>
          <w:b w:val="1"/>
          <w:bCs w:val="1"/>
          <w:color w:val="auto"/>
        </w:rPr>
        <w:t>Definitions; Separate Account Operations; Payment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1.1</w:t>
      </w:r>
      <w:r>
        <w:rPr>
          <w:sz w:val="20"/>
          <w:szCs w:val="20"/>
          <w:color w:val="auto"/>
        </w:rPr>
        <w:tab/>
      </w:r>
      <w:r>
        <w:rPr>
          <w:rFonts w:ascii="Arial" w:cs="Arial" w:eastAsia="Arial" w:hAnsi="Arial"/>
          <w:sz w:val="18"/>
          <w:szCs w:val="18"/>
          <w:u w:val="single" w:color="auto"/>
          <w:color w:val="auto"/>
        </w:rPr>
        <w:t>Definitions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addition to other capitalized terms defined in this Contract, the following capitalized terms shall have the meanings indicated:</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"Additional General Account Reserve" has the meaning assigned in Section 1.7.</w:t>
      </w:r>
    </w:p>
    <w:p>
      <w:pPr>
        <w:spacing w:after="0" w:line="216" w:lineRule="exact"/>
        <w:rPr>
          <w:sz w:val="20"/>
          <w:szCs w:val="20"/>
          <w:color w:val="auto"/>
        </w:rPr>
      </w:pPr>
    </w:p>
    <w:p>
      <w:pPr>
        <w:ind w:left="660" w:right="120"/>
        <w:spacing w:after="0" w:line="260" w:lineRule="auto"/>
        <w:rPr>
          <w:sz w:val="20"/>
          <w:szCs w:val="20"/>
          <w:color w:val="auto"/>
        </w:rPr>
      </w:pPr>
      <w:r>
        <w:rPr>
          <w:rFonts w:ascii="Arial" w:cs="Arial" w:eastAsia="Arial" w:hAnsi="Arial"/>
          <w:sz w:val="20"/>
          <w:szCs w:val="20"/>
          <w:color w:val="auto"/>
        </w:rPr>
        <w:t>“Adjusted Contribution Amount” means the net amount specified as such on the Cover Page of this Contract, payable on the Effective Date or on an Amendment Date specified on the related Cover Page.</w:t>
      </w:r>
    </w:p>
    <w:p>
      <w:pPr>
        <w:spacing w:after="0" w:line="177" w:lineRule="exact"/>
        <w:rPr>
          <w:sz w:val="20"/>
          <w:szCs w:val="20"/>
          <w:color w:val="auto"/>
        </w:rPr>
      </w:pPr>
    </w:p>
    <w:p>
      <w:pPr>
        <w:ind w:left="660" w:right="220"/>
        <w:spacing w:after="0" w:line="260" w:lineRule="auto"/>
        <w:rPr>
          <w:sz w:val="20"/>
          <w:szCs w:val="20"/>
          <w:color w:val="auto"/>
        </w:rPr>
      </w:pPr>
      <w:r>
        <w:rPr>
          <w:rFonts w:ascii="Arial" w:cs="Arial" w:eastAsia="Arial" w:hAnsi="Arial"/>
          <w:sz w:val="20"/>
          <w:szCs w:val="20"/>
          <w:color w:val="auto"/>
        </w:rPr>
        <w:t>“Aggregate Monthly Payment” means, for each month, the aggregate amount of Annuity Payments payable in respect of all Covered Lives (and, if applicable, Contingent Lives and Beneficiaries) for such month.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“Amendment Date” means the date shown on the Cover Page, and which is other than the Effective Date.</w:t>
      </w:r>
    </w:p>
    <w:p>
      <w:pPr>
        <w:spacing w:after="0" w:line="216" w:lineRule="exact"/>
        <w:rPr>
          <w:sz w:val="20"/>
          <w:szCs w:val="20"/>
          <w:color w:val="auto"/>
        </w:rPr>
      </w:pPr>
    </w:p>
    <w:p>
      <w:pPr>
        <w:ind w:left="660" w:right="40"/>
        <w:spacing w:after="0" w:line="276" w:lineRule="auto"/>
        <w:rPr>
          <w:sz w:val="20"/>
          <w:szCs w:val="20"/>
          <w:color w:val="auto"/>
        </w:rPr>
      </w:pPr>
      <w:r>
        <w:rPr>
          <w:rFonts w:ascii="Arial" w:cs="Arial" w:eastAsia="Arial" w:hAnsi="Arial"/>
          <w:sz w:val="20"/>
          <w:szCs w:val="20"/>
          <w:color w:val="auto"/>
        </w:rPr>
        <w:t>“Annuity Commencement Date” means the date the Annuity Payments commence, which shall be [MM DD, YYYY]</w:t>
      </w:r>
      <w:r>
        <w:rPr>
          <w:rFonts w:ascii="Arial" w:cs="Arial" w:eastAsia="Arial" w:hAnsi="Arial"/>
          <w:sz w:val="25"/>
          <w:szCs w:val="25"/>
          <w:color w:val="auto"/>
          <w:vertAlign w:val="superscript"/>
        </w:rPr>
        <w:t>E</w:t>
      </w:r>
      <w:r>
        <w:rPr>
          <w:rFonts w:ascii="Arial" w:cs="Arial" w:eastAsia="Arial" w:hAnsi="Arial"/>
          <w:sz w:val="20"/>
          <w:szCs w:val="20"/>
          <w:color w:val="auto"/>
        </w:rPr>
        <w:t>[specified on the Annuity Exhibits]</w:t>
      </w:r>
      <w:r>
        <w:rPr>
          <w:rFonts w:ascii="Arial" w:cs="Arial" w:eastAsia="Arial" w:hAnsi="Arial"/>
          <w:sz w:val="25"/>
          <w:szCs w:val="25"/>
          <w:color w:val="auto"/>
          <w:vertAlign w:val="superscript"/>
        </w:rPr>
        <w:t>E</w:t>
      </w:r>
      <w:r>
        <w:rPr>
          <w:rFonts w:ascii="Arial" w:cs="Arial" w:eastAsia="Arial" w:hAnsi="Arial"/>
          <w:sz w:val="20"/>
          <w:szCs w:val="20"/>
          <w:color w:val="auto"/>
        </w:rPr>
        <w:t>.</w:t>
      </w:r>
    </w:p>
    <w:p>
      <w:pPr>
        <w:spacing w:after="0" w:line="80" w:lineRule="exact"/>
        <w:rPr>
          <w:sz w:val="20"/>
          <w:szCs w:val="20"/>
          <w:color w:val="auto"/>
        </w:rPr>
      </w:pPr>
    </w:p>
    <w:p>
      <w:pPr>
        <w:ind w:left="660" w:right="280"/>
        <w:spacing w:after="0" w:line="260" w:lineRule="auto"/>
        <w:rPr>
          <w:sz w:val="20"/>
          <w:szCs w:val="20"/>
          <w:color w:val="auto"/>
        </w:rPr>
      </w:pPr>
      <w:r>
        <w:rPr>
          <w:rFonts w:ascii="Arial" w:cs="Arial" w:eastAsia="Arial" w:hAnsi="Arial"/>
          <w:sz w:val="20"/>
          <w:szCs w:val="20"/>
          <w:color w:val="auto"/>
        </w:rPr>
        <w:t>“Annuity Exhibits” means the Annuity Exhibits attached hereto setting forth the features of the Annuity Payments for each Covered Life and Contingent Life.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“Annuity Forms” means the types of annuities (and payment obligations arising thereunder) specified in Provision II.</w:t>
      </w:r>
    </w:p>
    <w:p>
      <w:pPr>
        <w:spacing w:after="0" w:line="216"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“Annuity Payments” means, with respect to each Covered Life (and, if applicable to such Covered Life, each Contingent Life), the amount of periodic and single payments determined in accordance with Provision II of this Contract, and, with respect to any Beneficiary, the amount of any periodic and single payments owed after the death of a Covered Life or, if applicable, a Contingent Life, in each case as determined in accordance with Provision II of this Contract.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“Beneficiary” means,</w:t>
      </w:r>
    </w:p>
    <w:p>
      <w:pPr>
        <w:spacing w:after="0" w:line="216" w:lineRule="exact"/>
        <w:rPr>
          <w:sz w:val="20"/>
          <w:szCs w:val="20"/>
          <w:color w:val="auto"/>
        </w:rPr>
      </w:pPr>
    </w:p>
    <w:p>
      <w:pPr>
        <w:ind w:left="1660" w:right="140" w:hanging="328"/>
        <w:spacing w:after="0" w:line="246" w:lineRule="auto"/>
        <w:tabs>
          <w:tab w:leader="none" w:pos="16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during the lifetime of a Covered Life, the person shown in Prudential's records as having been designated by the Covered Life to receive (after the death of such Covered Life) any payment owing under Provision II of this Contract other than payments owed to the related Contingent Life (such related Contingent Life is not a “Beneficiary” as such term is used in this Contract); and</w:t>
      </w:r>
    </w:p>
    <w:p>
      <w:pPr>
        <w:spacing w:after="0" w:line="191" w:lineRule="exact"/>
        <w:rPr>
          <w:rFonts w:ascii="Arial" w:cs="Arial" w:eastAsia="Arial" w:hAnsi="Arial"/>
          <w:sz w:val="20"/>
          <w:szCs w:val="20"/>
          <w:color w:val="auto"/>
        </w:rPr>
      </w:pPr>
    </w:p>
    <w:p>
      <w:pPr>
        <w:ind w:left="1660" w:right="160" w:hanging="328"/>
        <w:spacing w:after="0" w:line="278" w:lineRule="auto"/>
        <w:tabs>
          <w:tab w:leader="none" w:pos="1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during the period after the death of the Covered Life and before the death of the Contingent Life, the person shown in Prudential's records as having been designated by the Contingent Life (or, in the absence of such designation, the person previously designated by the Covered Life) to receive, after the death of such Contingent Life, any payment owing under Provision II of this Contract. A Beneficiary is owed payments under this Contract after the death of a Covered Life or Contingent Life only if so provided for under the Annuity Form applicable to the Covered Life.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Until the death of the Covered Life (and, if the Annuity Form specifies a Contingent Life, until the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92" w:right="259" w:bottom="1440" w:gutter="0" w:footer="0" w:header="0"/>
        </w:sectPr>
      </w:pPr>
    </w:p>
    <w:bookmarkStart w:id="168" w:name="page169"/>
    <w:bookmarkEnd w:id="168"/>
    <w:p>
      <w:pPr>
        <w:ind w:left="640" w:right="180"/>
        <w:spacing w:after="0" w:line="250" w:lineRule="auto"/>
        <w:rPr>
          <w:sz w:val="20"/>
          <w:szCs w:val="20"/>
          <w:color w:val="auto"/>
        </w:rPr>
      </w:pPr>
      <w:r>
        <w:rPr>
          <w:rFonts w:ascii="Arial" w:cs="Arial" w:eastAsia="Arial" w:hAnsi="Arial"/>
          <w:sz w:val="20"/>
          <w:szCs w:val="20"/>
          <w:color w:val="auto"/>
        </w:rPr>
        <w:t>death of both the Covered Life and Contingent Life) a Beneficiary is not a third-party beneficiary of this Contract and has no rights hereunder, and after such death(s) a Beneficiary has the rights of a third-party beneficiary as set forth herein. A Representative of a Beneficiary shall have the rights of a Beneficiary hereunder.</w:t>
      </w:r>
    </w:p>
    <w:p>
      <w:pPr>
        <w:spacing w:after="0" w:line="18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"Business Day" means any weekday on which the banks in New York City, New York are open for business. If any payment under this Contract is due and payable on a day which is not a Business Day, or if any notice or report is required to be given on a day which is not a Business Day, such payment shall be due and payable or such notice or report shall be given on the next succeeding Business Day</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“Code” means the Internal Revenue Code of 1986, as amended from time to time, or any successor statute.</w:t>
      </w:r>
    </w:p>
    <w:p>
      <w:pPr>
        <w:spacing w:after="0" w:line="2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“Commingled Account” means the Portfolio Protected Buyout Separate Account, an insurance company separate account the assets of which are owned by Prudential. The assets of this separate account will be held by Prudential in one or more custody accounts at entities independent of Prudential that only hold assets allocated to this separate account. Following consummation of a small account conversion in accordance with Section 1.10 (“Small Account Conversion”), this commingled separate account shall hold assets supporting the payment obligations of Prudential under this Contract. Such separate account also supports Prudential's payment obligations under other group annuity contracts issued by Prudential. Each such contract obligates Prudential to make payments to the contract-holder and/or to individual covered lives, contingent covered lives and beneficiaries in amounts measured and adjusted by the life-span of such covered lives, by any lump sum amounts due and/or by the remaining portion of any period certain annuities.</w:t>
      </w:r>
    </w:p>
    <w:p>
      <w:pPr>
        <w:spacing w:after="0" w:line="145"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“Contingent Life” means a person listed on the Annuity Exhibits as entitled to a periodic payment following the death of the Covered Life in accordance with the related Annuity Form, or such other person who a Covered Life designates after the Annuity Commencement Date as a Contingent Life, if such designation is permitted by the related Annuity Form. A Contingent Life is not a Beneficiary as such term is used in this Contract. A Contingent Life is a third-party beneficiary of this Contract and has the rights set forth herein. A Representative of a Contingent Life shall have the rights of a Contingent Life hereunder.</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“Contract-Holder” means the entity named as such on the Cover Page of this Contract, and any successors or assigns of such Contract-Holder as provided in Provision III.</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“Covered Life” means each person listed on the Annuity Exhibits as entitled to a periodic payment specified in the Annuity Exhibits. A Covered Life is not a Contingent Life or a Beneficiary as such terms are used in this Contract. A Covered Life is a third-party beneficiary of this Contract and has the rights set forth herein. A Representative of a Covered Life shall have the rights of a Covered Life hereunder.</w:t>
      </w:r>
    </w:p>
    <w:p>
      <w:pPr>
        <w:spacing w:after="0" w:line="19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“Dedicated Account” means the [ *** ]</w:t>
      </w:r>
      <w:r>
        <w:rPr>
          <w:rFonts w:ascii="Arial" w:cs="Arial" w:eastAsia="Arial" w:hAnsi="Arial"/>
          <w:sz w:val="23"/>
          <w:szCs w:val="23"/>
          <w:color w:val="auto"/>
          <w:vertAlign w:val="superscript"/>
        </w:rPr>
        <w:t>F</w:t>
      </w:r>
      <w:r>
        <w:rPr>
          <w:rFonts w:ascii="Arial" w:cs="Arial" w:eastAsia="Arial" w:hAnsi="Arial"/>
          <w:sz w:val="18"/>
          <w:szCs w:val="18"/>
          <w:color w:val="auto"/>
        </w:rPr>
        <w:t>, an insurance company separate account the assets of which are owned by Prudential. This separate account may only hold assets supporting the payment obligations of Prudential under this Contract. The assets of this separate account will be held by Prudential in one or more custody accounts at entities independent of Prudential that only hold assets allocated to this separate account. After consummation of a small account conversion in accordance with Section 1.10 (“Small Account Conversion”), the assets of this separate account shall be transferred to the Commingled Account.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means the date specified in Section 1.2.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“ERISA” means the Employee Retirement Income Security Act of 1974, as amended, or any successor statute.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“Existing Contract” has the meaning assigned in Section 1.0.</w:t>
      </w:r>
    </w:p>
    <w:p>
      <w:pPr>
        <w:spacing w:after="0" w:line="24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900" w:top="582" w:right="279" w:bottom="1440" w:gutter="0" w:footer="0" w:header="0"/>
        </w:sectPr>
      </w:pPr>
    </w:p>
    <w:bookmarkStart w:id="169" w:name="page170"/>
    <w:bookmarkEnd w:id="169"/>
    <w:p>
      <w:pPr>
        <w:ind w:left="660"/>
        <w:spacing w:after="0"/>
        <w:rPr>
          <w:sz w:val="20"/>
          <w:szCs w:val="20"/>
          <w:color w:val="auto"/>
        </w:rPr>
      </w:pPr>
      <w:r>
        <w:rPr>
          <w:rFonts w:ascii="Arial" w:cs="Arial" w:eastAsia="Arial" w:hAnsi="Arial"/>
          <w:sz w:val="20"/>
          <w:szCs w:val="20"/>
          <w:color w:val="auto"/>
        </w:rPr>
        <w:t>“Existing Separate Account” has the meaning assigned in Section 1.0.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“Expected Data Finalization Date” means the date determined by mutual consent of the Contract-Holder and Prudential.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“General Account” means the General Account of Prudential.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ind w:left="660"/>
        <w:spacing w:after="0" w:line="243" w:lineRule="auto"/>
        <w:rPr>
          <w:sz w:val="20"/>
          <w:szCs w:val="20"/>
          <w:color w:val="auto"/>
        </w:rPr>
      </w:pPr>
      <w:r>
        <w:rPr>
          <w:rFonts w:ascii="Arial" w:cs="Arial" w:eastAsia="Arial" w:hAnsi="Arial"/>
          <w:sz w:val="20"/>
          <w:szCs w:val="20"/>
          <w:color w:val="auto"/>
        </w:rPr>
        <w:t>“Market Value,” (A) in respect of assets of a Separate Account, means the fair market value of such assets, as such fair market value is determined by Prudential in accordance with its standard procedures for establishing the market value of its assets, and (B) in respect of any portion of the Total Contribution Amount retained in the Existing Separate Account as of the Effective Date or paid to Prudential by delivery of non-cash assets acceptable to Prudential pursuant to Section 1.2 [ *** ] means the fair market value of each such asset in an amount and as of a date agreed to by Prudential and Contract-holder, as such amounts and dates are shown on the Transferred Assets Exhibit attached 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“Plan” means the plan specified on the Cover Page of this Contract.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“Prudential” means The Prudential Insurance Company of America.</w:t>
      </w:r>
    </w:p>
    <w:p>
      <w:pPr>
        <w:spacing w:after="0" w:line="216" w:lineRule="exact"/>
        <w:rPr>
          <w:sz w:val="20"/>
          <w:szCs w:val="20"/>
          <w:color w:val="auto"/>
        </w:rPr>
      </w:pPr>
    </w:p>
    <w:p>
      <w:pPr>
        <w:ind w:left="660" w:right="540"/>
        <w:spacing w:after="0" w:line="260" w:lineRule="auto"/>
        <w:rPr>
          <w:sz w:val="20"/>
          <w:szCs w:val="20"/>
          <w:color w:val="auto"/>
        </w:rPr>
      </w:pPr>
      <w:r>
        <w:rPr>
          <w:rFonts w:ascii="Arial" w:cs="Arial" w:eastAsia="Arial" w:hAnsi="Arial"/>
          <w:sz w:val="20"/>
          <w:szCs w:val="20"/>
          <w:color w:val="auto"/>
        </w:rPr>
        <w:t>“Prudential's Office” means the following office of Prudential, unless Prudential provides a notice specifying another address for certain or all communications:</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The Prudential Insurance Company of America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200 Wood Avenue South</w:t>
      </w:r>
    </w:p>
    <w:p>
      <w:pPr>
        <w:ind w:left="2600"/>
        <w:spacing w:after="0"/>
        <w:rPr>
          <w:sz w:val="20"/>
          <w:szCs w:val="20"/>
          <w:color w:val="auto"/>
        </w:rPr>
      </w:pPr>
      <w:r>
        <w:rPr>
          <w:rFonts w:ascii="Arial" w:cs="Arial" w:eastAsia="Arial" w:hAnsi="Arial"/>
          <w:sz w:val="20"/>
          <w:szCs w:val="20"/>
          <w:color w:val="auto"/>
        </w:rPr>
        <w:t>Iselin, New Jersey 08830-2706</w:t>
      </w:r>
    </w:p>
    <w:p>
      <w:pPr>
        <w:ind w:left="2600"/>
        <w:spacing w:after="0"/>
        <w:rPr>
          <w:sz w:val="20"/>
          <w:szCs w:val="20"/>
          <w:color w:val="auto"/>
        </w:rPr>
      </w:pPr>
      <w:r>
        <w:rPr>
          <w:rFonts w:ascii="Arial" w:cs="Arial" w:eastAsia="Arial" w:hAnsi="Arial"/>
          <w:sz w:val="20"/>
          <w:szCs w:val="20"/>
          <w:color w:val="auto"/>
        </w:rPr>
        <w:t>Attention: Annuity Operations</w:t>
      </w:r>
    </w:p>
    <w:p>
      <w:pPr>
        <w:spacing w:after="0" w:line="200" w:lineRule="exact"/>
        <w:rPr>
          <w:sz w:val="20"/>
          <w:szCs w:val="20"/>
          <w:color w:val="auto"/>
        </w:rPr>
      </w:pPr>
    </w:p>
    <w:p>
      <w:pPr>
        <w:ind w:left="660" w:right="200"/>
        <w:spacing w:after="0" w:line="243" w:lineRule="auto"/>
        <w:rPr>
          <w:sz w:val="20"/>
          <w:szCs w:val="20"/>
          <w:color w:val="auto"/>
        </w:rPr>
      </w:pPr>
      <w:r>
        <w:rPr>
          <w:rFonts w:ascii="Arial" w:cs="Arial" w:eastAsia="Arial" w:hAnsi="Arial"/>
          <w:sz w:val="20"/>
          <w:szCs w:val="20"/>
          <w:color w:val="auto"/>
        </w:rPr>
        <w:t xml:space="preserve">“Representative” means, with respect to persons who are a Covered Life, Contingent Life or Beneficiary, an individual or entity demonstrating to the reasonable satisfaction of Prudential that such individual or entity is duly appointed (a) as a guardian of such person (b) as a holder of powers of attorney from such person, (c) as a trustee of such person, (d) as an testamentary executor of such person's estate,(e) as being entitled to statutory subrogation rights granted to any entity created by statute or sponsored by a governmental body providing guarantees in respect of such person's right's under this Contract arising from any insolvency of Prudential;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a “Representative” does not include an assignee of the rights of such person hereunder in contravention of Provision II.</w:t>
      </w:r>
    </w:p>
    <w:p>
      <w:pPr>
        <w:spacing w:after="0" w:line="193" w:lineRule="exact"/>
        <w:rPr>
          <w:sz w:val="20"/>
          <w:szCs w:val="20"/>
          <w:color w:val="auto"/>
        </w:rPr>
      </w:pPr>
    </w:p>
    <w:p>
      <w:pPr>
        <w:ind w:left="660" w:right="100"/>
        <w:spacing w:after="0" w:line="269" w:lineRule="auto"/>
        <w:rPr>
          <w:sz w:val="20"/>
          <w:szCs w:val="20"/>
          <w:color w:val="auto"/>
        </w:rPr>
      </w:pPr>
      <w:r>
        <w:rPr>
          <w:rFonts w:ascii="Arial" w:cs="Arial" w:eastAsia="Arial" w:hAnsi="Arial"/>
          <w:sz w:val="19"/>
          <w:szCs w:val="19"/>
          <w:color w:val="auto"/>
        </w:rPr>
        <w:t>“Separate Account” means the Dedicated Account, provided that if the Commingled Account is substituted for the Dedicated Account in accordance with Section 1.10 (“Small Account Conversion”), then thereafter Separate Account means the Commingled Account. This Contract does not participate in the investment or other experience of either Separate Account.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“Total Contribution Amount” means the amount specified as such on the Cover Page of this Contract.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1.2</w:t>
      </w:r>
      <w:r>
        <w:rPr>
          <w:sz w:val="20"/>
          <w:szCs w:val="20"/>
          <w:color w:val="auto"/>
        </w:rPr>
        <w:tab/>
      </w:r>
      <w:r>
        <w:rPr>
          <w:rFonts w:ascii="Arial" w:cs="Arial" w:eastAsia="Arial" w:hAnsi="Arial"/>
          <w:sz w:val="18"/>
          <w:szCs w:val="18"/>
          <w:u w:val="single" w:color="auto"/>
          <w:color w:val="auto"/>
        </w:rPr>
        <w:t>Adjusted Contribution Amount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98" w:right="259" w:bottom="1440" w:gutter="0" w:footer="0" w:header="0"/>
        </w:sectPr>
      </w:pPr>
    </w:p>
    <w:bookmarkStart w:id="170" w:name="page171"/>
    <w:bookmarkEnd w:id="170"/>
    <w:p>
      <w:pPr>
        <w:spacing w:after="0"/>
        <w:tabs>
          <w:tab w:leader="none" w:pos="440" w:val="left"/>
        </w:tabs>
        <w:rPr>
          <w:sz w:val="20"/>
          <w:szCs w:val="20"/>
          <w:color w:val="auto"/>
        </w:rPr>
      </w:pPr>
      <w:r>
        <w:rPr>
          <w:rFonts w:ascii="Arial" w:cs="Arial" w:eastAsia="Arial" w:hAnsi="Arial"/>
          <w:sz w:val="20"/>
          <w:szCs w:val="20"/>
          <w:u w:val="single" w:color="auto"/>
          <w:color w:val="auto"/>
        </w:rPr>
        <w:t>1.3</w:t>
      </w:r>
      <w:r>
        <w:rPr>
          <w:sz w:val="20"/>
          <w:szCs w:val="20"/>
          <w:color w:val="auto"/>
        </w:rPr>
        <w:tab/>
      </w:r>
      <w:r>
        <w:rPr>
          <w:rFonts w:ascii="Arial" w:cs="Arial" w:eastAsia="Arial" w:hAnsi="Arial"/>
          <w:sz w:val="18"/>
          <w:szCs w:val="18"/>
          <w:u w:val="single" w:color="auto"/>
          <w:color w:val="auto"/>
        </w:rPr>
        <w:t>Annuity Payments; Annuity Payment Support; Associated Withdrawals from Accounts; Termination</w:t>
      </w:r>
    </w:p>
    <w:p>
      <w:pPr>
        <w:spacing w:after="0" w:line="216" w:lineRule="exact"/>
        <w:rPr>
          <w:sz w:val="20"/>
          <w:szCs w:val="20"/>
          <w:color w:val="auto"/>
        </w:rPr>
      </w:pPr>
    </w:p>
    <w:p>
      <w:pPr>
        <w:jc w:val="both"/>
        <w:ind w:left="660" w:right="480"/>
        <w:spacing w:after="0" w:line="250" w:lineRule="auto"/>
        <w:rPr>
          <w:sz w:val="20"/>
          <w:szCs w:val="20"/>
          <w:color w:val="auto"/>
        </w:rPr>
      </w:pPr>
      <w:r>
        <w:rPr>
          <w:rFonts w:ascii="Arial" w:cs="Arial" w:eastAsia="Arial" w:hAnsi="Arial"/>
          <w:sz w:val="20"/>
          <w:szCs w:val="20"/>
          <w:color w:val="auto"/>
        </w:rPr>
        <w:t>Upon receipt of the Adjusted Contribution Amount due on the Effective Date, Prudential agrees to pay the Annuity Payments due under this Contract and further agrees that such obligation shall be irrevocable. Prudential will confirm to the Contract-Holder its receipt of such Adjusted Contribution Amount.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1.4</w:t>
      </w:r>
      <w:r>
        <w:rPr>
          <w:sz w:val="20"/>
          <w:szCs w:val="20"/>
          <w:color w:val="auto"/>
        </w:rPr>
        <w:tab/>
      </w:r>
      <w:r>
        <w:rPr>
          <w:rFonts w:ascii="Arial" w:cs="Arial" w:eastAsia="Arial" w:hAnsi="Arial"/>
          <w:sz w:val="16"/>
          <w:szCs w:val="16"/>
          <w:u w:val="single" w:color="auto"/>
          <w:color w:val="auto"/>
        </w:rPr>
        <w:t>The Separate Accounts that Support this Contract</w:t>
      </w:r>
    </w:p>
    <w:p>
      <w:pPr>
        <w:spacing w:after="0" w:line="216" w:lineRule="exact"/>
        <w:rPr>
          <w:sz w:val="20"/>
          <w:szCs w:val="20"/>
          <w:color w:val="auto"/>
        </w:rPr>
      </w:pPr>
    </w:p>
    <w:p>
      <w:pPr>
        <w:ind w:left="660" w:right="80"/>
        <w:spacing w:after="0" w:line="244" w:lineRule="auto"/>
        <w:rPr>
          <w:sz w:val="20"/>
          <w:szCs w:val="20"/>
          <w:color w:val="auto"/>
        </w:rPr>
      </w:pPr>
      <w:r>
        <w:rPr>
          <w:rFonts w:ascii="Arial" w:cs="Arial" w:eastAsia="Arial" w:hAnsi="Arial"/>
          <w:sz w:val="20"/>
          <w:szCs w:val="20"/>
          <w:color w:val="auto"/>
        </w:rPr>
        <w:t>During the period starting on the Effective Date and ending on the earlier of (a) the consummation of a small account conversion in accordance with Section 1.10 (“Small Account Conversion”) and (b) the payment of the last Annuity Payment due under this Contract, the Dedicated Account shall be the “Separate Account” supporting Annuity Payments hereunder. After consummation of a small account conversion in accordance with Section 1.10 (“Small Account Conversion”), the Commingled Account shall be the “Separate Account” supporting Annuity Payments hereunder.</w:t>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1.5</w:t>
      </w:r>
      <w:r>
        <w:rPr>
          <w:sz w:val="20"/>
          <w:szCs w:val="20"/>
          <w:color w:val="auto"/>
        </w:rPr>
        <w:tab/>
      </w:r>
      <w:r>
        <w:rPr>
          <w:rFonts w:ascii="Arial" w:cs="Arial" w:eastAsia="Arial" w:hAnsi="Arial"/>
          <w:sz w:val="16"/>
          <w:szCs w:val="16"/>
          <w:u w:val="single" w:color="auto"/>
          <w:color w:val="auto"/>
        </w:rPr>
        <w:t>Investments Held in Separate Account; Insulation of Separate Account Assets</w:t>
      </w:r>
    </w:p>
    <w:p>
      <w:pPr>
        <w:spacing w:after="0" w:line="216" w:lineRule="exact"/>
        <w:rPr>
          <w:sz w:val="20"/>
          <w:szCs w:val="20"/>
          <w:color w:val="auto"/>
        </w:rPr>
      </w:pPr>
    </w:p>
    <w:p>
      <w:pPr>
        <w:ind w:left="660"/>
        <w:spacing w:after="0" w:line="257" w:lineRule="auto"/>
        <w:rPr>
          <w:sz w:val="20"/>
          <w:szCs w:val="20"/>
          <w:color w:val="auto"/>
        </w:rPr>
      </w:pPr>
      <w:r>
        <w:rPr>
          <w:rFonts w:ascii="Arial" w:cs="Arial" w:eastAsia="Arial" w:hAnsi="Arial"/>
          <w:sz w:val="19"/>
          <w:szCs w:val="19"/>
          <w:color w:val="auto"/>
        </w:rPr>
        <w:t xml:space="preserve">The Separate Account is intended to be invested primarily in investment-grade fixed income securities, but other investments are permitted,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all investments of the Separate Account shall be invested in accordance with applicable law, regulations and regulatory approvals (for purposes of this Section, “</w:t>
      </w:r>
      <w:r>
        <w:rPr>
          <w:rFonts w:ascii="Arial" w:cs="Arial" w:eastAsia="Arial" w:hAnsi="Arial"/>
          <w:sz w:val="19"/>
          <w:szCs w:val="19"/>
          <w:u w:val="single" w:color="auto"/>
          <w:color w:val="auto"/>
        </w:rPr>
        <w:t>applicable law</w:t>
      </w:r>
      <w:r>
        <w:rPr>
          <w:rFonts w:ascii="Arial" w:cs="Arial" w:eastAsia="Arial" w:hAnsi="Arial"/>
          <w:sz w:val="19"/>
          <w:szCs w:val="19"/>
          <w:color w:val="auto"/>
        </w:rPr>
        <w:t>”). Prudential will invest and reinvest the assets of the Separate Account at the time and in the amounts as Prudential determines in its discretion and in accordance with applicable law. To the extent permitted by applicable law, the investments of the Separate Account may be made without regard to any limitations otherwise imposed on the investment of assets held in the General Account or in its other separate accounts. Prudential may, with respect to any assets held in the Separate Account, delegate Prudential's investment management and/or voting rights to other entities, including institutions not affiliated with Prudential.</w:t>
      </w:r>
    </w:p>
    <w:p>
      <w:pPr>
        <w:spacing w:after="0" w:line="181" w:lineRule="exact"/>
        <w:rPr>
          <w:sz w:val="20"/>
          <w:szCs w:val="20"/>
          <w:color w:val="auto"/>
        </w:rPr>
      </w:pPr>
    </w:p>
    <w:p>
      <w:pPr>
        <w:jc w:val="both"/>
        <w:ind w:left="660" w:right="80"/>
        <w:spacing w:after="0" w:line="291" w:lineRule="auto"/>
        <w:rPr>
          <w:sz w:val="20"/>
          <w:szCs w:val="20"/>
          <w:color w:val="auto"/>
        </w:rPr>
      </w:pPr>
      <w:r>
        <w:rPr>
          <w:rFonts w:ascii="Arial" w:cs="Arial" w:eastAsia="Arial" w:hAnsi="Arial"/>
          <w:sz w:val="18"/>
          <w:szCs w:val="18"/>
          <w:color w:val="auto"/>
        </w:rPr>
        <w:t>Prudential owns all the assets in the Separate Account. As authorized by Section 17B:28-9(c) of the New Jersey Insurance Statutes and Section 4240(a)(12) of the New York Insurance Law, (A) none of the assets held in the Dedicated Account, [ *** ] and (B) none of the assets held in the Commingled Account, [ *** ], will be chargeable with liabilities arising out of any other business of Prudential.</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1.6</w:t>
      </w:r>
      <w:r>
        <w:rPr>
          <w:sz w:val="20"/>
          <w:szCs w:val="20"/>
          <w:color w:val="auto"/>
        </w:rPr>
        <w:tab/>
      </w:r>
      <w:r>
        <w:rPr>
          <w:rFonts w:ascii="Arial" w:cs="Arial" w:eastAsia="Arial" w:hAnsi="Arial"/>
          <w:sz w:val="18"/>
          <w:szCs w:val="18"/>
          <w:u w:val="single" w:color="auto"/>
          <w:color w:val="auto"/>
        </w:rPr>
        <w:t>Payment Obligation of Prudential</w:t>
      </w:r>
    </w:p>
    <w:p>
      <w:pPr>
        <w:spacing w:after="0" w:line="216" w:lineRule="exact"/>
        <w:rPr>
          <w:sz w:val="20"/>
          <w:szCs w:val="20"/>
          <w:color w:val="auto"/>
        </w:rPr>
      </w:pPr>
    </w:p>
    <w:p>
      <w:pPr>
        <w:ind w:left="660" w:right="480"/>
        <w:spacing w:after="0" w:line="260" w:lineRule="auto"/>
        <w:rPr>
          <w:sz w:val="20"/>
          <w:szCs w:val="20"/>
          <w:color w:val="auto"/>
        </w:rPr>
      </w:pPr>
      <w:r>
        <w:rPr>
          <w:rFonts w:ascii="Arial" w:cs="Arial" w:eastAsia="Arial" w:hAnsi="Arial"/>
          <w:sz w:val="20"/>
          <w:szCs w:val="20"/>
          <w:color w:val="auto"/>
        </w:rPr>
        <w:t>Prudential will make the payments owed by it under this Contract when such payments are due. Prudential irrevocably guarantees payment of the Annuity Payments as of the Annuity Commencement Date.</w:t>
      </w:r>
    </w:p>
    <w:p>
      <w:pPr>
        <w:spacing w:after="0" w:line="17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1.7</w:t>
      </w:r>
      <w:r>
        <w:rPr>
          <w:sz w:val="20"/>
          <w:szCs w:val="20"/>
          <w:color w:val="auto"/>
        </w:rPr>
        <w:tab/>
      </w:r>
      <w:r>
        <w:rPr>
          <w:rFonts w:ascii="Arial" w:cs="Arial" w:eastAsia="Arial" w:hAnsi="Arial"/>
          <w:sz w:val="16"/>
          <w:szCs w:val="16"/>
          <w:u w:val="single" w:color="auto"/>
          <w:color w:val="auto"/>
        </w:rPr>
        <w:t>Establishing Reserves; Withdrawal of Assets from the Separate Account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From time to time in accordance with applicable law or regulation, Prudential will determine whether</w:t>
      </w:r>
    </w:p>
    <w:p>
      <w:pPr>
        <w:spacing w:after="0" w:line="216" w:lineRule="exact"/>
        <w:rPr>
          <w:sz w:val="20"/>
          <w:szCs w:val="20"/>
          <w:color w:val="auto"/>
        </w:rPr>
      </w:pPr>
    </w:p>
    <w:p>
      <w:pPr>
        <w:ind w:left="1620" w:right="300" w:hanging="315"/>
        <w:spacing w:after="0" w:line="260" w:lineRule="auto"/>
        <w:tabs>
          <w:tab w:leader="none" w:pos="1620" w:val="left"/>
        </w:tabs>
        <w:numPr>
          <w:ilvl w:val="0"/>
          <w:numId w:val="166"/>
        </w:numPr>
        <w:rPr>
          <w:rFonts w:ascii="Arial" w:cs="Arial" w:eastAsia="Arial" w:hAnsi="Arial"/>
          <w:sz w:val="18"/>
          <w:szCs w:val="18"/>
          <w:color w:val="auto"/>
        </w:rPr>
      </w:pPr>
      <w:r>
        <w:rPr>
          <w:rFonts w:ascii="Arial" w:cs="Arial" w:eastAsia="Arial" w:hAnsi="Arial"/>
          <w:sz w:val="20"/>
          <w:szCs w:val="20"/>
          <w:color w:val="auto"/>
        </w:rPr>
        <w:t>the statutory liability that Prudential is required to hold in respect of the contractual benefits supported by such Separate Account,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is equal to or less than</w:t>
      </w:r>
    </w:p>
    <w:p>
      <w:pPr>
        <w:spacing w:after="0" w:line="216" w:lineRule="exact"/>
        <w:rPr>
          <w:sz w:val="20"/>
          <w:szCs w:val="20"/>
          <w:color w:val="auto"/>
        </w:rPr>
      </w:pPr>
    </w:p>
    <w:p>
      <w:pPr>
        <w:ind w:left="1620" w:right="20" w:hanging="315"/>
        <w:spacing w:after="0" w:line="260" w:lineRule="auto"/>
        <w:tabs>
          <w:tab w:leader="none" w:pos="1620" w:val="left"/>
        </w:tabs>
        <w:numPr>
          <w:ilvl w:val="0"/>
          <w:numId w:val="167"/>
        </w:numPr>
        <w:rPr>
          <w:rFonts w:ascii="Arial" w:cs="Arial" w:eastAsia="Arial" w:hAnsi="Arial"/>
          <w:sz w:val="18"/>
          <w:szCs w:val="18"/>
          <w:color w:val="auto"/>
        </w:rPr>
      </w:pPr>
      <w:r>
        <w:rPr>
          <w:rFonts w:ascii="Arial" w:cs="Arial" w:eastAsia="Arial" w:hAnsi="Arial"/>
          <w:sz w:val="20"/>
          <w:szCs w:val="20"/>
          <w:color w:val="auto"/>
        </w:rPr>
        <w:t>the sum of (x) the statutory carrying value of the assets held in the Separate Account, plus (y) the reserves, if any, related to the [Separate Account Portion of the contractual benefits that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4" w:right="239" w:bottom="1440" w:gutter="0" w:footer="0" w:header="0"/>
        </w:sectPr>
      </w:pPr>
    </w:p>
    <w:bookmarkStart w:id="171" w:name="page172"/>
    <w:bookmarkEnd w:id="171"/>
    <w:p>
      <w:pPr>
        <w:ind w:left="1620" w:right="60"/>
        <w:spacing w:after="0" w:line="339" w:lineRule="auto"/>
        <w:rPr>
          <w:sz w:val="20"/>
          <w:szCs w:val="20"/>
          <w:color w:val="auto"/>
        </w:rPr>
      </w:pPr>
      <w:r>
        <w:rPr>
          <w:rFonts w:ascii="Arial" w:cs="Arial" w:eastAsia="Arial" w:hAnsi="Arial"/>
          <w:sz w:val="17"/>
          <w:szCs w:val="17"/>
          <w:color w:val="auto"/>
        </w:rPr>
        <w:t>have been established in the General Account and]</w:t>
      </w:r>
      <w:r>
        <w:rPr>
          <w:rFonts w:ascii="Arial" w:cs="Arial" w:eastAsia="Arial" w:hAnsi="Arial"/>
          <w:sz w:val="21"/>
          <w:szCs w:val="21"/>
          <w:color w:val="auto"/>
          <w:vertAlign w:val="superscript"/>
        </w:rPr>
        <w:t>H</w:t>
      </w:r>
      <w:r>
        <w:rPr>
          <w:rFonts w:ascii="Arial" w:cs="Arial" w:eastAsia="Arial" w:hAnsi="Arial"/>
          <w:sz w:val="17"/>
          <w:szCs w:val="17"/>
          <w:color w:val="auto"/>
        </w:rPr>
        <w:t xml:space="preserve"> that are supported by assets held in the General Account. The reserves described in (y) of the preceding sentence shall herein be referred to as the “Additional General Account Reserve”.</w:t>
      </w:r>
    </w:p>
    <w:p>
      <w:pPr>
        <w:spacing w:after="0" w:line="109" w:lineRule="exact"/>
        <w:rPr>
          <w:sz w:val="20"/>
          <w:szCs w:val="20"/>
          <w:color w:val="auto"/>
        </w:rPr>
      </w:pPr>
    </w:p>
    <w:p>
      <w:pPr>
        <w:ind w:left="660" w:right="180"/>
        <w:spacing w:after="0" w:line="260" w:lineRule="auto"/>
        <w:rPr>
          <w:sz w:val="20"/>
          <w:szCs w:val="20"/>
          <w:color w:val="auto"/>
        </w:rPr>
      </w:pPr>
      <w:r>
        <w:rPr>
          <w:rFonts w:ascii="Arial" w:cs="Arial" w:eastAsia="Arial" w:hAnsi="Arial"/>
          <w:sz w:val="20"/>
          <w:szCs w:val="20"/>
          <w:color w:val="auto"/>
        </w:rPr>
        <w:t>If, on the date of determination, the amount described in clause (A) is greater than the amount described in clause (B), Prudential will establish and fund additional reserves in the General Account.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45" w:lineRule="exact"/>
        <w:rPr>
          <w:sz w:val="20"/>
          <w:szCs w:val="20"/>
          <w:color w:val="auto"/>
        </w:rPr>
      </w:pPr>
    </w:p>
    <w:p>
      <w:pPr>
        <w:ind w:left="660" w:right="160"/>
        <w:spacing w:after="0" w:line="260" w:lineRule="auto"/>
        <w:rPr>
          <w:sz w:val="20"/>
          <w:szCs w:val="20"/>
          <w:color w:val="auto"/>
        </w:rPr>
      </w:pPr>
      <w:r>
        <w:rPr>
          <w:rFonts w:ascii="Arial" w:cs="Arial" w:eastAsia="Arial" w:hAnsi="Arial"/>
          <w:sz w:val="20"/>
          <w:szCs w:val="20"/>
          <w:color w:val="auto"/>
        </w:rPr>
        <w:t>A withdrawal from the Separate Account will be made on a Business Day, and the assets withdrawn will no longer be allocated to the Separate Account.</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1.8</w:t>
      </w:r>
      <w:r>
        <w:rPr>
          <w:sz w:val="20"/>
          <w:szCs w:val="20"/>
          <w:color w:val="auto"/>
        </w:rPr>
        <w:tab/>
      </w:r>
      <w:r>
        <w:rPr>
          <w:rFonts w:ascii="Arial" w:cs="Arial" w:eastAsia="Arial" w:hAnsi="Arial"/>
          <w:sz w:val="18"/>
          <w:szCs w:val="18"/>
          <w:u w:val="single" w:color="auto"/>
          <w:color w:val="auto"/>
        </w:rPr>
        <w:t>Process for Making Monthly Annuity Payments</w:t>
      </w:r>
    </w:p>
    <w:p>
      <w:pPr>
        <w:spacing w:after="0" w:line="216" w:lineRule="exact"/>
        <w:rPr>
          <w:sz w:val="20"/>
          <w:szCs w:val="20"/>
          <w:color w:val="auto"/>
        </w:rPr>
      </w:pPr>
    </w:p>
    <w:p>
      <w:pPr>
        <w:ind w:left="660" w:right="340"/>
        <w:spacing w:after="0" w:line="260" w:lineRule="auto"/>
        <w:rPr>
          <w:sz w:val="20"/>
          <w:szCs w:val="20"/>
          <w:color w:val="auto"/>
        </w:rPr>
      </w:pPr>
      <w:r>
        <w:rPr>
          <w:rFonts w:ascii="Arial" w:cs="Arial" w:eastAsia="Arial" w:hAnsi="Arial"/>
          <w:sz w:val="20"/>
          <w:szCs w:val="20"/>
          <w:color w:val="auto"/>
        </w:rPr>
        <w:t>Prudential, or its agent, will make Annuity Payments directly to each Covered Life, Contingent Life and Beneficiary starting on the Annuity Commencement Date.</w:t>
      </w:r>
    </w:p>
    <w:p>
      <w:pPr>
        <w:spacing w:after="0" w:line="17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1.9</w:t>
      </w:r>
      <w:r>
        <w:rPr>
          <w:sz w:val="20"/>
          <w:szCs w:val="20"/>
          <w:color w:val="auto"/>
        </w:rPr>
        <w:tab/>
      </w:r>
      <w:r>
        <w:rPr>
          <w:rFonts w:ascii="Arial" w:cs="Arial" w:eastAsia="Arial" w:hAnsi="Arial"/>
          <w:sz w:val="16"/>
          <w:szCs w:val="16"/>
          <w:u w:val="single" w:color="auto"/>
          <w:color w:val="auto"/>
        </w:rPr>
        <w:t>Persons Entitled to Enforce this Contract against Prudential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any other provision of this Contract to the contrary,</w:t>
      </w:r>
    </w:p>
    <w:p>
      <w:pPr>
        <w:spacing w:after="0" w:line="108" w:lineRule="exact"/>
        <w:rPr>
          <w:sz w:val="20"/>
          <w:szCs w:val="20"/>
          <w:color w:val="auto"/>
        </w:rPr>
      </w:pPr>
    </w:p>
    <w:p>
      <w:pPr>
        <w:ind w:left="1380" w:hanging="427"/>
        <w:spacing w:after="0" w:line="243" w:lineRule="auto"/>
        <w:tabs>
          <w:tab w:leader="none" w:pos="1380" w:val="left"/>
        </w:tabs>
        <w:numPr>
          <w:ilvl w:val="0"/>
          <w:numId w:val="168"/>
        </w:numPr>
        <w:rPr>
          <w:rFonts w:ascii="Arial" w:cs="Arial" w:eastAsia="Arial" w:hAnsi="Arial"/>
          <w:sz w:val="20"/>
          <w:szCs w:val="20"/>
          <w:color w:val="auto"/>
        </w:rPr>
      </w:pPr>
      <w:r>
        <w:rPr>
          <w:rFonts w:ascii="Arial" w:cs="Arial" w:eastAsia="Arial" w:hAnsi="Arial"/>
          <w:sz w:val="20"/>
          <w:szCs w:val="20"/>
          <w:i w:val="1"/>
          <w:iCs w:val="1"/>
          <w:color w:val="auto"/>
        </w:rPr>
        <w:t xml:space="preserve">Rights of Annuitants. </w:t>
      </w:r>
      <w:r>
        <w:rPr>
          <w:rFonts w:ascii="Arial" w:cs="Arial" w:eastAsia="Arial" w:hAnsi="Arial"/>
          <w:sz w:val="20"/>
          <w:szCs w:val="20"/>
          <w:color w:val="auto"/>
        </w:rPr>
        <w:t>(a) After the Effective Date, the right of each Covered Life, Contingent Life and Beneficiary to receive</w:t>
      </w:r>
      <w:r>
        <w:rPr>
          <w:rFonts w:ascii="Arial" w:cs="Arial" w:eastAsia="Arial" w:hAnsi="Arial"/>
          <w:sz w:val="20"/>
          <w:szCs w:val="20"/>
          <w:i w:val="1"/>
          <w:iCs w:val="1"/>
          <w:color w:val="auto"/>
        </w:rPr>
        <w:t xml:space="preserve"> </w:t>
      </w:r>
      <w:r>
        <w:rPr>
          <w:rFonts w:ascii="Arial" w:cs="Arial" w:eastAsia="Arial" w:hAnsi="Arial"/>
          <w:sz w:val="20"/>
          <w:szCs w:val="20"/>
          <w:color w:val="auto"/>
        </w:rPr>
        <w:t>an Annuity Payment determined pursuant to Provision II is enforceable by such person against Prudential, (b) after the Expected Data Finalization Date, each Covered Life, Contingent Life and Beneficiary has the right to enforce any provision of this Contract (as does the Contract-Holder) against Prudential, and (c) the rights of each Covered Life, Contingent Life and Beneficiary under the preceding subclause (b) is not diminished if the Contract-Holder ceases to exist and no successor is appointed;</w:t>
      </w:r>
    </w:p>
    <w:p>
      <w:pPr>
        <w:spacing w:after="0" w:line="88" w:lineRule="exact"/>
        <w:rPr>
          <w:rFonts w:ascii="Arial" w:cs="Arial" w:eastAsia="Arial" w:hAnsi="Arial"/>
          <w:sz w:val="20"/>
          <w:szCs w:val="20"/>
          <w:color w:val="auto"/>
        </w:rPr>
      </w:pPr>
    </w:p>
    <w:p>
      <w:pPr>
        <w:ind w:left="1380" w:right="260" w:hanging="427"/>
        <w:spacing w:after="0" w:line="246" w:lineRule="auto"/>
        <w:tabs>
          <w:tab w:leader="none" w:pos="1380" w:val="left"/>
        </w:tabs>
        <w:numPr>
          <w:ilvl w:val="0"/>
          <w:numId w:val="168"/>
        </w:numPr>
        <w:rPr>
          <w:rFonts w:ascii="Arial" w:cs="Arial" w:eastAsia="Arial" w:hAnsi="Arial"/>
          <w:sz w:val="20"/>
          <w:szCs w:val="20"/>
          <w:color w:val="auto"/>
        </w:rPr>
      </w:pPr>
      <w:r>
        <w:rPr>
          <w:rFonts w:ascii="Arial" w:cs="Arial" w:eastAsia="Arial" w:hAnsi="Arial"/>
          <w:sz w:val="20"/>
          <w:szCs w:val="20"/>
          <w:i w:val="1"/>
          <w:iCs w:val="1"/>
          <w:color w:val="auto"/>
        </w:rPr>
        <w:t xml:space="preserve">Annuitants hold Rights Exclusively. </w:t>
      </w:r>
      <w:r>
        <w:rPr>
          <w:rFonts w:ascii="Arial" w:cs="Arial" w:eastAsia="Arial" w:hAnsi="Arial"/>
          <w:sz w:val="20"/>
          <w:szCs w:val="20"/>
          <w:color w:val="auto"/>
        </w:rPr>
        <w:t>After the Expected Data Finalization Date, and except as provided in clause (iii) below,</w:t>
      </w:r>
      <w:r>
        <w:rPr>
          <w:rFonts w:ascii="Arial" w:cs="Arial" w:eastAsia="Arial" w:hAnsi="Arial"/>
          <w:sz w:val="20"/>
          <w:szCs w:val="20"/>
          <w:i w:val="1"/>
          <w:iCs w:val="1"/>
          <w:color w:val="auto"/>
        </w:rPr>
        <w:t xml:space="preserve"> </w:t>
      </w:r>
      <w:r>
        <w:rPr>
          <w:rFonts w:ascii="Arial" w:cs="Arial" w:eastAsia="Arial" w:hAnsi="Arial"/>
          <w:sz w:val="20"/>
          <w:szCs w:val="20"/>
          <w:color w:val="auto"/>
        </w:rPr>
        <w:t>the only parties having the right to enforce any provision of this Contract against Prudential shall be each Covered Life, Contingent Life, or Beneficiary, in each case solely in the capacity of an intended third party beneficiary of the provisions specified in clause (i)(b) above; and</w:t>
      </w:r>
    </w:p>
    <w:p>
      <w:pPr>
        <w:spacing w:after="0" w:line="83" w:lineRule="exact"/>
        <w:rPr>
          <w:rFonts w:ascii="Arial" w:cs="Arial" w:eastAsia="Arial" w:hAnsi="Arial"/>
          <w:sz w:val="20"/>
          <w:szCs w:val="20"/>
          <w:color w:val="auto"/>
        </w:rPr>
      </w:pPr>
    </w:p>
    <w:p>
      <w:pPr>
        <w:ind w:left="1380" w:right="40" w:hanging="427"/>
        <w:spacing w:after="0" w:line="243" w:lineRule="auto"/>
        <w:tabs>
          <w:tab w:leader="none" w:pos="1308" w:val="left"/>
        </w:tabs>
        <w:numPr>
          <w:ilvl w:val="0"/>
          <w:numId w:val="168"/>
        </w:numPr>
        <w:rPr>
          <w:rFonts w:ascii="Arial" w:cs="Arial" w:eastAsia="Arial" w:hAnsi="Arial"/>
          <w:sz w:val="20"/>
          <w:szCs w:val="20"/>
          <w:color w:val="auto"/>
        </w:rPr>
      </w:pPr>
      <w:r>
        <w:rPr>
          <w:rFonts w:ascii="Arial" w:cs="Arial" w:eastAsia="Arial" w:hAnsi="Arial"/>
          <w:sz w:val="20"/>
          <w:szCs w:val="20"/>
          <w:i w:val="1"/>
          <w:iCs w:val="1"/>
          <w:color w:val="auto"/>
        </w:rPr>
        <w:t xml:space="preserve">Rights and Duties of Contract-Holder and Prudential. </w:t>
      </w:r>
      <w:r>
        <w:rPr>
          <w:rFonts w:ascii="Arial" w:cs="Arial" w:eastAsia="Arial" w:hAnsi="Arial"/>
          <w:sz w:val="20"/>
          <w:szCs w:val="20"/>
          <w:color w:val="auto"/>
        </w:rPr>
        <w:t>(a) After the Effective Date, Contract-Holder shall have no obligation to</w:t>
      </w:r>
      <w:r>
        <w:rPr>
          <w:rFonts w:ascii="Arial" w:cs="Arial" w:eastAsia="Arial" w:hAnsi="Arial"/>
          <w:sz w:val="20"/>
          <w:szCs w:val="20"/>
          <w:i w:val="1"/>
          <w:iCs w:val="1"/>
          <w:color w:val="auto"/>
        </w:rPr>
        <w:t xml:space="preserve"> </w:t>
      </w:r>
      <w:r>
        <w:rPr>
          <w:rFonts w:ascii="Arial" w:cs="Arial" w:eastAsia="Arial" w:hAnsi="Arial"/>
          <w:sz w:val="20"/>
          <w:szCs w:val="20"/>
          <w:color w:val="auto"/>
        </w:rPr>
        <w:t>any Covered Life, Contingent Life or Beneficiary with respect to the annuities as determined in Provision II; (b) between the Effective Date and the Expected Data Finalization Date, the Contract-Holder and Prudential shall each have the rights against and obligations to the other specified in this Contract; and (c) after the Expected Data Finalization Date, the Contract-Holder shall have the right to enforce any provision of this Contract against Prudential until the Contract-Holder ceases to exist, and Prudential shall have the right to enforce any provision of this Contract against the Contract-Holder until the Contract-Holder ceases to exist.</w:t>
      </w:r>
    </w:p>
    <w:p>
      <w:pPr>
        <w:spacing w:after="0" w:line="31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u w:val="single" w:color="auto"/>
          <w:color w:val="auto"/>
        </w:rPr>
        <w:t>1.10</w:t>
      </w:r>
      <w:r>
        <w:rPr>
          <w:sz w:val="20"/>
          <w:szCs w:val="20"/>
          <w:color w:val="auto"/>
        </w:rPr>
        <w:tab/>
      </w:r>
      <w:r>
        <w:rPr>
          <w:rFonts w:ascii="Arial" w:cs="Arial" w:eastAsia="Arial" w:hAnsi="Arial"/>
          <w:sz w:val="18"/>
          <w:szCs w:val="18"/>
          <w:u w:val="single" w:color="auto"/>
          <w:color w:val="auto"/>
        </w:rPr>
        <w:t>Small Account Conversion</w:t>
      </w:r>
    </w:p>
    <w:p>
      <w:pPr>
        <w:spacing w:after="0" w:line="216" w:lineRule="exact"/>
        <w:rPr>
          <w:sz w:val="20"/>
          <w:szCs w:val="20"/>
          <w:color w:val="auto"/>
        </w:rPr>
      </w:pPr>
    </w:p>
    <w:p>
      <w:pPr>
        <w:ind w:left="660" w:right="80"/>
        <w:spacing w:after="0" w:line="233" w:lineRule="auto"/>
        <w:rPr>
          <w:sz w:val="20"/>
          <w:szCs w:val="20"/>
          <w:color w:val="auto"/>
        </w:rPr>
      </w:pPr>
      <w:r>
        <w:rPr>
          <w:rFonts w:ascii="Arial" w:cs="Arial" w:eastAsia="Arial" w:hAnsi="Arial"/>
          <w:sz w:val="20"/>
          <w:szCs w:val="20"/>
          <w:color w:val="auto"/>
        </w:rPr>
        <w:t>If at any time the Market Value of the assets held in the Dedicated Account does not equal at least [$100 million]</w:t>
      </w:r>
      <w:r>
        <w:rPr>
          <w:rFonts w:ascii="Arial" w:cs="Arial" w:eastAsia="Arial" w:hAnsi="Arial"/>
          <w:sz w:val="25"/>
          <w:szCs w:val="25"/>
          <w:color w:val="auto"/>
          <w:vertAlign w:val="superscript"/>
        </w:rPr>
        <w:t>G</w:t>
      </w:r>
      <w:r>
        <w:rPr>
          <w:rFonts w:ascii="Arial" w:cs="Arial" w:eastAsia="Arial" w:hAnsi="Arial"/>
          <w:sz w:val="20"/>
          <w:szCs w:val="20"/>
          <w:color w:val="auto"/>
        </w:rPr>
        <w:t>, Prudential reserves the right to discontinue the Dedicated Account (such discontinuance referred to in this Section as a “</w:t>
      </w:r>
      <w:r>
        <w:rPr>
          <w:rFonts w:ascii="Arial" w:cs="Arial" w:eastAsia="Arial" w:hAnsi="Arial"/>
          <w:sz w:val="20"/>
          <w:szCs w:val="20"/>
          <w:u w:val="single" w:color="auto"/>
          <w:color w:val="auto"/>
        </w:rPr>
        <w:t>Threshold Transfer</w:t>
      </w:r>
      <w:r>
        <w:rPr>
          <w:rFonts w:ascii="Arial" w:cs="Arial" w:eastAsia="Arial" w:hAnsi="Arial"/>
          <w:sz w:val="20"/>
          <w:szCs w:val="20"/>
          <w:color w:val="auto"/>
        </w:rPr>
        <w:t>”). In the event of a Threshold Transfer, without the consent of Contract-Holder, any Covered Life, Contingent Life or Beneficiary, Prudential may transfer the assets held in the Dedicated Account to the Commingled Account, subject to the receipt of all necessary consents and approvals, including regulatory approvals (such as those relating to the transfer of assets in-kind from the Dedicated Account to the Commingled Account).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172" w:name="page173"/>
    <w:bookmarkEnd w:id="172"/>
    <w:p>
      <w:pPr>
        <w:ind w:left="340"/>
        <w:spacing w:after="0"/>
        <w:rPr>
          <w:sz w:val="20"/>
          <w:szCs w:val="20"/>
          <w:color w:val="auto"/>
        </w:rPr>
      </w:pPr>
      <w:r>
        <w:rPr>
          <w:rFonts w:ascii="Arial" w:cs="Arial" w:eastAsia="Arial" w:hAnsi="Arial"/>
          <w:sz w:val="20"/>
          <w:szCs w:val="20"/>
          <w:b w:val="1"/>
          <w:bCs w:val="1"/>
          <w:color w:val="auto"/>
        </w:rPr>
        <w:t>Provision I Payment Terms and Conditions for Forms of Annuities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2.1</w:t>
      </w:r>
      <w:r>
        <w:rPr>
          <w:sz w:val="20"/>
          <w:szCs w:val="20"/>
          <w:color w:val="auto"/>
        </w:rPr>
        <w:tab/>
      </w:r>
      <w:r>
        <w:rPr>
          <w:rFonts w:ascii="Arial" w:cs="Arial" w:eastAsia="Arial" w:hAnsi="Arial"/>
          <w:sz w:val="16"/>
          <w:szCs w:val="16"/>
          <w:u w:val="single" w:color="auto"/>
          <w:color w:val="auto"/>
        </w:rPr>
        <w:t>General</w:t>
      </w:r>
    </w:p>
    <w:p>
      <w:pPr>
        <w:spacing w:after="0" w:line="108" w:lineRule="exact"/>
        <w:rPr>
          <w:sz w:val="20"/>
          <w:szCs w:val="20"/>
          <w:color w:val="auto"/>
        </w:rPr>
      </w:pPr>
    </w:p>
    <w:p>
      <w:pPr>
        <w:ind w:left="560" w:right="1000"/>
        <w:spacing w:after="0" w:line="287" w:lineRule="auto"/>
        <w:rPr>
          <w:sz w:val="20"/>
          <w:szCs w:val="20"/>
          <w:color w:val="auto"/>
        </w:rPr>
      </w:pPr>
      <w:r>
        <w:rPr>
          <w:rFonts w:ascii="Arial" w:cs="Arial" w:eastAsia="Arial" w:hAnsi="Arial"/>
          <w:sz w:val="19"/>
          <w:szCs w:val="19"/>
          <w:color w:val="auto"/>
        </w:rPr>
        <w:t>The amount owed by Prudential under this Contract in respect of each Covered Life (and, if applicable, Contingent Life and Beneficiary) will be determined by Prudential in accordance with the terms of this Provision II.</w:t>
      </w:r>
    </w:p>
    <w:p>
      <w:pPr>
        <w:spacing w:after="0" w:line="45" w:lineRule="exact"/>
        <w:rPr>
          <w:sz w:val="20"/>
          <w:szCs w:val="20"/>
          <w:color w:val="auto"/>
        </w:rPr>
      </w:pPr>
    </w:p>
    <w:p>
      <w:pPr>
        <w:jc w:val="both"/>
        <w:ind w:left="560" w:right="20"/>
        <w:spacing w:after="0" w:line="250" w:lineRule="auto"/>
        <w:rPr>
          <w:sz w:val="20"/>
          <w:szCs w:val="20"/>
          <w:color w:val="auto"/>
        </w:rPr>
      </w:pPr>
      <w:r>
        <w:rPr>
          <w:rFonts w:ascii="Arial" w:cs="Arial" w:eastAsia="Arial" w:hAnsi="Arial"/>
          <w:sz w:val="20"/>
          <w:szCs w:val="20"/>
          <w:color w:val="auto"/>
        </w:rPr>
        <w:t>Prudential will apply the terms of this Provision II using the information contained in the Annuity Exhibits with respect to such Covered Life, Contingent Life, and Beneficiary, as such information is updated or corrected pursuant to this Contract. Capitalized terms used but not defined in Section 1.1 have the meanings assigned in this Provision II.</w:t>
      </w:r>
    </w:p>
    <w:p>
      <w:pPr>
        <w:spacing w:after="0" w:line="92" w:lineRule="exact"/>
        <w:rPr>
          <w:sz w:val="20"/>
          <w:szCs w:val="20"/>
          <w:color w:val="auto"/>
        </w:rPr>
      </w:pPr>
    </w:p>
    <w:p>
      <w:pPr>
        <w:ind w:left="560" w:right="180"/>
        <w:spacing w:after="0" w:line="281" w:lineRule="auto"/>
        <w:rPr>
          <w:sz w:val="20"/>
          <w:szCs w:val="20"/>
          <w:color w:val="auto"/>
        </w:rPr>
      </w:pPr>
      <w:r>
        <w:rPr>
          <w:rFonts w:ascii="Arial" w:cs="Arial" w:eastAsia="Arial" w:hAnsi="Arial"/>
          <w:sz w:val="19"/>
          <w:szCs w:val="19"/>
          <w:color w:val="auto"/>
        </w:rPr>
        <w:t>[For any Covered Life, Contingent Life or Beneficiary who is shown on the attached Annuity Exhibit as having been paid, prior to the Annuity Commencement Date, Plan benefits in excess of the amount owed under the Plan, such overpayments shall be deducted from the Annuity Payments otherwise owed to such persons pursuant to this Provision II. Nothing in the preceding sentence shall relate to misstatements of data on the Annuity Exhibits. Such misstatements are governed by Section 2.6.]</w:t>
      </w:r>
      <w:r>
        <w:rPr>
          <w:rFonts w:ascii="Arial" w:cs="Arial" w:eastAsia="Arial" w:hAnsi="Arial"/>
          <w:sz w:val="27"/>
          <w:szCs w:val="27"/>
          <w:color w:val="auto"/>
          <w:vertAlign w:val="superscript"/>
        </w:rPr>
        <w:t>D</w:t>
      </w:r>
    </w:p>
    <w:p>
      <w:pPr>
        <w:spacing w:after="0" w:line="3" w:lineRule="exact"/>
        <w:rPr>
          <w:sz w:val="20"/>
          <w:szCs w:val="20"/>
          <w:color w:val="auto"/>
        </w:rPr>
      </w:pPr>
    </w:p>
    <w:p>
      <w:pPr>
        <w:ind w:left="560" w:right="40"/>
        <w:spacing w:after="0" w:line="269" w:lineRule="auto"/>
        <w:rPr>
          <w:sz w:val="20"/>
          <w:szCs w:val="20"/>
          <w:color w:val="auto"/>
        </w:rPr>
      </w:pPr>
      <w:r>
        <w:rPr>
          <w:rFonts w:ascii="Arial" w:cs="Arial" w:eastAsia="Arial" w:hAnsi="Arial"/>
          <w:sz w:val="19"/>
          <w:szCs w:val="19"/>
          <w:color w:val="auto"/>
        </w:rPr>
        <w:t>[For any Covered Life, Contingent Life or Beneficiary who is shown on the attached Annuity Exhibit as having been paid, prior to the Annuity Commencement Date, Plan benefits that were less than the amount owed under the Plan, such underpayments shall be added to the Annuity Payments otherwise owed to such persons pursuant to this Provision II. Nothing in the preceding sentence shall relate to misstatements of data on the Annuity Exhibits. Such misstatements are governed by Section 2.6.]</w:t>
      </w:r>
      <w:r>
        <w:rPr>
          <w:rFonts w:ascii="Arial" w:cs="Arial" w:eastAsia="Arial" w:hAnsi="Arial"/>
          <w:sz w:val="24"/>
          <w:szCs w:val="24"/>
          <w:color w:val="auto"/>
          <w:vertAlign w:val="superscript"/>
        </w:rPr>
        <w:t>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2.2</w:t>
      </w:r>
      <w:r>
        <w:rPr>
          <w:sz w:val="20"/>
          <w:szCs w:val="20"/>
          <w:color w:val="auto"/>
        </w:rPr>
        <w:tab/>
      </w:r>
      <w:r>
        <w:rPr>
          <w:rFonts w:ascii="Arial" w:cs="Arial" w:eastAsia="Arial" w:hAnsi="Arial"/>
          <w:sz w:val="18"/>
          <w:szCs w:val="18"/>
          <w:u w:val="single" w:color="auto"/>
          <w:color w:val="auto"/>
        </w:rPr>
        <w:t>Definitions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definitions apply to this Section.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Annuity Forms</w:t>
      </w:r>
      <w:r>
        <w:rPr>
          <w:rFonts w:ascii="Arial" w:cs="Arial" w:eastAsia="Arial" w:hAnsi="Arial"/>
          <w:sz w:val="20"/>
          <w:szCs w:val="20"/>
          <w:color w:val="auto"/>
        </w:rPr>
        <w:t>” means one of the following types of annuities:</w:t>
      </w:r>
    </w:p>
    <w:p>
      <w:pPr>
        <w:spacing w:after="0" w:line="229" w:lineRule="exact"/>
        <w:rPr>
          <w:sz w:val="20"/>
          <w:szCs w:val="20"/>
          <w:color w:val="auto"/>
        </w:rPr>
      </w:pPr>
    </w:p>
    <w:p>
      <w:pPr>
        <w:jc w:val="both"/>
        <w:ind w:left="1620" w:right="100" w:firstLine="9"/>
        <w:spacing w:after="0" w:line="278" w:lineRule="auto"/>
        <w:tabs>
          <w:tab w:leader="none" w:pos="21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Joint and Survivor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Special Benefit Rider</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Level Benefit Rider</w:t>
      </w:r>
    </w:p>
    <w:p>
      <w:pPr>
        <w:ind w:left="2600"/>
        <w:spacing w:after="0"/>
        <w:rPr>
          <w:sz w:val="20"/>
          <w:szCs w:val="20"/>
          <w:color w:val="auto"/>
        </w:rPr>
      </w:pPr>
      <w:r>
        <w:rPr>
          <w:rFonts w:ascii="Arial" w:cs="Arial" w:eastAsia="Arial" w:hAnsi="Arial"/>
          <w:sz w:val="20"/>
          <w:szCs w:val="20"/>
          <w:color w:val="auto"/>
        </w:rPr>
        <w:t>Refund Death Benefit Rider</w:t>
      </w:r>
    </w:p>
    <w:p>
      <w:pPr>
        <w:ind w:left="196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left="1960" w:right="220"/>
        <w:spacing w:after="0" w:line="260" w:lineRule="auto"/>
        <w:rPr>
          <w:sz w:val="20"/>
          <w:szCs w:val="20"/>
          <w:color w:val="auto"/>
        </w:rPr>
      </w:pPr>
      <w:r>
        <w:rPr>
          <w:rFonts w:ascii="Arial" w:cs="Arial" w:eastAsia="Arial" w:hAnsi="Arial"/>
          <w:sz w:val="20"/>
          <w:szCs w:val="20"/>
          <w:color w:val="auto"/>
        </w:rPr>
        <w:t>together with, in respect of such Covered Life, any of the following Option(s) in respect of such Covered Life as are specified in the Annuity Exhibits with respect to such Covered Life:</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General Conversion Option</w:t>
      </w:r>
    </w:p>
    <w:p>
      <w:pPr>
        <w:spacing w:after="0" w:line="229" w:lineRule="exact"/>
        <w:rPr>
          <w:sz w:val="20"/>
          <w:szCs w:val="20"/>
          <w:color w:val="auto"/>
        </w:rPr>
      </w:pPr>
    </w:p>
    <w:p>
      <w:pPr>
        <w:ind w:left="1620" w:firstLine="9"/>
        <w:spacing w:after="0" w:line="289" w:lineRule="auto"/>
        <w:tabs>
          <w:tab w:leader="none" w:pos="218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Period Certain Annuity</w:t>
      </w:r>
      <w:r>
        <w:rPr>
          <w:rFonts w:ascii="Arial" w:cs="Arial" w:eastAsia="Arial" w:hAnsi="Arial"/>
          <w:sz w:val="20"/>
          <w:szCs w:val="20"/>
          <w:color w:val="auto"/>
        </w:rPr>
        <w:t>,” means, in respect of a Covered Life, the Annuity Form having such payment terms as are specified in Section 2.3 for such Annuity Form. No Riders or Options apply to this Annuity Form.</w:t>
      </w:r>
    </w:p>
    <w:p>
      <w:pPr>
        <w:spacing w:after="0" w:line="175" w:lineRule="exact"/>
        <w:rPr>
          <w:rFonts w:ascii="Arial" w:cs="Arial" w:eastAsia="Arial" w:hAnsi="Arial"/>
          <w:sz w:val="20"/>
          <w:szCs w:val="20"/>
          <w:color w:val="auto"/>
        </w:rPr>
      </w:pPr>
    </w:p>
    <w:p>
      <w:pPr>
        <w:ind w:left="1620" w:right="240" w:firstLine="9"/>
        <w:spacing w:after="0" w:line="347" w:lineRule="auto"/>
        <w:tabs>
          <w:tab w:leader="none" w:pos="224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Life and Period Certain Annuity</w:t>
      </w:r>
      <w:r>
        <w:rPr>
          <w:rFonts w:ascii="Arial" w:cs="Arial" w:eastAsia="Arial" w:hAnsi="Arial"/>
          <w:sz w:val="18"/>
          <w:szCs w:val="18"/>
          <w:color w:val="auto"/>
        </w:rPr>
        <w:t>,” means, in respect of a Covered Life, the Annuity Form having such payment terms as are specified in Section 2.3 for such Annuity Form. No Riders or Options apply to this Annuity Form.</w:t>
      </w:r>
    </w:p>
    <w:p>
      <w:pPr>
        <w:spacing w:after="0" w:line="130" w:lineRule="exact"/>
        <w:rPr>
          <w:rFonts w:ascii="Arial" w:cs="Arial" w:eastAsia="Arial" w:hAnsi="Arial"/>
          <w:sz w:val="18"/>
          <w:szCs w:val="18"/>
          <w:color w:val="auto"/>
        </w:rPr>
      </w:pPr>
    </w:p>
    <w:p>
      <w:pPr>
        <w:ind w:left="2240" w:hanging="611"/>
        <w:spacing w:after="0"/>
        <w:tabs>
          <w:tab w:leader="none" w:pos="224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Single Life Annuity,</w:t>
      </w:r>
      <w:r>
        <w:rPr>
          <w:rFonts w:ascii="Arial" w:cs="Arial" w:eastAsia="Arial" w:hAnsi="Arial"/>
          <w:sz w:val="20"/>
          <w:szCs w:val="20"/>
          <w:color w:val="auto"/>
        </w:rPr>
        <w:t>” means, in respect of a Covered Life, the Annuity Form having such</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792" w:right="279" w:bottom="1440" w:gutter="0" w:footer="0" w:header="0"/>
        </w:sectPr>
      </w:pPr>
    </w:p>
    <w:bookmarkStart w:id="173" w:name="page174"/>
    <w:bookmarkEnd w:id="173"/>
    <w:p>
      <w:pPr>
        <w:ind w:left="960" w:right="40"/>
        <w:spacing w:after="0" w:line="289" w:lineRule="auto"/>
        <w:rPr>
          <w:sz w:val="20"/>
          <w:szCs w:val="20"/>
          <w:color w:val="auto"/>
        </w:rPr>
      </w:pPr>
      <w:r>
        <w:rPr>
          <w:rFonts w:ascii="Arial" w:cs="Arial" w:eastAsia="Arial" w:hAnsi="Arial"/>
          <w:sz w:val="20"/>
          <w:szCs w:val="20"/>
          <w:color w:val="auto"/>
        </w:rPr>
        <w:t>payment terms as are specified in Section 2.3 for such Annuity Form, together with any of the following Riders in respect of such Covered Life as are specified in Annuity Exhibits:</w:t>
      </w:r>
    </w:p>
    <w:p>
      <w:pPr>
        <w:spacing w:after="0" w:line="162"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Special Benefit Rider</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Level Benefit Rider</w:t>
      </w:r>
    </w:p>
    <w:p>
      <w:pPr>
        <w:ind w:left="1940"/>
        <w:spacing w:after="0"/>
        <w:rPr>
          <w:sz w:val="20"/>
          <w:szCs w:val="20"/>
          <w:color w:val="auto"/>
        </w:rPr>
      </w:pPr>
      <w:r>
        <w:rPr>
          <w:rFonts w:ascii="Arial" w:cs="Arial" w:eastAsia="Arial" w:hAnsi="Arial"/>
          <w:sz w:val="20"/>
          <w:szCs w:val="20"/>
          <w:color w:val="auto"/>
        </w:rPr>
        <w:t>Refund Death Benefit Rider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1300" w:right="160"/>
        <w:spacing w:after="0" w:line="260" w:lineRule="auto"/>
        <w:rPr>
          <w:sz w:val="20"/>
          <w:szCs w:val="20"/>
          <w:color w:val="auto"/>
        </w:rPr>
      </w:pPr>
      <w:r>
        <w:rPr>
          <w:rFonts w:ascii="Arial" w:cs="Arial" w:eastAsia="Arial" w:hAnsi="Arial"/>
          <w:sz w:val="20"/>
          <w:szCs w:val="20"/>
          <w:color w:val="auto"/>
        </w:rPr>
        <w:t>together with, in respect of such Covered Life, any of the following Option(s) in respect of such Covered Life as are specified in the Annuity Exhibits with respect to such Covered Life:</w:t>
      </w:r>
    </w:p>
    <w:p>
      <w:pPr>
        <w:spacing w:after="0" w:line="177"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Post-Retirement Marriage Conversion Option</w:t>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Disabled Age 55 Conversion Option</w:t>
      </w:r>
    </w:p>
    <w:p>
      <w:pPr>
        <w:spacing w:after="0" w:line="213" w:lineRule="exact"/>
        <w:rPr>
          <w:sz w:val="20"/>
          <w:szCs w:val="20"/>
          <w:color w:val="auto"/>
        </w:rPr>
      </w:pPr>
    </w:p>
    <w:p>
      <w:pPr>
        <w:ind w:left="960" w:right="40" w:firstLine="9"/>
        <w:spacing w:after="0" w:line="278" w:lineRule="auto"/>
        <w:tabs>
          <w:tab w:leader="none" w:pos="1515" w:val="left"/>
        </w:tabs>
        <w:numPr>
          <w:ilvl w:val="0"/>
          <w:numId w:val="1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Spousal Joint and Survivor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7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Special Benefit Rider</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Level Benefit Rider</w:t>
      </w:r>
    </w:p>
    <w:p>
      <w:pPr>
        <w:ind w:left="1940"/>
        <w:spacing w:after="0"/>
        <w:rPr>
          <w:sz w:val="20"/>
          <w:szCs w:val="20"/>
          <w:color w:val="auto"/>
        </w:rPr>
      </w:pPr>
      <w:r>
        <w:rPr>
          <w:rFonts w:ascii="Arial" w:cs="Arial" w:eastAsia="Arial" w:hAnsi="Arial"/>
          <w:sz w:val="20"/>
          <w:szCs w:val="20"/>
          <w:color w:val="auto"/>
        </w:rPr>
        <w:t>Pop-Up Rider</w:t>
      </w:r>
    </w:p>
    <w:p>
      <w:pPr>
        <w:ind w:left="1940"/>
        <w:spacing w:after="0"/>
        <w:rPr>
          <w:sz w:val="20"/>
          <w:szCs w:val="20"/>
          <w:color w:val="auto"/>
        </w:rPr>
      </w:pPr>
      <w:r>
        <w:rPr>
          <w:rFonts w:ascii="Arial" w:cs="Arial" w:eastAsia="Arial" w:hAnsi="Arial"/>
          <w:sz w:val="20"/>
          <w:szCs w:val="20"/>
          <w:color w:val="auto"/>
        </w:rPr>
        <w:t>Refund Death Benefit Rider</w:t>
      </w:r>
    </w:p>
    <w:p>
      <w:pPr>
        <w:ind w:left="130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left="1300" w:right="160"/>
        <w:spacing w:after="0" w:line="260" w:lineRule="auto"/>
        <w:rPr>
          <w:sz w:val="20"/>
          <w:szCs w:val="20"/>
          <w:color w:val="auto"/>
        </w:rPr>
      </w:pPr>
      <w:r>
        <w:rPr>
          <w:rFonts w:ascii="Arial" w:cs="Arial" w:eastAsia="Arial" w:hAnsi="Arial"/>
          <w:sz w:val="20"/>
          <w:szCs w:val="20"/>
          <w:color w:val="auto"/>
        </w:rPr>
        <w:t>together with, in respect of such Covered Life, any of the following Option(s) in respect of such Covered Life as are specified in the Annuity Exhibits with respect to such Covered Life:</w:t>
      </w:r>
    </w:p>
    <w:p>
      <w:pPr>
        <w:spacing w:after="0" w:line="177"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General Conversion Option</w:t>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Disabled Age 55 Conversion Option</w:t>
      </w:r>
    </w:p>
    <w:p>
      <w:pPr>
        <w:spacing w:after="0" w:line="213" w:lineRule="exact"/>
        <w:rPr>
          <w:sz w:val="20"/>
          <w:szCs w:val="20"/>
          <w:color w:val="auto"/>
        </w:rPr>
      </w:pPr>
    </w:p>
    <w:p>
      <w:pPr>
        <w:ind w:left="960" w:right="80" w:firstLine="9"/>
        <w:spacing w:after="0" w:line="299" w:lineRule="auto"/>
        <w:tabs>
          <w:tab w:leader="none" w:pos="1570"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Window Spousal Contingent 50% or 75% Joint and Survivor Life Annuity</w:t>
      </w:r>
      <w:r>
        <w:rPr>
          <w:rFonts w:ascii="Arial" w:cs="Arial" w:eastAsia="Arial" w:hAnsi="Arial"/>
          <w:sz w:val="19"/>
          <w:szCs w:val="19"/>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5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Refund Death Benefit Rider</w:t>
      </w:r>
    </w:p>
    <w:p>
      <w:pPr>
        <w:spacing w:after="0" w:line="216" w:lineRule="exact"/>
        <w:rPr>
          <w:sz w:val="20"/>
          <w:szCs w:val="20"/>
          <w:color w:val="auto"/>
        </w:rPr>
      </w:pPr>
    </w:p>
    <w:p>
      <w:pPr>
        <w:jc w:val="both"/>
        <w:ind w:left="960" w:right="80" w:firstLine="9"/>
        <w:spacing w:after="0" w:line="250" w:lineRule="auto"/>
        <w:tabs>
          <w:tab w:leader="none" w:pos="1350"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Window Single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86"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Refund Death Benefit Rider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 Conditions</w:t>
      </w:r>
      <w:r>
        <w:rPr>
          <w:rFonts w:ascii="Arial" w:cs="Arial" w:eastAsia="Arial" w:hAnsi="Arial"/>
          <w:sz w:val="20"/>
          <w:szCs w:val="20"/>
          <w:color w:val="auto"/>
        </w:rPr>
        <w:t>” means the following:</w:t>
      </w:r>
    </w:p>
    <w:p>
      <w:pPr>
        <w:spacing w:after="0" w:line="216" w:lineRule="exact"/>
        <w:rPr>
          <w:sz w:val="20"/>
          <w:szCs w:val="20"/>
          <w:color w:val="auto"/>
        </w:rPr>
      </w:pPr>
    </w:p>
    <w:p>
      <w:pPr>
        <w:ind w:left="880" w:hanging="235"/>
        <w:spacing w:after="0"/>
        <w:tabs>
          <w:tab w:leader="none" w:pos="88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With respect to Disabled Age 55 Conversion Option,</w:t>
      </w:r>
    </w:p>
    <w:p>
      <w:pPr>
        <w:spacing w:after="0" w:line="215" w:lineRule="exact"/>
        <w:rPr>
          <w:rFonts w:ascii="Arial" w:cs="Arial" w:eastAsia="Arial" w:hAnsi="Arial"/>
          <w:sz w:val="20"/>
          <w:szCs w:val="20"/>
          <w:color w:val="auto"/>
        </w:rPr>
      </w:pPr>
    </w:p>
    <w:p>
      <w:pPr>
        <w:ind w:left="1300" w:hanging="7"/>
        <w:spacing w:after="0" w:line="260" w:lineRule="auto"/>
        <w:tabs>
          <w:tab w:leader="none" w:pos="1624" w:val="left"/>
        </w:tabs>
        <w:numPr>
          <w:ilvl w:val="1"/>
          <w:numId w:val="174"/>
        </w:numPr>
        <w:rPr>
          <w:rFonts w:ascii="Arial" w:cs="Arial" w:eastAsia="Arial" w:hAnsi="Arial"/>
          <w:sz w:val="20"/>
          <w:szCs w:val="20"/>
          <w:color w:val="auto"/>
        </w:rPr>
      </w:pPr>
      <w:r>
        <w:rPr>
          <w:rFonts w:ascii="Arial" w:cs="Arial" w:eastAsia="Arial" w:hAnsi="Arial"/>
          <w:sz w:val="20"/>
          <w:szCs w:val="20"/>
          <w:color w:val="auto"/>
        </w:rPr>
        <w:t>means that a Covered Life (such Covered Life being “you” or “your”) is shown on the Annuity Exhibits as having a “Disabled Age 55” Conversion Option, and</w:t>
      </w:r>
    </w:p>
    <w:p>
      <w:pPr>
        <w:spacing w:after="0" w:line="200" w:lineRule="exact"/>
        <w:rPr>
          <w:sz w:val="20"/>
          <w:szCs w:val="20"/>
          <w:color w:val="auto"/>
        </w:rPr>
      </w:pPr>
    </w:p>
    <w:p>
      <w:pPr>
        <w:spacing w:after="0" w:line="2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60"/>
          </w:cols>
          <w:pgMar w:left="900" w:top="596" w:right="339" w:bottom="1440" w:gutter="0" w:footer="0" w:header="0"/>
        </w:sectPr>
      </w:pPr>
    </w:p>
    <w:bookmarkStart w:id="174" w:name="page175"/>
    <w:bookmarkEnd w:id="174"/>
    <w:p>
      <w:pPr>
        <w:ind w:left="1600" w:hanging="307"/>
        <w:spacing w:after="0"/>
        <w:tabs>
          <w:tab w:leader="none" w:pos="160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you demonstrate that you are age 55</w:t>
      </w:r>
    </w:p>
    <w:p>
      <w:pPr>
        <w:spacing w:after="0" w:line="215" w:lineRule="exact"/>
        <w:rPr>
          <w:rFonts w:ascii="Arial" w:cs="Arial" w:eastAsia="Arial" w:hAnsi="Arial"/>
          <w:sz w:val="20"/>
          <w:szCs w:val="20"/>
          <w:color w:val="auto"/>
        </w:rPr>
      </w:pPr>
    </w:p>
    <w:p>
      <w:pPr>
        <w:ind w:left="940" w:hanging="295"/>
        <w:spacing w:after="0"/>
        <w:tabs>
          <w:tab w:leader="none" w:pos="9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With respect to the General Conversion Option,</w:t>
      </w:r>
    </w:p>
    <w:p>
      <w:pPr>
        <w:spacing w:after="0" w:line="215" w:lineRule="exact"/>
        <w:rPr>
          <w:rFonts w:ascii="Arial" w:cs="Arial" w:eastAsia="Arial" w:hAnsi="Arial"/>
          <w:sz w:val="20"/>
          <w:szCs w:val="20"/>
          <w:color w:val="auto"/>
        </w:rPr>
      </w:pPr>
    </w:p>
    <w:p>
      <w:pPr>
        <w:ind w:left="1300" w:right="40" w:hanging="7"/>
        <w:spacing w:after="0" w:line="250" w:lineRule="auto"/>
        <w:tabs>
          <w:tab w:leader="none" w:pos="1624" w:val="left"/>
        </w:tabs>
        <w:numPr>
          <w:ilvl w:val="1"/>
          <w:numId w:val="176"/>
        </w:numPr>
        <w:rPr>
          <w:rFonts w:ascii="Arial" w:cs="Arial" w:eastAsia="Arial" w:hAnsi="Arial"/>
          <w:sz w:val="20"/>
          <w:szCs w:val="20"/>
          <w:color w:val="auto"/>
        </w:rPr>
      </w:pPr>
      <w:r>
        <w:rPr>
          <w:rFonts w:ascii="Arial" w:cs="Arial" w:eastAsia="Arial" w:hAnsi="Arial"/>
          <w:sz w:val="20"/>
          <w:szCs w:val="20"/>
          <w:color w:val="auto"/>
        </w:rPr>
        <w:t>means that a Covered Life (such Covered Life being “you” or “your”) is shown on the Annuity Exhibits as having a “General” Conversion Option, then you must demonstrate that you meet one of the following conditions before you can exercise the option:</w:t>
      </w:r>
    </w:p>
    <w:p>
      <w:pPr>
        <w:spacing w:after="0" w:line="186" w:lineRule="exact"/>
        <w:rPr>
          <w:rFonts w:ascii="Arial" w:cs="Arial" w:eastAsia="Arial" w:hAnsi="Arial"/>
          <w:sz w:val="20"/>
          <w:szCs w:val="20"/>
          <w:color w:val="auto"/>
        </w:rPr>
      </w:pPr>
    </w:p>
    <w:p>
      <w:pPr>
        <w:ind w:left="1300" w:hanging="7"/>
        <w:spacing w:after="0" w:line="260" w:lineRule="auto"/>
        <w:tabs>
          <w:tab w:leader="none" w:pos="1613" w:val="left"/>
        </w:tabs>
        <w:numPr>
          <w:ilvl w:val="1"/>
          <w:numId w:val="176"/>
        </w:numPr>
        <w:rPr>
          <w:rFonts w:ascii="Arial" w:cs="Arial" w:eastAsia="Arial" w:hAnsi="Arial"/>
          <w:sz w:val="19"/>
          <w:szCs w:val="19"/>
          <w:color w:val="auto"/>
        </w:rPr>
      </w:pPr>
      <w:r>
        <w:rPr>
          <w:rFonts w:ascii="Arial" w:cs="Arial" w:eastAsia="Arial" w:hAnsi="Arial"/>
          <w:sz w:val="19"/>
          <w:szCs w:val="19"/>
          <w:color w:val="auto"/>
        </w:rPr>
        <w:t>if your Annuity Form is the Spousal Joint and Survivor Life Annuity or the Contingent Joint and Survivor Life Annuity with your spouse as Contingent Life and if you became divorced after your Original Retirement Date (as specified on the Annuity Exhibits), then you can exercise the option if you comply with the following conditions. You must provide us with a qualified domestic relations order (QDRO) in a form acceptable to us. It must provide that such Contingent Life will not be entitled to any portion of the Contingent Life Amount when you die.</w:t>
      </w:r>
    </w:p>
    <w:p>
      <w:pPr>
        <w:spacing w:after="0" w:line="180" w:lineRule="exact"/>
        <w:rPr>
          <w:rFonts w:ascii="Arial" w:cs="Arial" w:eastAsia="Arial" w:hAnsi="Arial"/>
          <w:sz w:val="19"/>
          <w:szCs w:val="19"/>
          <w:color w:val="auto"/>
        </w:rPr>
      </w:pPr>
    </w:p>
    <w:p>
      <w:pPr>
        <w:ind w:left="1300" w:right="20" w:hanging="7"/>
        <w:spacing w:after="0" w:line="244" w:lineRule="auto"/>
        <w:tabs>
          <w:tab w:leader="none" w:pos="1613" w:val="left"/>
        </w:tabs>
        <w:numPr>
          <w:ilvl w:val="1"/>
          <w:numId w:val="176"/>
        </w:numPr>
        <w:rPr>
          <w:rFonts w:ascii="Arial" w:cs="Arial" w:eastAsia="Arial" w:hAnsi="Arial"/>
          <w:sz w:val="20"/>
          <w:szCs w:val="20"/>
          <w:color w:val="auto"/>
        </w:rPr>
      </w:pPr>
      <w:r>
        <w:rPr>
          <w:rFonts w:ascii="Arial" w:cs="Arial" w:eastAsia="Arial" w:hAnsi="Arial"/>
          <w:sz w:val="20"/>
          <w:szCs w:val="20"/>
          <w:color w:val="auto"/>
        </w:rPr>
        <w:t>if your Annuity Form is the Contingent Joint and Survivor Life Annuity, and if your Contingent Life is not your spouse, you can exercise this option only in the event of post retirement marriage or re-marriage. No waiver from your Contingent Life is required. If we request, you must provide us with satisfactory proof of the good health of the Contingent Life before the Contingent Life can be removed and a new spouse can be added (see Post-Retirement Marriage Conversion Option, below).</w:t>
      </w:r>
    </w:p>
    <w:p>
      <w:pPr>
        <w:spacing w:after="0" w:line="195" w:lineRule="exact"/>
        <w:rPr>
          <w:sz w:val="20"/>
          <w:szCs w:val="20"/>
          <w:color w:val="auto"/>
        </w:rPr>
      </w:pPr>
    </w:p>
    <w:p>
      <w:pPr>
        <w:ind w:left="1300" w:right="140"/>
        <w:spacing w:after="0" w:line="260" w:lineRule="auto"/>
        <w:rPr>
          <w:sz w:val="20"/>
          <w:szCs w:val="20"/>
          <w:color w:val="auto"/>
        </w:rPr>
      </w:pPr>
      <w:r>
        <w:rPr>
          <w:rFonts w:ascii="Arial" w:cs="Arial" w:eastAsia="Arial" w:hAnsi="Arial"/>
          <w:sz w:val="20"/>
          <w:szCs w:val="20"/>
          <w:color w:val="auto"/>
        </w:rPr>
        <w:t>Note that this option is limited to the situations described above. The following are examples of situations where you cannot exercise this option.</w:t>
      </w:r>
    </w:p>
    <w:p>
      <w:pPr>
        <w:spacing w:after="0" w:line="177" w:lineRule="exact"/>
        <w:rPr>
          <w:sz w:val="20"/>
          <w:szCs w:val="20"/>
          <w:color w:val="auto"/>
        </w:rPr>
      </w:pPr>
    </w:p>
    <w:p>
      <w:pPr>
        <w:ind w:left="1300" w:right="20" w:hanging="7"/>
        <w:spacing w:after="0" w:line="260" w:lineRule="auto"/>
        <w:tabs>
          <w:tab w:leader="none" w:pos="1624" w:val="left"/>
        </w:tabs>
        <w:numPr>
          <w:ilvl w:val="1"/>
          <w:numId w:val="177"/>
        </w:numPr>
        <w:rPr>
          <w:rFonts w:ascii="Arial" w:cs="Arial" w:eastAsia="Arial" w:hAnsi="Arial"/>
          <w:sz w:val="20"/>
          <w:szCs w:val="20"/>
          <w:color w:val="auto"/>
        </w:rPr>
      </w:pPr>
      <w:r>
        <w:rPr>
          <w:rFonts w:ascii="Arial" w:cs="Arial" w:eastAsia="Arial" w:hAnsi="Arial"/>
          <w:sz w:val="20"/>
          <w:szCs w:val="20"/>
          <w:color w:val="auto"/>
        </w:rPr>
        <w:t>if your Annuity Form is the Spousal Joint and Survivor Life Annuity and if you have not been divorced since your Original Retirement Date, you cannot exercise this option.</w:t>
      </w:r>
    </w:p>
    <w:p>
      <w:pPr>
        <w:spacing w:after="0" w:line="176" w:lineRule="exact"/>
        <w:rPr>
          <w:rFonts w:ascii="Arial" w:cs="Arial" w:eastAsia="Arial" w:hAnsi="Arial"/>
          <w:sz w:val="20"/>
          <w:szCs w:val="20"/>
          <w:color w:val="auto"/>
        </w:rPr>
      </w:pPr>
    </w:p>
    <w:p>
      <w:pPr>
        <w:ind w:left="1300" w:right="220" w:hanging="7"/>
        <w:spacing w:after="0" w:line="316" w:lineRule="auto"/>
        <w:tabs>
          <w:tab w:leader="none" w:pos="162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your Annuity Form is the Contingent Joint and Survivor Life Annuity, if your Contingent Life is your spouse, and if you have not been divorced since your Original Retirement Date, you cannot exercise this option.</w:t>
      </w:r>
    </w:p>
    <w:p>
      <w:pPr>
        <w:spacing w:after="0" w:line="130" w:lineRule="exact"/>
        <w:rPr>
          <w:rFonts w:ascii="Arial" w:cs="Arial" w:eastAsia="Arial" w:hAnsi="Arial"/>
          <w:sz w:val="18"/>
          <w:szCs w:val="18"/>
          <w:color w:val="auto"/>
        </w:rPr>
      </w:pPr>
    </w:p>
    <w:p>
      <w:pPr>
        <w:ind w:left="1000" w:hanging="355"/>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With respect to the Post-Retirement Marriage Conversion Option,</w:t>
      </w:r>
    </w:p>
    <w:p>
      <w:pPr>
        <w:spacing w:after="0" w:line="215" w:lineRule="exact"/>
        <w:rPr>
          <w:rFonts w:ascii="Arial" w:cs="Arial" w:eastAsia="Arial" w:hAnsi="Arial"/>
          <w:sz w:val="20"/>
          <w:szCs w:val="20"/>
          <w:color w:val="auto"/>
        </w:rPr>
      </w:pPr>
    </w:p>
    <w:p>
      <w:pPr>
        <w:ind w:left="1300" w:right="40" w:hanging="7"/>
        <w:spacing w:after="0" w:line="260" w:lineRule="auto"/>
        <w:tabs>
          <w:tab w:leader="none" w:pos="1624" w:val="left"/>
        </w:tabs>
        <w:numPr>
          <w:ilvl w:val="1"/>
          <w:numId w:val="178"/>
        </w:numPr>
        <w:rPr>
          <w:rFonts w:ascii="Arial" w:cs="Arial" w:eastAsia="Arial" w:hAnsi="Arial"/>
          <w:sz w:val="20"/>
          <w:szCs w:val="20"/>
          <w:color w:val="auto"/>
        </w:rPr>
      </w:pPr>
      <w:r>
        <w:rPr>
          <w:rFonts w:ascii="Arial" w:cs="Arial" w:eastAsia="Arial" w:hAnsi="Arial"/>
          <w:sz w:val="20"/>
          <w:szCs w:val="20"/>
          <w:color w:val="auto"/>
        </w:rPr>
        <w:t>means that a Covered Life (such Covered Life being “you” or “your”) is shown on the Annuity Exhibits as having a “Post-Retirement Marriage” Conversion Option, and</w:t>
      </w:r>
    </w:p>
    <w:p>
      <w:pPr>
        <w:spacing w:after="0" w:line="176" w:lineRule="exact"/>
        <w:rPr>
          <w:rFonts w:ascii="Arial" w:cs="Arial" w:eastAsia="Arial" w:hAnsi="Arial"/>
          <w:sz w:val="20"/>
          <w:szCs w:val="20"/>
          <w:color w:val="auto"/>
        </w:rPr>
      </w:pPr>
    </w:p>
    <w:p>
      <w:pPr>
        <w:ind w:left="1600" w:hanging="307"/>
        <w:spacing w:after="0"/>
        <w:tabs>
          <w:tab w:leader="none" w:pos="160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You became married for the first time, or became re-married, after [June 30, 2011]</w:t>
      </w:r>
      <w:r>
        <w:rPr>
          <w:rFonts w:ascii="Arial" w:cs="Arial" w:eastAsia="Arial" w:hAnsi="Arial"/>
          <w:sz w:val="25"/>
          <w:szCs w:val="25"/>
          <w:color w:val="auto"/>
          <w:vertAlign w:val="superscript"/>
        </w:rPr>
        <w:t>E</w:t>
      </w:r>
      <w:r>
        <w:rPr>
          <w:rFonts w:ascii="Arial" w:cs="Arial" w:eastAsia="Arial" w:hAnsi="Arial"/>
          <w:sz w:val="20"/>
          <w:szCs w:val="20"/>
          <w:color w:val="auto"/>
        </w:rPr>
        <w:t>, and</w:t>
      </w:r>
    </w:p>
    <w:p>
      <w:pPr>
        <w:spacing w:after="0" w:line="171" w:lineRule="exact"/>
        <w:rPr>
          <w:rFonts w:ascii="Arial" w:cs="Arial" w:eastAsia="Arial" w:hAnsi="Arial"/>
          <w:sz w:val="20"/>
          <w:szCs w:val="20"/>
          <w:color w:val="auto"/>
        </w:rPr>
      </w:pPr>
    </w:p>
    <w:p>
      <w:pPr>
        <w:ind w:left="1600" w:hanging="307"/>
        <w:spacing w:after="0"/>
        <w:tabs>
          <w:tab w:leader="none" w:pos="160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You exercise this option within 18-months after such marriage or re-marriage, and</w:t>
      </w:r>
    </w:p>
    <w:p>
      <w:pPr>
        <w:spacing w:after="0" w:line="215" w:lineRule="exact"/>
        <w:rPr>
          <w:rFonts w:ascii="Arial" w:cs="Arial" w:eastAsia="Arial" w:hAnsi="Arial"/>
          <w:sz w:val="20"/>
          <w:szCs w:val="20"/>
          <w:color w:val="auto"/>
        </w:rPr>
      </w:pPr>
    </w:p>
    <w:p>
      <w:pPr>
        <w:ind w:left="1620" w:hanging="327"/>
        <w:spacing w:after="0"/>
        <w:tabs>
          <w:tab w:leader="none" w:pos="162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You supply us with evidence of such marriage or re-marriage.</w:t>
      </w:r>
    </w:p>
    <w:p>
      <w:pPr>
        <w:spacing w:after="0" w:line="216"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Conversion Options</w:t>
      </w:r>
      <w:r>
        <w:rPr>
          <w:rFonts w:ascii="Arial" w:cs="Arial" w:eastAsia="Arial" w:hAnsi="Arial"/>
          <w:sz w:val="19"/>
          <w:szCs w:val="19"/>
          <w:color w:val="auto"/>
        </w:rPr>
        <w:t>” means, if the “</w:t>
      </w:r>
      <w:r>
        <w:rPr>
          <w:rFonts w:ascii="Arial" w:cs="Arial" w:eastAsia="Arial" w:hAnsi="Arial"/>
          <w:sz w:val="19"/>
          <w:szCs w:val="19"/>
          <w:u w:val="single" w:color="auto"/>
          <w:color w:val="auto"/>
        </w:rPr>
        <w:t>Disabled Age 55 Conversion Option,</w:t>
      </w:r>
      <w:r>
        <w:rPr>
          <w:rFonts w:ascii="Arial" w:cs="Arial" w:eastAsia="Arial" w:hAnsi="Arial"/>
          <w:sz w:val="19"/>
          <w:szCs w:val="19"/>
          <w:color w:val="auto"/>
        </w:rPr>
        <w:t>” the “</w:t>
      </w:r>
      <w:r>
        <w:rPr>
          <w:rFonts w:ascii="Arial" w:cs="Arial" w:eastAsia="Arial" w:hAnsi="Arial"/>
          <w:sz w:val="19"/>
          <w:szCs w:val="19"/>
          <w:u w:val="single" w:color="auto"/>
          <w:color w:val="auto"/>
        </w:rPr>
        <w:t>General Conversion Option</w:t>
      </w:r>
      <w:r>
        <w:rPr>
          <w:rFonts w:ascii="Arial" w:cs="Arial" w:eastAsia="Arial" w:hAnsi="Arial"/>
          <w:sz w:val="19"/>
          <w:szCs w:val="19"/>
          <w:color w:val="auto"/>
        </w:rPr>
        <w:t>,” and/or the “</w:t>
      </w:r>
      <w:r>
        <w:rPr>
          <w:rFonts w:ascii="Arial" w:cs="Arial" w:eastAsia="Arial" w:hAnsi="Arial"/>
          <w:sz w:val="19"/>
          <w:szCs w:val="19"/>
          <w:u w:val="single" w:color="auto"/>
          <w:color w:val="auto"/>
        </w:rPr>
        <w:t>Post-Retirement Marriage Conversion Option</w:t>
      </w:r>
      <w:r>
        <w:rPr>
          <w:rFonts w:ascii="Arial" w:cs="Arial" w:eastAsia="Arial" w:hAnsi="Arial"/>
          <w:sz w:val="19"/>
          <w:szCs w:val="19"/>
          <w:color w:val="auto"/>
        </w:rPr>
        <w:t>” is specified in the Annuity Exhibits as applicable to a Covered Life, and if such option is attached to an Annuity Form eligible for such option, the following options may convert the benefit from one Annuity Form to another Annuity Form. A Conversion Option cannot be exercised by a Contingent Life or a Beneficiary.</w:t>
      </w:r>
    </w:p>
    <w:p>
      <w:pPr>
        <w:spacing w:after="0" w:line="190" w:lineRule="exact"/>
        <w:rPr>
          <w:sz w:val="20"/>
          <w:szCs w:val="20"/>
          <w:color w:val="auto"/>
        </w:rPr>
      </w:pPr>
    </w:p>
    <w:p>
      <w:pPr>
        <w:ind w:left="640" w:firstLine="5"/>
        <w:spacing w:after="0" w:line="278" w:lineRule="auto"/>
        <w:tabs>
          <w:tab w:leader="none" w:pos="147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Disabled Age 55 Conversion Option</w:t>
      </w:r>
      <w:r>
        <w:rPr>
          <w:rFonts w:ascii="Arial" w:cs="Arial" w:eastAsia="Arial" w:hAnsi="Arial"/>
          <w:sz w:val="20"/>
          <w:szCs w:val="20"/>
          <w:color w:val="auto"/>
        </w:rPr>
        <w:t>” means, if a Covered Life is specified in the Annuity Exhibits as having a “Disabled Age 55” Conversion Option (because such person retired from the Plan under a disability retirement prior to age 55) and also as receiving a distribution of one of the</w:t>
      </w:r>
    </w:p>
    <w:p>
      <w:pPr>
        <w:spacing w:after="0" w:line="20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0"/>
          </w:cols>
          <w:pgMar w:left="900" w:top="582" w:right="299" w:bottom="1440" w:gutter="0" w:footer="0" w:header="0"/>
        </w:sectPr>
      </w:pPr>
    </w:p>
    <w:bookmarkStart w:id="175" w:name="page176"/>
    <w:bookmarkEnd w:id="175"/>
    <w:p>
      <w:pPr>
        <w:ind w:left="100"/>
        <w:spacing w:after="0"/>
        <w:rPr>
          <w:sz w:val="20"/>
          <w:szCs w:val="20"/>
          <w:color w:val="auto"/>
        </w:rPr>
      </w:pPr>
      <w:r>
        <w:rPr>
          <w:rFonts w:ascii="Arial" w:cs="Arial" w:eastAsia="Arial" w:hAnsi="Arial"/>
          <w:sz w:val="20"/>
          <w:szCs w:val="20"/>
          <w:color w:val="auto"/>
        </w:rPr>
        <w:t>following Annuity Forms: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Single Life Annuity</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Spousal Joint and Survivor Life Annuity</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then such option is available to such Covered Life (“you” or “your”).</w:t>
      </w:r>
    </w:p>
    <w:p>
      <w:pPr>
        <w:spacing w:after="0" w:line="229" w:lineRule="exact"/>
        <w:rPr>
          <w:sz w:val="20"/>
          <w:szCs w:val="20"/>
          <w:color w:val="auto"/>
        </w:rPr>
      </w:pPr>
    </w:p>
    <w:p>
      <w:pPr>
        <w:ind w:left="100" w:right="200"/>
        <w:spacing w:after="0" w:line="246" w:lineRule="auto"/>
        <w:rPr>
          <w:sz w:val="20"/>
          <w:szCs w:val="20"/>
          <w:color w:val="auto"/>
        </w:rPr>
      </w:pPr>
      <w:r>
        <w:rPr>
          <w:rFonts w:ascii="Arial" w:cs="Arial" w:eastAsia="Arial" w:hAnsi="Arial"/>
          <w:sz w:val="20"/>
          <w:szCs w:val="20"/>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192" w:lineRule="exact"/>
        <w:rPr>
          <w:sz w:val="20"/>
          <w:szCs w:val="20"/>
          <w:color w:val="auto"/>
        </w:rPr>
      </w:pPr>
    </w:p>
    <w:p>
      <w:pPr>
        <w:ind w:left="1400" w:right="20" w:hanging="647"/>
        <w:spacing w:after="0" w:line="278" w:lineRule="auto"/>
        <w:rPr>
          <w:sz w:val="20"/>
          <w:szCs w:val="20"/>
          <w:color w:val="auto"/>
        </w:rPr>
      </w:pPr>
      <w:r>
        <w:rPr>
          <w:rFonts w:ascii="Arial" w:cs="Arial" w:eastAsia="Arial" w:hAnsi="Arial"/>
          <w:sz w:val="18"/>
          <w:szCs w:val="18"/>
          <w:color w:val="auto"/>
        </w:rPr>
        <w:t>Single Life Annuity: If you elect this Annuity Form, the pre-62+1 Pension Amount payable to you will equal the sum of two numbers. The first number equals your Disability Age 55 Pre-62+1 Pension Amount (as specified in the Annuity Exhibits). The second number equals your Disability Temporary Annuity (if specified on the Annuity Exhibits) where there has been a denial of Social Security Disability benefits. Your post-62+1 Pension Amount will equal your Disability Age 55 Post 62+1 Pension Amount (as specified in the Annuity Exhibits).</w:t>
      </w:r>
    </w:p>
    <w:p>
      <w:pPr>
        <w:spacing w:after="0" w:line="179" w:lineRule="exact"/>
        <w:rPr>
          <w:sz w:val="20"/>
          <w:szCs w:val="20"/>
          <w:color w:val="auto"/>
        </w:rPr>
      </w:pPr>
    </w:p>
    <w:p>
      <w:pPr>
        <w:ind w:left="1400" w:hanging="647"/>
        <w:spacing w:after="0" w:line="272" w:lineRule="auto"/>
        <w:rPr>
          <w:sz w:val="20"/>
          <w:szCs w:val="20"/>
          <w:color w:val="auto"/>
        </w:rPr>
      </w:pPr>
      <w:r>
        <w:rPr>
          <w:rFonts w:ascii="Arial" w:cs="Arial" w:eastAsia="Arial" w:hAnsi="Arial"/>
          <w:sz w:val="18"/>
          <w:szCs w:val="18"/>
          <w:color w:val="auto"/>
        </w:rPr>
        <w:t>Spousal Joint and Survivor Life Annuity: If at the time of your disability, you were married and elected a Contingent Joint and 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Annuity Exhibits). The second number is your Spousal Joint and Survivor Life Annuity Pop-Up Decrease Factor. The third number is any Disability Temporary Annuity specified for you on the Annuity Exhibits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w:t>
      </w:r>
    </w:p>
    <w:p>
      <w:pPr>
        <w:spacing w:after="0" w:line="171" w:lineRule="exact"/>
        <w:rPr>
          <w:sz w:val="20"/>
          <w:szCs w:val="20"/>
          <w:color w:val="auto"/>
        </w:rPr>
      </w:pPr>
    </w:p>
    <w:p>
      <w:pPr>
        <w:ind w:left="1400" w:right="20"/>
        <w:spacing w:after="0" w:line="274" w:lineRule="auto"/>
        <w:rPr>
          <w:sz w:val="20"/>
          <w:szCs w:val="20"/>
          <w:color w:val="auto"/>
        </w:rPr>
      </w:pPr>
      <w:r>
        <w:rPr>
          <w:rFonts w:ascii="Arial" w:cs="Arial" w:eastAsia="Arial" w:hAnsi="Arial"/>
          <w:sz w:val="18"/>
          <w:szCs w:val="18"/>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Annuity Exhibits or in our records.: (1) 65% for a Original Retirement Date on/after October 1, 1999, (2) 60 % for a Original Retirement Date on/after November 1, 1976 and prior to October 1, 1999 (3) 55% for a Original Retirement Date on/after September 1, 1964 and prior to November 1, 1976 and (4) 50 % for a Original Retirement Date prior to September 1, 1964.</w:t>
      </w:r>
    </w:p>
    <w:p>
      <w:pPr>
        <w:spacing w:after="0" w:line="169" w:lineRule="exact"/>
        <w:rPr>
          <w:sz w:val="20"/>
          <w:szCs w:val="20"/>
          <w:color w:val="auto"/>
        </w:rPr>
      </w:pPr>
    </w:p>
    <w:p>
      <w:pPr>
        <w:ind w:left="100" w:right="820" w:firstLine="5"/>
        <w:spacing w:after="0" w:line="260" w:lineRule="auto"/>
        <w:tabs>
          <w:tab w:leader="none" w:pos="391" w:val="left"/>
        </w:tabs>
        <w:numPr>
          <w:ilvl w:val="0"/>
          <w:numId w:val="1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Conversion Option</w:t>
      </w:r>
      <w:r>
        <w:rPr>
          <w:rFonts w:ascii="Arial" w:cs="Arial" w:eastAsia="Arial" w:hAnsi="Arial"/>
          <w:sz w:val="20"/>
          <w:szCs w:val="20"/>
          <w:color w:val="auto"/>
        </w:rPr>
        <w:t>” means, if a Covered Life is specified in the Annuity Exhibits as having a “General” Conversion Option and also as receiving a distribution of one of the following Annuity Forms: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Spousal Joint and Survivor Life Annuity</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Contingent Joint and Survivor Life Annuity</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then such option is available to the Covered Life (“you” or “your”).</w:t>
      </w:r>
    </w:p>
    <w:p>
      <w:pPr>
        <w:spacing w:after="0" w:line="200" w:lineRule="exact"/>
        <w:rPr>
          <w:sz w:val="20"/>
          <w:szCs w:val="20"/>
          <w:color w:val="auto"/>
        </w:rPr>
      </w:pPr>
    </w:p>
    <w:p>
      <w:pPr>
        <w:spacing w:after="0" w:line="26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1440" w:top="595" w:right="239" w:bottom="1440" w:gutter="0" w:footer="0" w:header="0"/>
        </w:sectPr>
      </w:pPr>
    </w:p>
    <w:bookmarkStart w:id="176" w:name="page177"/>
    <w:bookmarkEnd w:id="176"/>
    <w:p>
      <w:pPr>
        <w:ind w:left="640"/>
        <w:spacing w:after="0" w:line="316" w:lineRule="auto"/>
        <w:rPr>
          <w:sz w:val="20"/>
          <w:szCs w:val="20"/>
          <w:color w:val="auto"/>
        </w:rPr>
      </w:pPr>
      <w:r>
        <w:rPr>
          <w:rFonts w:ascii="Arial" w:cs="Arial" w:eastAsia="Arial" w:hAnsi="Arial"/>
          <w:sz w:val="18"/>
          <w:szCs w:val="18"/>
          <w:color w:val="auto"/>
        </w:rPr>
        <w:t>The option allows you to convert your Annuity Form into a Single Life Annuity Form. Before your option exercise can become effective, you must meet the applicable Conversion Conditions. You must also notify us using a form provided by us.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Once you exercise your option, we will not owe any money to your Contingent Life after you die.</w:t>
      </w:r>
    </w:p>
    <w:p>
      <w:pPr>
        <w:spacing w:after="0" w:line="216" w:lineRule="exact"/>
        <w:rPr>
          <w:sz w:val="20"/>
          <w:szCs w:val="20"/>
          <w:color w:val="auto"/>
        </w:rPr>
      </w:pPr>
    </w:p>
    <w:p>
      <w:pPr>
        <w:ind w:left="640" w:right="60"/>
        <w:spacing w:after="0" w:line="259" w:lineRule="auto"/>
        <w:rPr>
          <w:sz w:val="20"/>
          <w:szCs w:val="20"/>
          <w:color w:val="auto"/>
        </w:rPr>
      </w:pPr>
      <w:r>
        <w:rPr>
          <w:rFonts w:ascii="Arial" w:cs="Arial" w:eastAsia="Arial" w:hAnsi="Arial"/>
          <w:sz w:val="19"/>
          <w:szCs w:val="19"/>
          <w:color w:val="auto"/>
        </w:rPr>
        <w:t>Instead, we will increase the Covered Life Amount payable to you. If the Annuity Form is a Spousal Joint and Survivor Life Annuity form of payment, the amount of the increase will equal the Pop-Up Amount in the Annuity Exhibit. If the Annuity Form is a Contingent Joint and Survivor Life Annuity, the amount of the increase will equal the result of multiplying two numbers. The first number is the Part A Basic Amount specified for you in the Annuity Exhibit. The second number is the Contingent Joint and Survivor Life Annuity Pop-Up Increase Factor. We will start paying the increased amount on the first day of the month after the exercise of your option becomes effective.</w:t>
      </w:r>
    </w:p>
    <w:p>
      <w:pPr>
        <w:spacing w:after="0" w:line="179" w:lineRule="exact"/>
        <w:rPr>
          <w:sz w:val="20"/>
          <w:szCs w:val="20"/>
          <w:color w:val="auto"/>
        </w:rPr>
      </w:pPr>
    </w:p>
    <w:p>
      <w:pPr>
        <w:ind w:left="640" w:right="180" w:firstLine="5"/>
        <w:spacing w:after="0" w:line="316" w:lineRule="auto"/>
        <w:tabs>
          <w:tab w:leader="none" w:pos="98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Post-Retirement Marriage Conversion Option</w:t>
      </w:r>
      <w:r>
        <w:rPr>
          <w:rFonts w:ascii="Arial" w:cs="Arial" w:eastAsia="Arial" w:hAnsi="Arial"/>
          <w:sz w:val="18"/>
          <w:szCs w:val="18"/>
          <w:color w:val="auto"/>
        </w:rPr>
        <w:t>” means, if a Covered Life is specified in the Annuity Exhibits as having a “Post-Retirement Marriage” Conversion Option and also as receiving a distribution of the following Annuity Form:</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Single Life Annuity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then such option is available to the Covered Life (“you” or “your”).</w:t>
      </w:r>
    </w:p>
    <w:p>
      <w:pPr>
        <w:spacing w:after="0" w:line="216" w:lineRule="exact"/>
        <w:rPr>
          <w:sz w:val="20"/>
          <w:szCs w:val="20"/>
          <w:color w:val="auto"/>
        </w:rPr>
      </w:pPr>
    </w:p>
    <w:p>
      <w:pPr>
        <w:ind w:left="640" w:right="280"/>
        <w:spacing w:after="0" w:line="260" w:lineRule="auto"/>
        <w:rPr>
          <w:sz w:val="20"/>
          <w:szCs w:val="20"/>
          <w:color w:val="auto"/>
        </w:rPr>
      </w:pPr>
      <w:r>
        <w:rPr>
          <w:rFonts w:ascii="Arial" w:cs="Arial" w:eastAsia="Arial" w:hAnsi="Arial"/>
          <w:sz w:val="19"/>
          <w:szCs w:val="19"/>
          <w:color w:val="auto"/>
        </w:rPr>
        <w:t>The option allows you to convert a portion of your monthly payment under a Single Life Annuity into a Spousal Joint and Survivor Annuity Form. Before your option exercise can become effective, you must meet the applicable Conversion Conditions. Also, you must notify us using a form provided by us. The effective date of the conversion is the first day of the month after the conversion is effective, but not sooner than the one-year anniversary of your marriage or re-marriage, and in any event before the 18-month anniversary of the marriage or re-marriage.</w:t>
      </w:r>
    </w:p>
    <w:p>
      <w:pPr>
        <w:spacing w:after="0" w:line="181" w:lineRule="exact"/>
        <w:rPr>
          <w:sz w:val="20"/>
          <w:szCs w:val="20"/>
          <w:color w:val="auto"/>
        </w:rPr>
      </w:pPr>
    </w:p>
    <w:p>
      <w:pPr>
        <w:ind w:left="640"/>
        <w:spacing w:after="0" w:line="246" w:lineRule="auto"/>
        <w:rPr>
          <w:sz w:val="20"/>
          <w:szCs w:val="20"/>
          <w:color w:val="auto"/>
        </w:rPr>
      </w:pPr>
      <w:r>
        <w:rPr>
          <w:rFonts w:ascii="Arial" w:cs="Arial" w:eastAsia="Arial" w:hAnsi="Arial"/>
          <w:sz w:val="20"/>
          <w:szCs w:val="20"/>
          <w:color w:val="auto"/>
        </w:rPr>
        <w:t>Only Part A Basic Amount (as specified in the Annuity Exhibits) may be converted. On the effective date of the conversion, we will reduce the Covered Life Amount. The amount of the reduction will equal the result of multiplying two numbers. The first number is the Part A Basic Amount specified for you in the Annuity Exhibit. The second number is the Spousal Joint &amp; Survivor Life Annuity Pop-Up Decrease Factor</w:t>
      </w:r>
      <w:r>
        <w:rPr>
          <w:rFonts w:ascii="Arial" w:cs="Arial" w:eastAsia="Arial" w:hAnsi="Arial"/>
          <w:sz w:val="20"/>
          <w:szCs w:val="20"/>
          <w:u w:val="single" w:color="auto"/>
          <w:color w:val="auto"/>
        </w:rPr>
        <w:t>.</w:t>
      </w:r>
    </w:p>
    <w:p>
      <w:pPr>
        <w:spacing w:after="0" w:line="192" w:lineRule="exact"/>
        <w:rPr>
          <w:sz w:val="20"/>
          <w:szCs w:val="20"/>
          <w:color w:val="auto"/>
        </w:rPr>
      </w:pPr>
    </w:p>
    <w:p>
      <w:pPr>
        <w:jc w:val="both"/>
        <w:ind w:left="640" w:right="80"/>
        <w:spacing w:after="0" w:line="269" w:lineRule="auto"/>
        <w:rPr>
          <w:sz w:val="20"/>
          <w:szCs w:val="20"/>
          <w:color w:val="auto"/>
        </w:rPr>
      </w:pPr>
      <w:r>
        <w:rPr>
          <w:rFonts w:ascii="Arial" w:cs="Arial" w:eastAsia="Arial" w:hAnsi="Arial"/>
          <w:sz w:val="19"/>
          <w:szCs w:val="19"/>
          <w:color w:val="auto"/>
        </w:rPr>
        <w:t>After the effective date of the conversion, and after you die, we will owe your spouse additional monthly payments. To receive such payments, your spouse must be alive when you die. We will pay the first payment on the first day of the month following your death. We will pay the last payment on the first day of the month in which such spouse dies.</w:t>
      </w:r>
    </w:p>
    <w:p>
      <w:pPr>
        <w:spacing w:after="0" w:line="170" w:lineRule="exact"/>
        <w:rPr>
          <w:sz w:val="20"/>
          <w:szCs w:val="20"/>
          <w:color w:val="auto"/>
        </w:rPr>
      </w:pPr>
    </w:p>
    <w:p>
      <w:pPr>
        <w:ind w:left="640" w:right="120"/>
        <w:spacing w:after="0" w:line="276" w:lineRule="auto"/>
        <w:rPr>
          <w:sz w:val="20"/>
          <w:szCs w:val="20"/>
          <w:color w:val="auto"/>
        </w:rPr>
      </w:pPr>
      <w:r>
        <w:rPr>
          <w:rFonts w:ascii="Arial" w:cs="Arial" w:eastAsia="Arial" w:hAnsi="Arial"/>
          <w:sz w:val="18"/>
          <w:szCs w:val="18"/>
          <w:color w:val="auto"/>
        </w:rPr>
        <w:t>The amount we will pay such spouse will equal the result of multiplying two numbers. The first number is the Covered Life Amount payable to you, as reduced pursuant to the preceding paragraph. The second number is a percentage. The applicable percentage is based on the corresponding Original Retirement Date specified for such Covered Life in the Annuity Exhibits or in our records: (1) 65% for a Original Retirement Date on/after October 1, 1999, (2) 60 % for a Original Retirement Date on/after November 1, 1976 and prior to October 1, 1999 (3) 55% for a Original Retirement Date on/after September 1, 1964 and prior to November 1, 1976 and (4) 50 % for a Original Retirement Date prior to September 1, 1964.</w:t>
      </w:r>
    </w:p>
    <w:p>
      <w:pPr>
        <w:spacing w:after="0" w:line="38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Spousal Joint &amp; Survivor Life Annuity Pop-Up Increase Factor</w:t>
      </w:r>
      <w:r>
        <w:rPr>
          <w:rFonts w:ascii="Arial" w:cs="Arial" w:eastAsia="Arial" w:hAnsi="Arial"/>
          <w:sz w:val="20"/>
          <w:szCs w:val="20"/>
          <w:color w:val="auto"/>
        </w:rPr>
        <w:t>" is equal to (1 divided by the Spousal Joint &amp; Survivor Life Annuity Pop-Up Decrease Factor) below minus 1</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This factor is rounded to three decimal places.</w:t>
      </w:r>
    </w:p>
    <w:p>
      <w:pPr>
        <w:spacing w:after="0" w:line="2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0"/>
          </w:cols>
          <w:pgMar w:left="900" w:top="582" w:right="23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Spousal Joint &amp; Survivor Life Annuity Pop-Up Decrease Factor</w:t>
      </w:r>
      <w:r>
        <w:rPr>
          <w:rFonts w:ascii="Arial" w:cs="Arial" w:eastAsia="Arial" w:hAnsi="Arial"/>
          <w:sz w:val="19"/>
          <w:szCs w:val="19"/>
          <w:color w:val="auto"/>
        </w:rPr>
        <w:t>" is equal to 1 minus the result of the following calculation</w:t>
      </w:r>
    </w:p>
    <w:p>
      <w:pPr>
        <w:spacing w:after="0" w:line="227" w:lineRule="exact"/>
        <w:rPr>
          <w:sz w:val="20"/>
          <w:szCs w:val="20"/>
          <w:color w:val="auto"/>
        </w:rPr>
      </w:pPr>
    </w:p>
    <w:p>
      <w:pPr>
        <w:ind w:left="1000"/>
        <w:spacing w:after="0"/>
        <w:rPr>
          <w:sz w:val="20"/>
          <w:szCs w:val="20"/>
          <w:color w:val="auto"/>
        </w:rPr>
      </w:pPr>
      <w:r>
        <w:rPr>
          <w:rFonts w:ascii="Arial" w:cs="Arial" w:eastAsia="Arial" w:hAnsi="Arial"/>
          <w:sz w:val="20"/>
          <w:szCs w:val="20"/>
          <w:u w:val="single" w:color="auto"/>
          <w:color w:val="auto"/>
        </w:rPr>
        <w:t>Calculation:</w:t>
      </w:r>
    </w:p>
    <w:p>
      <w:pPr>
        <w:spacing w:after="0" w:line="216" w:lineRule="exact"/>
        <w:rPr>
          <w:sz w:val="20"/>
          <w:szCs w:val="20"/>
          <w:color w:val="auto"/>
        </w:rPr>
      </w:pPr>
    </w:p>
    <w:p>
      <w:pPr>
        <w:ind w:left="1000"/>
        <w:spacing w:after="0" w:line="260" w:lineRule="auto"/>
        <w:rPr>
          <w:sz w:val="20"/>
          <w:szCs w:val="20"/>
          <w:color w:val="auto"/>
        </w:rPr>
      </w:pPr>
      <w:r>
        <w:rPr>
          <w:rFonts w:ascii="Arial" w:cs="Arial" w:eastAsia="Arial" w:hAnsi="Arial"/>
          <w:sz w:val="20"/>
          <w:szCs w:val="20"/>
          <w:color w:val="auto"/>
        </w:rPr>
        <w:t>0.950 increased by 0.005 for each full year in excess of 5 years that the Contingent Life's age exceeds the Covered Life's age, with the result not to exceed 1.000</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OR</w:t>
      </w:r>
    </w:p>
    <w:p>
      <w:pPr>
        <w:spacing w:after="0" w:line="216" w:lineRule="exact"/>
        <w:rPr>
          <w:sz w:val="20"/>
          <w:szCs w:val="20"/>
          <w:color w:val="auto"/>
        </w:rPr>
      </w:pPr>
    </w:p>
    <w:p>
      <w:pPr>
        <w:ind w:left="1000" w:right="200"/>
        <w:spacing w:after="0" w:line="260" w:lineRule="auto"/>
        <w:rPr>
          <w:sz w:val="20"/>
          <w:szCs w:val="20"/>
          <w:color w:val="auto"/>
        </w:rPr>
      </w:pPr>
      <w:r>
        <w:rPr>
          <w:rFonts w:ascii="Arial" w:cs="Arial" w:eastAsia="Arial" w:hAnsi="Arial"/>
          <w:sz w:val="20"/>
          <w:szCs w:val="20"/>
          <w:color w:val="auto"/>
        </w:rPr>
        <w:t>0.950 decreased by 0.005 for each full year in excess of 5 years that the Contingent Life's age is less than the Covered Life's age.</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This factor is rounded to three decimal places.</w:t>
      </w:r>
    </w:p>
    <w:p>
      <w:pPr>
        <w:spacing w:after="0" w:line="21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“Contingent Joint &amp; Survivor Life Annuity Pop-Up Increase Factor" is equal to (1 divided by the Contingent Joint &amp; Survivor Life Annuity Pop-Up Decrease Factor) minus 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Contingent Joint &amp; Survivor Life Annuity Pop-Up Decrease Factor" is equal to 1 minus the applicable factor below:</w:t>
      </w:r>
    </w:p>
    <w:p>
      <w:pPr>
        <w:spacing w:after="0" w:line="348" w:lineRule="exact"/>
        <w:rPr>
          <w:sz w:val="20"/>
          <w:szCs w:val="20"/>
          <w:color w:val="auto"/>
        </w:rPr>
      </w:pPr>
    </w:p>
    <w:tbl>
      <w:tblPr>
        <w:tblLayout w:type="fixed"/>
        <w:tblInd w:w="1690" w:type="dxa"/>
        <w:tblCellMar>
          <w:top w:w="0" w:type="dxa"/>
          <w:left w:w="0" w:type="dxa"/>
          <w:bottom w:w="0" w:type="dxa"/>
          <w:right w:w="0" w:type="dxa"/>
        </w:tblCellMar>
      </w:tblPr>
      <w:tr>
        <w:trPr>
          <w:trHeight w:val="274"/>
        </w:trPr>
        <w:tc>
          <w:tcPr>
            <w:tcW w:w="5760" w:type="dxa"/>
            <w:vAlign w:val="bottom"/>
            <w:tcBorders>
              <w:top w:val="single" w:sz="8" w:color="auto"/>
              <w:left w:val="single" w:sz="8" w:color="auto"/>
            </w:tcBorders>
            <w:gridSpan w:val="5"/>
          </w:tcPr>
          <w:p>
            <w:pPr>
              <w:ind w:left="1800"/>
              <w:spacing w:after="0"/>
              <w:rPr>
                <w:sz w:val="20"/>
                <w:szCs w:val="20"/>
                <w:color w:val="auto"/>
              </w:rPr>
            </w:pPr>
            <w:r>
              <w:rPr>
                <w:rFonts w:ascii="Arial" w:cs="Arial" w:eastAsia="Arial" w:hAnsi="Arial"/>
                <w:sz w:val="20"/>
                <w:szCs w:val="20"/>
                <w:color w:val="auto"/>
              </w:rPr>
              <w:t>Contingent Annuitant Option Rate Table</w:t>
            </w:r>
          </w:p>
        </w:tc>
        <w:tc>
          <w:tcPr>
            <w:tcW w:w="10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322"/>
        </w:trPr>
        <w:tc>
          <w:tcPr>
            <w:tcW w:w="2100" w:type="dxa"/>
            <w:vAlign w:val="bottom"/>
            <w:tcBorders>
              <w:left w:val="single" w:sz="8" w:color="auto"/>
              <w:right w:val="single" w:sz="8" w:color="auto"/>
            </w:tcBorders>
          </w:tcPr>
          <w:p>
            <w:pPr>
              <w:spacing w:after="0"/>
              <w:rPr>
                <w:sz w:val="24"/>
                <w:szCs w:val="24"/>
                <w:color w:val="auto"/>
              </w:rPr>
            </w:pPr>
          </w:p>
        </w:tc>
        <w:tc>
          <w:tcPr>
            <w:tcW w:w="4740" w:type="dxa"/>
            <w:vAlign w:val="bottom"/>
            <w:tcBorders>
              <w:right w:val="single" w:sz="8" w:color="auto"/>
            </w:tcBorders>
            <w:gridSpan w:val="5"/>
          </w:tcPr>
          <w:p>
            <w:pPr>
              <w:jc w:val="center"/>
              <w:spacing w:after="0"/>
              <w:rPr>
                <w:sz w:val="20"/>
                <w:szCs w:val="20"/>
                <w:color w:val="auto"/>
              </w:rPr>
            </w:pPr>
            <w:r>
              <w:rPr>
                <w:rFonts w:ascii="Arial" w:cs="Arial" w:eastAsia="Arial" w:hAnsi="Arial"/>
                <w:sz w:val="20"/>
                <w:szCs w:val="20"/>
                <w:color w:val="auto"/>
                <w:w w:val="90"/>
              </w:rPr>
              <w:t>Factors to Convert Normal Form of Retirement</w:t>
            </w:r>
          </w:p>
        </w:tc>
        <w:tc>
          <w:tcPr>
            <w:tcW w:w="0" w:type="dxa"/>
            <w:vAlign w:val="bottom"/>
          </w:tcPr>
          <w:p>
            <w:pPr>
              <w:spacing w:after="0"/>
              <w:rPr>
                <w:sz w:val="1"/>
                <w:szCs w:val="1"/>
                <w:color w:val="auto"/>
              </w:rPr>
            </w:pPr>
          </w:p>
        </w:tc>
      </w:tr>
      <w:tr>
        <w:trPr>
          <w:trHeight w:val="276"/>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Full Years Contingent</w:t>
            </w:r>
          </w:p>
        </w:tc>
        <w:tc>
          <w:tcPr>
            <w:tcW w:w="1020" w:type="dxa"/>
            <w:vAlign w:val="bottom"/>
          </w:tcPr>
          <w:p>
            <w:pPr>
              <w:spacing w:after="0"/>
              <w:rPr>
                <w:sz w:val="24"/>
                <w:szCs w:val="24"/>
                <w:color w:val="auto"/>
              </w:rPr>
            </w:pPr>
          </w:p>
        </w:tc>
        <w:tc>
          <w:tcPr>
            <w:tcW w:w="2640" w:type="dxa"/>
            <w:vAlign w:val="bottom"/>
            <w:gridSpan w:val="3"/>
            <w:vMerge w:val="restart"/>
          </w:tcPr>
          <w:p>
            <w:pPr>
              <w:jc w:val="center"/>
              <w:spacing w:after="0"/>
              <w:rPr>
                <w:sz w:val="20"/>
                <w:szCs w:val="20"/>
                <w:color w:val="auto"/>
              </w:rPr>
            </w:pPr>
            <w:r>
              <w:rPr>
                <w:rFonts w:ascii="Arial" w:cs="Arial" w:eastAsia="Arial" w:hAnsi="Arial"/>
                <w:sz w:val="20"/>
                <w:szCs w:val="20"/>
                <w:color w:val="auto"/>
                <w:w w:val="92"/>
              </w:rPr>
              <w:t>To Contingent Annuitant Option</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Annuitant Is Older (+) or</w:t>
            </w:r>
          </w:p>
        </w:tc>
        <w:tc>
          <w:tcPr>
            <w:tcW w:w="1020" w:type="dxa"/>
            <w:vAlign w:val="bottom"/>
          </w:tcPr>
          <w:p>
            <w:pPr>
              <w:spacing w:after="0"/>
              <w:rPr>
                <w:sz w:val="12"/>
                <w:szCs w:val="12"/>
                <w:color w:val="auto"/>
              </w:rPr>
            </w:pPr>
          </w:p>
        </w:tc>
        <w:tc>
          <w:tcPr>
            <w:tcW w:w="2640" w:type="dxa"/>
            <w:vAlign w:val="bottom"/>
            <w:gridSpan w:val="3"/>
            <w:vMerge w:val="continue"/>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100" w:type="dxa"/>
            <w:vAlign w:val="bottom"/>
            <w:tcBorders>
              <w:left w:val="single" w:sz="8" w:color="auto"/>
              <w:right w:val="single" w:sz="8" w:color="auto"/>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Younger (-) Than</w:t>
            </w:r>
          </w:p>
        </w:tc>
        <w:tc>
          <w:tcPr>
            <w:tcW w:w="1020" w:type="dxa"/>
            <w:vAlign w:val="bottom"/>
          </w:tcPr>
          <w:p>
            <w:pPr>
              <w:spacing w:after="0"/>
              <w:rPr>
                <w:sz w:val="19"/>
                <w:szCs w:val="19"/>
                <w:color w:val="auto"/>
              </w:rPr>
            </w:pPr>
          </w:p>
        </w:tc>
        <w:tc>
          <w:tcPr>
            <w:tcW w:w="2640" w:type="dxa"/>
            <w:vAlign w:val="bottom"/>
            <w:gridSpan w:val="3"/>
          </w:tcPr>
          <w:p>
            <w:pPr>
              <w:jc w:val="center"/>
              <w:spacing w:after="0"/>
              <w:rPr>
                <w:sz w:val="20"/>
                <w:szCs w:val="20"/>
                <w:color w:val="auto"/>
              </w:rPr>
            </w:pPr>
            <w:r>
              <w:rPr>
                <w:rFonts w:ascii="Arial" w:cs="Arial" w:eastAsia="Arial" w:hAnsi="Arial"/>
                <w:sz w:val="20"/>
                <w:szCs w:val="20"/>
                <w:color w:val="auto"/>
                <w:w w:val="90"/>
              </w:rPr>
              <w:t>For Indicated Percentage.**</w:t>
            </w: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Employee*</w:t>
            </w:r>
          </w:p>
        </w:tc>
        <w:tc>
          <w:tcPr>
            <w:tcW w:w="1020" w:type="dxa"/>
            <w:vAlign w:val="bottom"/>
          </w:tcPr>
          <w:p>
            <w:pPr>
              <w:spacing w:after="0"/>
              <w:rPr>
                <w:sz w:val="21"/>
                <w:szCs w:val="21"/>
                <w:color w:val="auto"/>
              </w:rPr>
            </w:pPr>
          </w:p>
        </w:tc>
        <w:tc>
          <w:tcPr>
            <w:tcW w:w="2640" w:type="dxa"/>
            <w:vAlign w:val="bottom"/>
            <w:gridSpan w:val="3"/>
            <w:vMerge w:val="restart"/>
          </w:tcPr>
          <w:p>
            <w:pPr>
              <w:jc w:val="center"/>
              <w:spacing w:after="0"/>
              <w:rPr>
                <w:sz w:val="20"/>
                <w:szCs w:val="20"/>
                <w:color w:val="auto"/>
              </w:rPr>
            </w:pPr>
            <w:r>
              <w:rPr>
                <w:rFonts w:ascii="Arial" w:cs="Arial" w:eastAsia="Arial" w:hAnsi="Arial"/>
                <w:sz w:val="20"/>
                <w:szCs w:val="20"/>
                <w:color w:val="auto"/>
                <w:w w:val="90"/>
              </w:rPr>
              <w:t>Payable to Contingent Annuitant</w:t>
            </w:r>
          </w:p>
        </w:tc>
        <w:tc>
          <w:tcPr>
            <w:tcW w:w="1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100" w:type="dxa"/>
            <w:vAlign w:val="bottom"/>
            <w:tcBorders>
              <w:left w:val="single" w:sz="8" w:color="auto"/>
              <w:right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640" w:type="dxa"/>
            <w:vAlign w:val="bottom"/>
            <w:gridSpan w:val="3"/>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100" w:type="dxa"/>
            <w:vAlign w:val="bottom"/>
            <w:tcBorders>
              <w:left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100" w:type="dxa"/>
            <w:vAlign w:val="bottom"/>
            <w:tcBorders>
              <w:left w:val="single" w:sz="8" w:color="auto"/>
              <w:right w:val="single" w:sz="8" w:color="auto"/>
            </w:tcBorders>
          </w:tcPr>
          <w:p>
            <w:pPr>
              <w:spacing w:after="0"/>
              <w:rPr>
                <w:sz w:val="22"/>
                <w:szCs w:val="22"/>
                <w:color w:val="auto"/>
              </w:rPr>
            </w:pPr>
          </w:p>
        </w:tc>
        <w:tc>
          <w:tcPr>
            <w:tcW w:w="1020" w:type="dxa"/>
            <w:vAlign w:val="bottom"/>
          </w:tcPr>
          <w:p>
            <w:pPr>
              <w:jc w:val="center"/>
              <w:ind w:left="421"/>
              <w:spacing w:after="0"/>
              <w:rPr>
                <w:sz w:val="20"/>
                <w:szCs w:val="20"/>
                <w:color w:val="auto"/>
              </w:rPr>
            </w:pPr>
            <w:r>
              <w:rPr>
                <w:rFonts w:ascii="Arial" w:cs="Arial" w:eastAsia="Arial" w:hAnsi="Arial"/>
                <w:sz w:val="20"/>
                <w:szCs w:val="20"/>
                <w:color w:val="auto"/>
                <w:w w:val="89"/>
              </w:rPr>
              <w:t>100%</w:t>
            </w:r>
          </w:p>
        </w:tc>
        <w:tc>
          <w:tcPr>
            <w:tcW w:w="56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75%</w:t>
            </w:r>
          </w:p>
        </w:tc>
        <w:tc>
          <w:tcPr>
            <w:tcW w:w="500" w:type="dxa"/>
            <w:vAlign w:val="bottom"/>
          </w:tcPr>
          <w:p>
            <w:pPr>
              <w:spacing w:after="0"/>
              <w:rPr>
                <w:sz w:val="22"/>
                <w:szCs w:val="22"/>
                <w:color w:val="auto"/>
              </w:rPr>
            </w:pPr>
          </w:p>
        </w:tc>
        <w:tc>
          <w:tcPr>
            <w:tcW w:w="1080" w:type="dxa"/>
            <w:vAlign w:val="bottom"/>
            <w:tcBorders>
              <w:right w:val="single" w:sz="8" w:color="auto"/>
            </w:tcBorders>
          </w:tcPr>
          <w:p>
            <w:pPr>
              <w:jc w:val="center"/>
              <w:ind w:right="461"/>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100" w:type="dxa"/>
            <w:vAlign w:val="bottom"/>
            <w:tcBorders>
              <w:left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20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95.50</w:t>
            </w:r>
          </w:p>
        </w:tc>
        <w:tc>
          <w:tcPr>
            <w:tcW w:w="56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96.00</w:t>
            </w:r>
          </w:p>
        </w:tc>
        <w:tc>
          <w:tcPr>
            <w:tcW w:w="500" w:type="dxa"/>
            <w:vAlign w:val="bottom"/>
          </w:tcPr>
          <w:p>
            <w:pPr>
              <w:spacing w:after="0"/>
              <w:rPr>
                <w:sz w:val="22"/>
                <w:szCs w:val="22"/>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88"/>
              </w:rPr>
              <w:t>100.00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19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95.00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95.50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99.50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18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94.50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95.00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99.00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17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94.00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94.50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98.80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16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93.50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94.00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98.00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15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93.00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93.50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97.50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14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92.50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93.00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97.00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13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92.00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92.50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96.50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91.50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92.00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96.00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11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91.00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91.50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95.50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10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90.50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91.00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95.00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9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89.75</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90.50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94.50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8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89.00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90.00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94.00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7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88.25</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89.50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93.50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6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87.50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89.00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93.00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5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86.75</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88.50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92.50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4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86.00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88.00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92.00</w:t>
            </w: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3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85.25</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87.50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91.50</w:t>
            </w:r>
          </w:p>
        </w:tc>
        <w:tc>
          <w:tcPr>
            <w:tcW w:w="0" w:type="dxa"/>
            <w:vAlign w:val="bottom"/>
          </w:tcPr>
          <w:p>
            <w:pPr>
              <w:spacing w:after="0"/>
              <w:rPr>
                <w:sz w:val="1"/>
                <w:szCs w:val="1"/>
                <w:color w:val="auto"/>
              </w:rPr>
            </w:pPr>
          </w:p>
        </w:tc>
      </w:tr>
      <w:tr>
        <w:trPr>
          <w:trHeight w:val="307"/>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2 +</w:t>
            </w:r>
          </w:p>
        </w:tc>
        <w:tc>
          <w:tcPr>
            <w:tcW w:w="1020" w:type="dxa"/>
            <w:vAlign w:val="bottom"/>
          </w:tcPr>
          <w:p>
            <w:pPr>
              <w:jc w:val="center"/>
              <w:ind w:left="441"/>
              <w:spacing w:after="0"/>
              <w:rPr>
                <w:sz w:val="20"/>
                <w:szCs w:val="20"/>
                <w:color w:val="auto"/>
              </w:rPr>
            </w:pPr>
            <w:r>
              <w:rPr>
                <w:rFonts w:ascii="Arial" w:cs="Arial" w:eastAsia="Arial" w:hAnsi="Arial"/>
                <w:sz w:val="20"/>
                <w:szCs w:val="20"/>
                <w:color w:val="auto"/>
                <w:w w:val="87"/>
              </w:rPr>
              <w:t>84.50</w:t>
            </w:r>
          </w:p>
        </w:tc>
        <w:tc>
          <w:tcPr>
            <w:tcW w:w="5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87.00</w:t>
            </w:r>
          </w:p>
        </w:tc>
        <w:tc>
          <w:tcPr>
            <w:tcW w:w="500" w:type="dxa"/>
            <w:vAlign w:val="bottom"/>
          </w:tcPr>
          <w:p>
            <w:pPr>
              <w:spacing w:after="0"/>
              <w:rPr>
                <w:sz w:val="24"/>
                <w:szCs w:val="24"/>
                <w:color w:val="auto"/>
              </w:rPr>
            </w:pPr>
          </w:p>
        </w:tc>
        <w:tc>
          <w:tcPr>
            <w:tcW w:w="1080" w:type="dxa"/>
            <w:vAlign w:val="bottom"/>
            <w:tcBorders>
              <w:right w:val="single" w:sz="8" w:color="auto"/>
            </w:tcBorders>
          </w:tcPr>
          <w:p>
            <w:pPr>
              <w:jc w:val="center"/>
              <w:ind w:right="441"/>
              <w:spacing w:after="0"/>
              <w:rPr>
                <w:sz w:val="20"/>
                <w:szCs w:val="20"/>
                <w:color w:val="auto"/>
              </w:rPr>
            </w:pPr>
            <w:r>
              <w:rPr>
                <w:rFonts w:ascii="Arial" w:cs="Arial" w:eastAsia="Arial" w:hAnsi="Arial"/>
                <w:sz w:val="20"/>
                <w:szCs w:val="20"/>
                <w:color w:val="auto"/>
                <w:w w:val="91"/>
              </w:rPr>
              <w:t>91.00</w:t>
            </w:r>
          </w:p>
        </w:tc>
        <w:tc>
          <w:tcPr>
            <w:tcW w:w="0" w:type="dxa"/>
            <w:vAlign w:val="bottom"/>
          </w:tcPr>
          <w:p>
            <w:pPr>
              <w:spacing w:after="0"/>
              <w:rPr>
                <w:sz w:val="1"/>
                <w:szCs w:val="1"/>
                <w:color w:val="auto"/>
              </w:rPr>
            </w:pPr>
          </w:p>
        </w:tc>
      </w:tr>
      <w:tr>
        <w:trPr>
          <w:trHeight w:val="459"/>
        </w:trPr>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jc w:val="right"/>
              <w:ind w:right="123"/>
              <w:spacing w:after="0"/>
              <w:rPr>
                <w:sz w:val="20"/>
                <w:szCs w:val="20"/>
                <w:color w:val="auto"/>
              </w:rPr>
            </w:pPr>
            <w:r>
              <w:rPr>
                <w:rFonts w:ascii="Arial" w:cs="Arial" w:eastAsia="Arial" w:hAnsi="Arial"/>
                <w:sz w:val="18"/>
                <w:szCs w:val="18"/>
                <w:color w:val="auto"/>
              </w:rPr>
              <w:t>12</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900" w:top="798" w:right="459" w:bottom="1440" w:gutter="0" w:footer="0" w:header="0"/>
        </w:sectPr>
      </w:pPr>
    </w:p>
    <w:bookmarkStart w:id="178" w:name="page179"/>
    <w:bookmarkEnd w:id="178"/>
    <w:p>
      <w:pPr>
        <w:spacing w:after="0" w:line="1" w:lineRule="exact"/>
        <w:rPr>
          <w:sz w:val="20"/>
          <w:szCs w:val="20"/>
          <w:color w:val="auto"/>
        </w:rPr>
      </w:pPr>
    </w:p>
    <w:tbl>
      <w:tblPr>
        <w:tblLayout w:type="fixed"/>
        <w:tblInd w:w="1690" w:type="dxa"/>
        <w:tblCellMar>
          <w:top w:w="0" w:type="dxa"/>
          <w:left w:w="0" w:type="dxa"/>
          <w:bottom w:w="0" w:type="dxa"/>
          <w:right w:w="0" w:type="dxa"/>
        </w:tblCellMar>
      </w:tblPr>
      <w:tr>
        <w:trPr>
          <w:trHeight w:val="270"/>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83.75</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86.50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90.50</w:t>
            </w:r>
          </w:p>
        </w:tc>
      </w:tr>
      <w:tr>
        <w:trPr>
          <w:trHeight w:val="27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83.00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86.00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90.00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1 --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82.25</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85.50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89.50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2 --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81.50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85.00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89.00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80.75</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84.50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88.50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4 --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80.00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84.00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88.00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5 --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79.25</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83.50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87.50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6 --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78.50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83.00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87.00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7 --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77.75</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82.50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86.50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8 --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77.00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82.00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86.00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76.25</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81.50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85.50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10 --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75.50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81.00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85.00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11 --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75.00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80.50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84.50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12 --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74.50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80.00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84.00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13 --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74.00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79.50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83.50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14 --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73.50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79.00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83.00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15 --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73.00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78.50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82.50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16 --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72.50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78.00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82.00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17 --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72.00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77.50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81.50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18 --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71.50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77.00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81.00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19 --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71.00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76.50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80.50</w:t>
            </w:r>
          </w:p>
        </w:tc>
      </w:tr>
      <w:tr>
        <w:trPr>
          <w:trHeight w:val="28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20 --</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70.50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76.00</w:t>
            </w:r>
          </w:p>
        </w:tc>
        <w:tc>
          <w:tcPr>
            <w:tcW w:w="158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80.00</w:t>
            </w: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pacing w:after="0" w:line="10" w:lineRule="exact"/>
        <w:rPr>
          <w:sz w:val="20"/>
          <w:szCs w:val="20"/>
          <w:color w:val="auto"/>
        </w:rPr>
      </w:pPr>
    </w:p>
    <w:p>
      <w:pPr>
        <w:ind w:left="1700" w:right="2540" w:hanging="2"/>
        <w:spacing w:after="0" w:line="260" w:lineRule="auto"/>
        <w:tabs>
          <w:tab w:leader="none" w:pos="1848"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Actuarial reduction factors not shown will be calculated on the same basis as the factors shown.</w:t>
      </w:r>
    </w:p>
    <w:p>
      <w:pPr>
        <w:spacing w:after="0" w:line="14"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 Other percentage levels, in 5% increments, may be elected.</w:t>
      </w:r>
    </w:p>
    <w:p>
      <w:pPr>
        <w:spacing w:after="0" w:line="243"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Riders</w:t>
      </w:r>
      <w:r>
        <w:rPr>
          <w:rFonts w:ascii="Arial" w:cs="Arial" w:eastAsia="Arial" w:hAnsi="Arial"/>
          <w:sz w:val="20"/>
          <w:szCs w:val="20"/>
          <w:color w:val="auto"/>
        </w:rPr>
        <w:t>” means, if the “</w:t>
      </w:r>
      <w:r>
        <w:rPr>
          <w:rFonts w:ascii="Arial" w:cs="Arial" w:eastAsia="Arial" w:hAnsi="Arial"/>
          <w:sz w:val="20"/>
          <w:szCs w:val="20"/>
          <w:u w:val="single" w:color="auto"/>
          <w:color w:val="auto"/>
        </w:rPr>
        <w:t>Pop-Up Rider,</w:t>
      </w:r>
      <w:r>
        <w:rPr>
          <w:rFonts w:ascii="Arial" w:cs="Arial" w:eastAsia="Arial" w:hAnsi="Arial"/>
          <w:sz w:val="20"/>
          <w:szCs w:val="20"/>
          <w:color w:val="auto"/>
        </w:rPr>
        <w:t>” the “</w:t>
      </w:r>
      <w:r>
        <w:rPr>
          <w:rFonts w:ascii="Arial" w:cs="Arial" w:eastAsia="Arial" w:hAnsi="Arial"/>
          <w:sz w:val="20"/>
          <w:szCs w:val="20"/>
          <w:u w:val="single" w:color="auto"/>
          <w:color w:val="auto"/>
        </w:rPr>
        <w:t>Special Benefit Rider,</w:t>
      </w:r>
      <w:r>
        <w:rPr>
          <w:rFonts w:ascii="Arial" w:cs="Arial" w:eastAsia="Arial" w:hAnsi="Arial"/>
          <w:sz w:val="20"/>
          <w:szCs w:val="20"/>
          <w:color w:val="auto"/>
        </w:rPr>
        <w:t>” the “</w:t>
      </w:r>
      <w:r>
        <w:rPr>
          <w:rFonts w:ascii="Arial" w:cs="Arial" w:eastAsia="Arial" w:hAnsi="Arial"/>
          <w:sz w:val="20"/>
          <w:szCs w:val="20"/>
          <w:u w:val="single" w:color="auto"/>
          <w:color w:val="auto"/>
        </w:rPr>
        <w:t>Level Benefit Rider</w:t>
      </w:r>
      <w:r>
        <w:rPr>
          <w:rFonts w:ascii="Arial" w:cs="Arial" w:eastAsia="Arial" w:hAnsi="Arial"/>
          <w:sz w:val="20"/>
          <w:szCs w:val="20"/>
          <w:color w:val="auto"/>
        </w:rPr>
        <w:t>,” or the “</w:t>
      </w:r>
      <w:r>
        <w:rPr>
          <w:rFonts w:ascii="Arial" w:cs="Arial" w:eastAsia="Arial" w:hAnsi="Arial"/>
          <w:sz w:val="20"/>
          <w:szCs w:val="20"/>
          <w:u w:val="single" w:color="auto"/>
          <w:color w:val="auto"/>
        </w:rPr>
        <w:t>Refund Death Benefit Rider</w:t>
      </w:r>
      <w:r>
        <w:rPr>
          <w:rFonts w:ascii="Arial" w:cs="Arial" w:eastAsia="Arial" w:hAnsi="Arial"/>
          <w:sz w:val="20"/>
          <w:szCs w:val="20"/>
          <w:color w:val="auto"/>
        </w:rPr>
        <w:t>” is specified in the Annuity Exhibits as applicable to a Covered Life or Contingent Life:</w:t>
      </w:r>
    </w:p>
    <w:p>
      <w:pPr>
        <w:spacing w:after="0" w:line="177" w:lineRule="exact"/>
        <w:rPr>
          <w:sz w:val="20"/>
          <w:szCs w:val="20"/>
          <w:color w:val="auto"/>
        </w:rPr>
      </w:pPr>
    </w:p>
    <w:p>
      <w:pPr>
        <w:ind w:left="640" w:right="20" w:firstLine="5"/>
        <w:spacing w:after="0" w:line="250" w:lineRule="auto"/>
        <w:tabs>
          <w:tab w:leader="none" w:pos="87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Level Benefit Rider</w:t>
      </w:r>
      <w:r>
        <w:rPr>
          <w:rFonts w:ascii="Arial" w:cs="Arial" w:eastAsia="Arial" w:hAnsi="Arial"/>
          <w:sz w:val="20"/>
          <w:szCs w:val="20"/>
          <w:color w:val="auto"/>
        </w:rPr>
        <w:t>” means, if a Covered Life is specified in the Annuity Exhibits as having a “Level Benefit Rider” or if a Contingent Life is specified in the Annuity Exhibits as having a “Level Benefit Rider,” and if the Covered Life is specified in the Annuity Exhibits as having one of the following Annuity Forms: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Contingent Joint and Survivor Life Annuity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Single Life Annuity</w:t>
      </w:r>
    </w:p>
    <w:p>
      <w:pPr>
        <w:ind w:left="1300"/>
        <w:spacing w:after="0"/>
        <w:rPr>
          <w:sz w:val="20"/>
          <w:szCs w:val="20"/>
          <w:color w:val="auto"/>
        </w:rPr>
      </w:pPr>
      <w:r>
        <w:rPr>
          <w:rFonts w:ascii="Arial" w:cs="Arial" w:eastAsia="Arial" w:hAnsi="Arial"/>
          <w:sz w:val="20"/>
          <w:szCs w:val="20"/>
          <w:color w:val="auto"/>
        </w:rPr>
        <w:t>Spousal Joint and Survivor Life Annuity</w:t>
      </w:r>
    </w:p>
    <w:p>
      <w:pPr>
        <w:spacing w:after="0" w:line="200" w:lineRule="exact"/>
        <w:rPr>
          <w:sz w:val="20"/>
          <w:szCs w:val="20"/>
          <w:color w:val="auto"/>
        </w:rPr>
      </w:pPr>
    </w:p>
    <w:p>
      <w:pPr>
        <w:ind w:left="640" w:right="20"/>
        <w:spacing w:after="0" w:line="260" w:lineRule="auto"/>
        <w:rPr>
          <w:sz w:val="20"/>
          <w:szCs w:val="20"/>
          <w:color w:val="auto"/>
        </w:rPr>
      </w:pPr>
      <w:r>
        <w:rPr>
          <w:rFonts w:ascii="Arial" w:cs="Arial" w:eastAsia="Arial" w:hAnsi="Arial"/>
          <w:sz w:val="20"/>
          <w:szCs w:val="20"/>
          <w:color w:val="auto"/>
        </w:rPr>
        <w:t>Then the Covered Life Amount or Contingent Life Amount will be increased by $300 (as previously determined by the rules of the Plan).</w:t>
      </w:r>
    </w:p>
    <w:p>
      <w:pPr>
        <w:spacing w:after="0" w:line="177" w:lineRule="exact"/>
        <w:rPr>
          <w:sz w:val="20"/>
          <w:szCs w:val="20"/>
          <w:color w:val="auto"/>
        </w:rPr>
      </w:pPr>
    </w:p>
    <w:p>
      <w:pPr>
        <w:ind w:left="640" w:firstLine="5"/>
        <w:spacing w:after="0" w:line="250" w:lineRule="auto"/>
        <w:tabs>
          <w:tab w:leader="none" w:pos="931" w:val="left"/>
        </w:tabs>
        <w:numPr>
          <w:ilvl w:val="0"/>
          <w:numId w:val="1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Benefit Rider</w:t>
      </w:r>
      <w:r>
        <w:rPr>
          <w:rFonts w:ascii="Arial" w:cs="Arial" w:eastAsia="Arial" w:hAnsi="Arial"/>
          <w:sz w:val="20"/>
          <w:szCs w:val="20"/>
          <w:color w:val="auto"/>
        </w:rPr>
        <w:t>” means, if a Covered Life is specified in the Annuity Exhibits as having a “Special Benefit Rider” or if a Contingent Life is specified in the Annuity Exhibits as having a “Special Benefit Rider” and if the Covered Life is also specified as receiving a distribution of one of the following Annuity Forms: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Contingent Joint and Survivor Life Annuity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Single Life Annuity</w:t>
      </w:r>
    </w:p>
    <w:p>
      <w:pPr>
        <w:ind w:left="1300"/>
        <w:spacing w:after="0"/>
        <w:rPr>
          <w:sz w:val="20"/>
          <w:szCs w:val="20"/>
          <w:color w:val="auto"/>
        </w:rPr>
      </w:pPr>
      <w:r>
        <w:rPr>
          <w:rFonts w:ascii="Arial" w:cs="Arial" w:eastAsia="Arial" w:hAnsi="Arial"/>
          <w:sz w:val="20"/>
          <w:szCs w:val="20"/>
          <w:color w:val="auto"/>
        </w:rPr>
        <w:t>Spousal Joint and Survivor Life Annuity</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900" w:top="734" w:right="239" w:bottom="1440" w:gutter="0" w:footer="0" w:header="0"/>
        </w:sectPr>
      </w:pPr>
    </w:p>
    <w:bookmarkStart w:id="179" w:name="page180"/>
    <w:bookmarkEnd w:id="179"/>
    <w:p>
      <w:pPr>
        <w:ind w:left="1300" w:right="680"/>
        <w:spacing w:after="0" w:line="260" w:lineRule="auto"/>
        <w:rPr>
          <w:sz w:val="20"/>
          <w:szCs w:val="20"/>
          <w:color w:val="auto"/>
        </w:rPr>
      </w:pPr>
      <w:r>
        <w:rPr>
          <w:rFonts w:ascii="Arial" w:cs="Arial" w:eastAsia="Arial" w:hAnsi="Arial"/>
          <w:sz w:val="20"/>
          <w:szCs w:val="20"/>
          <w:color w:val="auto"/>
        </w:rPr>
        <w:t>Then the Covered Life Amount or Contingent Life Amount will be increased by either $76.20 or $28.00 (as previously determined by the rules of the Plan), as specified in the Annuity Exhibits.</w:t>
      </w:r>
    </w:p>
    <w:p>
      <w:pPr>
        <w:spacing w:after="0" w:line="177" w:lineRule="exact"/>
        <w:rPr>
          <w:sz w:val="20"/>
          <w:szCs w:val="20"/>
          <w:color w:val="auto"/>
        </w:rPr>
      </w:pPr>
    </w:p>
    <w:p>
      <w:pPr>
        <w:ind w:left="1300" w:right="300" w:firstLine="5"/>
        <w:spacing w:after="0" w:line="260" w:lineRule="auto"/>
        <w:tabs>
          <w:tab w:leader="none" w:pos="164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Pop-Up Rider</w:t>
      </w:r>
      <w:r>
        <w:rPr>
          <w:rFonts w:ascii="Arial" w:cs="Arial" w:eastAsia="Arial" w:hAnsi="Arial"/>
          <w:sz w:val="20"/>
          <w:szCs w:val="20"/>
          <w:color w:val="auto"/>
        </w:rPr>
        <w:t>” ” means, if a Covered Life is specified in the Annuity Exhibits as having a “Pop Up” Rider and also as receiving a distribution of the following Annuity Form:</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Spousal Joint and Survivor Life Annuity</w:t>
      </w:r>
    </w:p>
    <w:p>
      <w:pPr>
        <w:spacing w:after="0" w:line="216" w:lineRule="exact"/>
        <w:rPr>
          <w:sz w:val="20"/>
          <w:szCs w:val="20"/>
          <w:color w:val="auto"/>
        </w:rPr>
      </w:pPr>
    </w:p>
    <w:p>
      <w:pPr>
        <w:ind w:left="1300" w:right="240"/>
        <w:spacing w:after="0" w:line="260" w:lineRule="auto"/>
        <w:rPr>
          <w:sz w:val="20"/>
          <w:szCs w:val="20"/>
          <w:color w:val="auto"/>
        </w:rPr>
      </w:pPr>
      <w:r>
        <w:rPr>
          <w:rFonts w:ascii="Arial" w:cs="Arial" w:eastAsia="Arial" w:hAnsi="Arial"/>
          <w:sz w:val="20"/>
          <w:szCs w:val="20"/>
          <w:color w:val="auto"/>
        </w:rPr>
        <w:t>Then upon the death of the spousal Contingent Life, we will increase the Covered Life Amount. The amount of the increase, and the conditions to such increased payment, are specified in the related Annuity Form.</w:t>
      </w:r>
    </w:p>
    <w:p>
      <w:pPr>
        <w:spacing w:after="0" w:line="177" w:lineRule="exact"/>
        <w:rPr>
          <w:sz w:val="20"/>
          <w:szCs w:val="20"/>
          <w:color w:val="auto"/>
        </w:rPr>
      </w:pPr>
    </w:p>
    <w:p>
      <w:pPr>
        <w:ind w:left="1300" w:right="6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Refund Death Benefit Rider</w:t>
      </w:r>
      <w:r>
        <w:rPr>
          <w:rFonts w:ascii="Arial" w:cs="Arial" w:eastAsia="Arial" w:hAnsi="Arial"/>
          <w:sz w:val="20"/>
          <w:szCs w:val="20"/>
          <w:color w:val="auto"/>
        </w:rPr>
        <w:t>” means, if a Covered Life is specified in the Annuity Exhibits as having a “Refund Death Benefit” Rider and also as receiving a distribution of one of the following Annuity Forms:</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Contingent Joint and Survivor Life Annuity</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Single Life Annuity</w:t>
      </w:r>
    </w:p>
    <w:p>
      <w:pPr>
        <w:ind w:left="1960"/>
        <w:spacing w:after="0"/>
        <w:rPr>
          <w:sz w:val="20"/>
          <w:szCs w:val="20"/>
          <w:color w:val="auto"/>
        </w:rPr>
      </w:pPr>
      <w:r>
        <w:rPr>
          <w:rFonts w:ascii="Arial" w:cs="Arial" w:eastAsia="Arial" w:hAnsi="Arial"/>
          <w:sz w:val="20"/>
          <w:szCs w:val="20"/>
          <w:color w:val="auto"/>
        </w:rPr>
        <w:t>Spousal Joint and Survivor Life Annuity</w:t>
      </w:r>
    </w:p>
    <w:p>
      <w:pPr>
        <w:ind w:left="1960"/>
        <w:spacing w:after="0"/>
        <w:rPr>
          <w:sz w:val="20"/>
          <w:szCs w:val="20"/>
          <w:color w:val="auto"/>
        </w:rPr>
      </w:pPr>
      <w:r>
        <w:rPr>
          <w:rFonts w:ascii="Arial" w:cs="Arial" w:eastAsia="Arial" w:hAnsi="Arial"/>
          <w:sz w:val="20"/>
          <w:szCs w:val="20"/>
          <w:color w:val="auto"/>
        </w:rPr>
        <w:t>Window Spousal Contingent 50% or 75% Joint and Survivor Life Annuity</w:t>
      </w:r>
    </w:p>
    <w:p>
      <w:pPr>
        <w:ind w:left="1960"/>
        <w:spacing w:after="0"/>
        <w:rPr>
          <w:sz w:val="20"/>
          <w:szCs w:val="20"/>
          <w:color w:val="auto"/>
        </w:rPr>
      </w:pPr>
      <w:r>
        <w:rPr>
          <w:rFonts w:ascii="Arial" w:cs="Arial" w:eastAsia="Arial" w:hAnsi="Arial"/>
          <w:sz w:val="20"/>
          <w:szCs w:val="20"/>
          <w:color w:val="auto"/>
        </w:rPr>
        <w:t>Window Single Life Annuity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Then a death benefit may be payable to the designated Beneficiary, as provided in the provided in the related Annuity Form.</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means The Prudential Insurance Company of America.</w:t>
      </w:r>
    </w:p>
    <w:p>
      <w:pPr>
        <w:spacing w:after="0" w:line="2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2.3</w:t>
      </w:r>
      <w:r>
        <w:rPr>
          <w:sz w:val="20"/>
          <w:szCs w:val="20"/>
          <w:color w:val="auto"/>
        </w:rPr>
        <w:tab/>
      </w:r>
      <w:r>
        <w:rPr>
          <w:rFonts w:ascii="Arial" w:cs="Arial" w:eastAsia="Arial" w:hAnsi="Arial"/>
          <w:sz w:val="18"/>
          <w:szCs w:val="18"/>
          <w:u w:val="single" w:color="auto"/>
          <w:color w:val="auto"/>
        </w:rPr>
        <w:t>Annuity Forms</w:t>
      </w:r>
    </w:p>
    <w:p>
      <w:pPr>
        <w:spacing w:after="0" w:line="216" w:lineRule="exact"/>
        <w:rPr>
          <w:sz w:val="20"/>
          <w:szCs w:val="20"/>
          <w:color w:val="auto"/>
        </w:rPr>
      </w:pPr>
    </w:p>
    <w:p>
      <w:pPr>
        <w:ind w:left="660" w:hanging="4"/>
        <w:spacing w:after="0" w:line="246" w:lineRule="auto"/>
        <w:tabs>
          <w:tab w:leader="none" w:pos="89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Joint and Survivor Life Annuity with or without Refund Death Benefit Rider, and/or Special Benefit Rider and/or Level</w:t>
      </w:r>
      <w:r>
        <w:rPr>
          <w:rFonts w:ascii="Arial" w:cs="Arial" w:eastAsia="Arial" w:hAnsi="Arial"/>
          <w:sz w:val="20"/>
          <w:szCs w:val="20"/>
          <w:color w:val="auto"/>
        </w:rPr>
        <w:t xml:space="preserve"> </w:t>
      </w:r>
      <w:r>
        <w:rPr>
          <w:rFonts w:ascii="Arial" w:cs="Arial" w:eastAsia="Arial" w:hAnsi="Arial"/>
          <w:sz w:val="20"/>
          <w:szCs w:val="20"/>
          <w:u w:val="single" w:color="auto"/>
          <w:color w:val="auto"/>
        </w:rPr>
        <w:t>Benefit Rider</w:t>
      </w:r>
      <w:r>
        <w:rPr>
          <w:rFonts w:ascii="Arial" w:cs="Arial" w:eastAsia="Arial" w:hAnsi="Arial"/>
          <w:sz w:val="20"/>
          <w:szCs w:val="20"/>
          <w:color w:val="auto"/>
        </w:rPr>
        <w:t>” means the following for each Covered Life identified in the Annuity Exhibits as receiving a distribution of a “Contingent Life - J&amp;S” Annuity Form with or without a “Refund Death Benefit Rider,” and/or a “Special Benefit Rider” and/or a “Level Benefit Rider,” respectively. “You” and “your” refers to each such Covered Life:</w:t>
      </w:r>
    </w:p>
    <w:p>
      <w:pPr>
        <w:spacing w:after="0" w:line="192" w:lineRule="exact"/>
        <w:rPr>
          <w:sz w:val="20"/>
          <w:szCs w:val="20"/>
          <w:color w:val="auto"/>
        </w:rPr>
      </w:pPr>
    </w:p>
    <w:p>
      <w:pPr>
        <w:ind w:left="1300" w:right="140"/>
        <w:spacing w:after="0" w:line="243" w:lineRule="auto"/>
        <w:rPr>
          <w:sz w:val="20"/>
          <w:szCs w:val="20"/>
          <w:color w:val="auto"/>
        </w:rPr>
      </w:pPr>
      <w:r>
        <w:rPr>
          <w:rFonts w:ascii="Arial" w:cs="Arial" w:eastAsia="Arial" w:hAnsi="Arial"/>
          <w:sz w:val="20"/>
          <w:szCs w:val="20"/>
          <w:color w:val="auto"/>
        </w:rPr>
        <w:t>If the Annuity Exhibits specify that you have a Conversion Option to cancel this Annuity Form and a qualified domestic relations order does not provide otherwise,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97" w:lineRule="exact"/>
        <w:rPr>
          <w:sz w:val="20"/>
          <w:szCs w:val="20"/>
          <w:color w:val="auto"/>
        </w:rPr>
      </w:pPr>
    </w:p>
    <w:p>
      <w:pPr>
        <w:jc w:val="both"/>
        <w:ind w:left="1300" w:right="340"/>
        <w:spacing w:after="0" w:line="250" w:lineRule="auto"/>
        <w:rPr>
          <w:sz w:val="20"/>
          <w:szCs w:val="20"/>
          <w:color w:val="auto"/>
        </w:rPr>
      </w:pPr>
      <w:r>
        <w:rPr>
          <w:rFonts w:ascii="Arial" w:cs="Arial" w:eastAsia="Arial" w:hAnsi="Arial"/>
          <w:sz w:val="20"/>
          <w:szCs w:val="20"/>
          <w:color w:val="auto"/>
        </w:rPr>
        <w:t>During your lifetime, we will make monthly payments to you equal to your Covered Life Amount. We will make monthly payments on the first day of each month. We owe the first monthly payment on the Annuity Commencement Date. Our last monthly payment to you will be on the first day of the month in which you die.</w:t>
      </w:r>
    </w:p>
    <w:p>
      <w:pPr>
        <w:spacing w:after="0" w:line="186" w:lineRule="exact"/>
        <w:rPr>
          <w:sz w:val="20"/>
          <w:szCs w:val="20"/>
          <w:color w:val="auto"/>
        </w:rPr>
      </w:pPr>
    </w:p>
    <w:p>
      <w:pPr>
        <w:ind w:left="1300" w:right="240"/>
        <w:spacing w:after="0" w:line="244" w:lineRule="auto"/>
        <w:rPr>
          <w:sz w:val="20"/>
          <w:szCs w:val="20"/>
          <w:color w:val="auto"/>
        </w:rPr>
      </w:pPr>
      <w:r>
        <w:rPr>
          <w:rFonts w:ascii="Arial" w:cs="Arial" w:eastAsia="Arial" w:hAnsi="Arial"/>
          <w:sz w:val="20"/>
          <w:szCs w:val="20"/>
          <w:color w:val="auto"/>
        </w:rPr>
        <w:t>After you die, we may owe additional monthly payments. We will owe additional monthly payments if your Contingent Life (as specified in the Annuity Exhibits) is alive when you die. We will pay the first payment on the first day of the month following your death. Later monthly payments will be made on the first day of each month. We will pay the last payment on the first day of the month in which such Contingent Life dies. The amount of the payments will equal the Contingent Life Amount.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98" w:right="259" w:bottom="1440" w:gutter="0" w:footer="0" w:header="0"/>
        </w:sectPr>
      </w:pPr>
    </w:p>
    <w:bookmarkStart w:id="180" w:name="page181"/>
    <w:bookmarkEnd w:id="180"/>
    <w:p>
      <w:pPr>
        <w:ind w:left="10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186" w:lineRule="exact"/>
        <w:rPr>
          <w:sz w:val="20"/>
          <w:szCs w:val="20"/>
          <w:color w:val="auto"/>
        </w:rPr>
      </w:pPr>
    </w:p>
    <w:p>
      <w:pPr>
        <w:ind w:left="100" w:right="100"/>
        <w:spacing w:after="0" w:line="246" w:lineRule="auto"/>
        <w:rPr>
          <w:sz w:val="20"/>
          <w:szCs w:val="20"/>
          <w:color w:val="auto"/>
        </w:rPr>
      </w:pPr>
      <w:r>
        <w:rPr>
          <w:rFonts w:ascii="Arial" w:cs="Arial" w:eastAsia="Arial" w:hAnsi="Arial"/>
          <w:sz w:val="20"/>
          <w:szCs w:val="20"/>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192" w:lineRule="exact"/>
        <w:rPr>
          <w:sz w:val="20"/>
          <w:szCs w:val="20"/>
          <w:color w:val="auto"/>
        </w:rPr>
      </w:pPr>
    </w:p>
    <w:p>
      <w:pPr>
        <w:ind w:left="100" w:right="240"/>
        <w:spacing w:after="0" w:line="260" w:lineRule="auto"/>
        <w:rPr>
          <w:sz w:val="20"/>
          <w:szCs w:val="20"/>
          <w:color w:val="auto"/>
        </w:rPr>
      </w:pPr>
      <w:r>
        <w:rPr>
          <w:rFonts w:ascii="Arial" w:cs="Arial" w:eastAsia="Arial" w:hAnsi="Arial"/>
          <w:sz w:val="20"/>
          <w:szCs w:val="20"/>
          <w:color w:val="auto"/>
        </w:rPr>
        <w:t>For a Contingent Joint and Survivor Life Annuity, the following amounts, names, or values are also specified in the Annuity Exhibits:</w:t>
      </w:r>
    </w:p>
    <w:p>
      <w:pPr>
        <w:spacing w:after="0" w:line="177" w:lineRule="exact"/>
        <w:rPr>
          <w:sz w:val="20"/>
          <w:szCs w:val="20"/>
          <w:color w:val="auto"/>
        </w:rPr>
      </w:pPr>
    </w:p>
    <w:p>
      <w:pPr>
        <w:ind w:left="1400" w:right="100" w:hanging="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equals an amount that depends on whether you are younger or older than sixty-two years and one month (“</w:t>
      </w:r>
      <w:r>
        <w:rPr>
          <w:rFonts w:ascii="Arial" w:cs="Arial" w:eastAsia="Arial" w:hAnsi="Arial"/>
          <w:sz w:val="20"/>
          <w:szCs w:val="20"/>
          <w:u w:val="single" w:color="auto"/>
          <w:color w:val="auto"/>
        </w:rPr>
        <w:t>62 + 1</w:t>
      </w:r>
      <w:r>
        <w:rPr>
          <w:rFonts w:ascii="Arial" w:cs="Arial" w:eastAsia="Arial" w:hAnsi="Arial"/>
          <w:sz w:val="20"/>
          <w:szCs w:val="20"/>
          <w:color w:val="auto"/>
        </w:rPr>
        <w:t>”).</w:t>
      </w:r>
    </w:p>
    <w:p>
      <w:pPr>
        <w:spacing w:after="0" w:line="177" w:lineRule="exact"/>
        <w:rPr>
          <w:sz w:val="20"/>
          <w:szCs w:val="20"/>
          <w:color w:val="auto"/>
        </w:rPr>
      </w:pPr>
    </w:p>
    <w:p>
      <w:pPr>
        <w:ind w:left="1400" w:right="180"/>
        <w:spacing w:after="0" w:line="260" w:lineRule="auto"/>
        <w:rPr>
          <w:sz w:val="20"/>
          <w:szCs w:val="20"/>
          <w:color w:val="auto"/>
        </w:rPr>
      </w:pPr>
      <w:r>
        <w:rPr>
          <w:rFonts w:ascii="Arial" w:cs="Arial" w:eastAsia="Arial" w:hAnsi="Arial"/>
          <w:sz w:val="20"/>
          <w:szCs w:val="20"/>
          <w:color w:val="auto"/>
        </w:rPr>
        <w:t>If you are younger than 62+1, the Covered Life Amount equals the “Pre-62+1 Pension Amount” specified in the Annuity Exhibit for such Covered Life.</w:t>
      </w:r>
    </w:p>
    <w:p>
      <w:pPr>
        <w:spacing w:after="0" w:line="177" w:lineRule="exact"/>
        <w:rPr>
          <w:sz w:val="20"/>
          <w:szCs w:val="20"/>
          <w:color w:val="auto"/>
        </w:rPr>
      </w:pPr>
    </w:p>
    <w:p>
      <w:pPr>
        <w:ind w:left="1400" w:right="660"/>
        <w:spacing w:after="0" w:line="260" w:lineRule="auto"/>
        <w:rPr>
          <w:sz w:val="20"/>
          <w:szCs w:val="20"/>
          <w:color w:val="auto"/>
        </w:rPr>
      </w:pPr>
      <w:r>
        <w:rPr>
          <w:rFonts w:ascii="Arial" w:cs="Arial" w:eastAsia="Arial" w:hAnsi="Arial"/>
          <w:sz w:val="20"/>
          <w:szCs w:val="20"/>
          <w:color w:val="auto"/>
        </w:rPr>
        <w:t>If you are older than 62+1, the Covered Life Amount equals the “Post-62+1 Pension Amount” amount specified in the Annuity Exhibit for such Covered Life.</w:t>
      </w:r>
    </w:p>
    <w:p>
      <w:pPr>
        <w:spacing w:after="0" w:line="177" w:lineRule="exact"/>
        <w:rPr>
          <w:sz w:val="20"/>
          <w:szCs w:val="20"/>
          <w:color w:val="auto"/>
        </w:rPr>
      </w:pPr>
    </w:p>
    <w:p>
      <w:pPr>
        <w:ind w:left="1400" w:right="20"/>
        <w:spacing w:after="0" w:line="235" w:lineRule="auto"/>
        <w:rPr>
          <w:sz w:val="20"/>
          <w:szCs w:val="20"/>
          <w:color w:val="auto"/>
        </w:rPr>
      </w:pPr>
      <w:r>
        <w:rPr>
          <w:rFonts w:ascii="Arial" w:cs="Arial" w:eastAsia="Arial" w:hAnsi="Arial"/>
          <w:sz w:val="19"/>
          <w:szCs w:val="19"/>
          <w:color w:val="auto"/>
        </w:rPr>
        <w:t>If you have a Special Benefit Rider (as specified in the Annuity Exhibits), then the “Covered Life Amount” will be increased after your sixty-fifth (65</w:t>
      </w:r>
      <w:r>
        <w:rPr>
          <w:rFonts w:ascii="Arial" w:cs="Arial" w:eastAsia="Arial" w:hAnsi="Arial"/>
          <w:sz w:val="24"/>
          <w:szCs w:val="24"/>
          <w:color w:val="auto"/>
          <w:vertAlign w:val="superscript"/>
        </w:rPr>
        <w:t>th</w:t>
      </w:r>
      <w:r>
        <w:rPr>
          <w:rFonts w:ascii="Arial" w:cs="Arial" w:eastAsia="Arial" w:hAnsi="Arial"/>
          <w:sz w:val="19"/>
          <w:szCs w:val="19"/>
          <w:color w:val="auto"/>
        </w:rPr>
        <w:t>) birthday. The increase will start on the first day of the month after your 65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birthday. If your 65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birthday falls on the first day of a month, the increase will start on that day. The amount of the increase will be the amount specified as the “Special Benefit” in the Annuity Exhibits. During your lifetime, your Contingent Life will not receive the benefits of any Special Benefit Rider that he or she may have. Such benefits start after your death.</w:t>
      </w:r>
    </w:p>
    <w:p>
      <w:pPr>
        <w:spacing w:after="0" w:line="197" w:lineRule="exact"/>
        <w:rPr>
          <w:sz w:val="20"/>
          <w:szCs w:val="20"/>
          <w:color w:val="auto"/>
        </w:rPr>
      </w:pPr>
    </w:p>
    <w:p>
      <w:pPr>
        <w:ind w:left="1400" w:right="40"/>
        <w:spacing w:after="0" w:line="224" w:lineRule="auto"/>
        <w:rPr>
          <w:sz w:val="20"/>
          <w:szCs w:val="20"/>
          <w:color w:val="auto"/>
        </w:rPr>
      </w:pPr>
      <w:r>
        <w:rPr>
          <w:rFonts w:ascii="Arial" w:cs="Arial" w:eastAsia="Arial" w:hAnsi="Arial"/>
          <w:sz w:val="20"/>
          <w:szCs w:val="20"/>
          <w:color w:val="auto"/>
        </w:rPr>
        <w:t>If you have a Level Benefit Rider (as specified in the Annuity Exhibits), then the “Covered Life Amount” will be increased by Three Hundred Dollars ($300.000) after your sixty-fifth (65</w:t>
      </w:r>
      <w:r>
        <w:rPr>
          <w:rFonts w:ascii="Arial" w:cs="Arial" w:eastAsia="Arial" w:hAnsi="Arial"/>
          <w:sz w:val="25"/>
          <w:szCs w:val="25"/>
          <w:color w:val="auto"/>
          <w:vertAlign w:val="superscript"/>
        </w:rPr>
        <w:t>th</w:t>
      </w:r>
      <w:r>
        <w:rPr>
          <w:rFonts w:ascii="Arial" w:cs="Arial" w:eastAsia="Arial" w:hAnsi="Arial"/>
          <w:sz w:val="20"/>
          <w:szCs w:val="20"/>
          <w:color w:val="auto"/>
        </w:rPr>
        <w:t>) birthday. The increase will start on first day of the month after your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If your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falls on the first day of a month, the increase will start on that day. During your lifetime, we do not owe your Contingent Life any benefits under the Level Benefit Rider. If your Contingent Life has a Level Benefit rider, we only owe the related payments after you die.</w:t>
      </w:r>
    </w:p>
    <w:p>
      <w:pPr>
        <w:spacing w:after="0" w:line="198" w:lineRule="exact"/>
        <w:rPr>
          <w:sz w:val="20"/>
          <w:szCs w:val="20"/>
          <w:color w:val="auto"/>
        </w:rPr>
      </w:pPr>
    </w:p>
    <w:p>
      <w:pPr>
        <w:ind w:left="1400" w:right="20"/>
        <w:spacing w:after="0" w:line="244" w:lineRule="auto"/>
        <w:rPr>
          <w:sz w:val="20"/>
          <w:szCs w:val="20"/>
          <w:color w:val="auto"/>
        </w:rPr>
      </w:pPr>
      <w:r>
        <w:rPr>
          <w:rFonts w:ascii="Arial" w:cs="Arial" w:eastAsia="Arial" w:hAnsi="Arial"/>
          <w:sz w:val="20"/>
          <w:szCs w:val="20"/>
          <w:color w:val="auto"/>
        </w:rPr>
        <w:t>If a portion of your Pre 62+1 Covered Life Amount is attributable to “Disability Temporary Benefits”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195" w:lineRule="exact"/>
        <w:rPr>
          <w:sz w:val="20"/>
          <w:szCs w:val="20"/>
          <w:color w:val="auto"/>
        </w:rPr>
      </w:pPr>
    </w:p>
    <w:p>
      <w:pPr>
        <w:ind w:left="1400" w:right="300" w:hanging="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Life Amount</w:t>
      </w:r>
      <w:r>
        <w:rPr>
          <w:rFonts w:ascii="Arial" w:cs="Arial" w:eastAsia="Arial" w:hAnsi="Arial"/>
          <w:sz w:val="20"/>
          <w:szCs w:val="20"/>
          <w:color w:val="auto"/>
        </w:rPr>
        <w:t>” means an amount that is specified in the Annuity Exhibits for your Annuity Form as the “Contingent Life Amount.”</w:t>
      </w:r>
    </w:p>
    <w:p>
      <w:pPr>
        <w:spacing w:after="0" w:line="177" w:lineRule="exact"/>
        <w:rPr>
          <w:sz w:val="20"/>
          <w:szCs w:val="20"/>
          <w:color w:val="auto"/>
        </w:rPr>
      </w:pPr>
    </w:p>
    <w:p>
      <w:pPr>
        <w:ind w:left="1400" w:right="180"/>
        <w:spacing w:after="0" w:line="227" w:lineRule="auto"/>
        <w:rPr>
          <w:sz w:val="20"/>
          <w:szCs w:val="20"/>
          <w:color w:val="auto"/>
        </w:rPr>
      </w:pPr>
      <w:r>
        <w:rPr>
          <w:rFonts w:ascii="Arial" w:cs="Arial" w:eastAsia="Arial" w:hAnsi="Arial"/>
          <w:sz w:val="20"/>
          <w:szCs w:val="20"/>
          <w:color w:val="auto"/>
        </w:rPr>
        <w:t>If your Contingent Life is your spouse and has a Special Benefit Rider, then the “Contingent Life Amount” will be increased for payments owed after his or her sixty-fifth (65</w:t>
      </w:r>
      <w:r>
        <w:rPr>
          <w:rFonts w:ascii="Arial" w:cs="Arial" w:eastAsia="Arial" w:hAnsi="Arial"/>
          <w:sz w:val="25"/>
          <w:szCs w:val="25"/>
          <w:color w:val="auto"/>
          <w:vertAlign w:val="superscript"/>
        </w:rPr>
        <w:t>th</w:t>
      </w:r>
      <w:r>
        <w:rPr>
          <w:rFonts w:ascii="Arial" w:cs="Arial" w:eastAsia="Arial" w:hAnsi="Arial"/>
          <w:sz w:val="20"/>
          <w:szCs w:val="20"/>
          <w:color w:val="auto"/>
        </w:rPr>
        <w:t>) birthday. The increase will start on first day of the month after</w:t>
      </w: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80"/>
          </w:cols>
          <w:pgMar w:left="1440" w:top="798" w:right="279" w:bottom="1440" w:gutter="0" w:footer="0" w:header="0"/>
        </w:sectPr>
      </w:pPr>
    </w:p>
    <w:bookmarkStart w:id="181" w:name="page182"/>
    <w:bookmarkEnd w:id="181"/>
    <w:p>
      <w:pPr>
        <w:ind w:left="1944" w:right="420"/>
        <w:spacing w:after="0" w:line="249" w:lineRule="auto"/>
        <w:rPr>
          <w:sz w:val="20"/>
          <w:szCs w:val="20"/>
          <w:color w:val="auto"/>
        </w:rPr>
      </w:pPr>
      <w:r>
        <w:rPr>
          <w:rFonts w:ascii="Arial" w:cs="Arial" w:eastAsia="Arial" w:hAnsi="Arial"/>
          <w:sz w:val="18"/>
          <w:szCs w:val="18"/>
          <w:color w:val="auto"/>
        </w:rPr>
        <w:t>such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If such birthday falls on the first day of a month, the increase will start on that day. The amount of the increase will be the amount specified as the “Special Benefit” in the Annuity Exhibits.</w:t>
      </w:r>
    </w:p>
    <w:p>
      <w:pPr>
        <w:spacing w:after="0" w:line="186" w:lineRule="exact"/>
        <w:rPr>
          <w:sz w:val="20"/>
          <w:szCs w:val="20"/>
          <w:color w:val="auto"/>
        </w:rPr>
      </w:pPr>
    </w:p>
    <w:p>
      <w:pPr>
        <w:ind w:left="1944" w:right="20"/>
        <w:spacing w:after="0" w:line="217" w:lineRule="auto"/>
        <w:rPr>
          <w:sz w:val="20"/>
          <w:szCs w:val="20"/>
          <w:color w:val="auto"/>
        </w:rPr>
      </w:pPr>
      <w:r>
        <w:rPr>
          <w:rFonts w:ascii="Arial" w:cs="Arial" w:eastAsia="Arial" w:hAnsi="Arial"/>
          <w:sz w:val="20"/>
          <w:szCs w:val="20"/>
          <w:color w:val="auto"/>
        </w:rPr>
        <w:t>If your Contingent Life has a Level Benefit Rider, then the “Contingent Life Amount” will be increased by Three Hundred Dollars ($300.000) for payments owed after his or her sixty-fifth (65</w:t>
      </w:r>
      <w:r>
        <w:rPr>
          <w:rFonts w:ascii="Arial" w:cs="Arial" w:eastAsia="Arial" w:hAnsi="Arial"/>
          <w:sz w:val="25"/>
          <w:szCs w:val="25"/>
          <w:color w:val="auto"/>
          <w:vertAlign w:val="superscript"/>
        </w:rPr>
        <w:t>th</w:t>
      </w:r>
      <w:r>
        <w:rPr>
          <w:rFonts w:ascii="Arial" w:cs="Arial" w:eastAsia="Arial" w:hAnsi="Arial"/>
          <w:sz w:val="20"/>
          <w:szCs w:val="20"/>
          <w:color w:val="auto"/>
        </w:rPr>
        <w:t>) birthday. The increase will start on first day of the month after such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If such birthday falls on the first day of a month, the increase will start on that day.</w:t>
      </w:r>
    </w:p>
    <w:p>
      <w:pPr>
        <w:spacing w:after="0" w:line="199" w:lineRule="exact"/>
        <w:rPr>
          <w:sz w:val="20"/>
          <w:szCs w:val="20"/>
          <w:color w:val="auto"/>
        </w:rPr>
      </w:pPr>
    </w:p>
    <w:p>
      <w:pPr>
        <w:ind w:left="4" w:right="180" w:hanging="4"/>
        <w:spacing w:after="0" w:line="260" w:lineRule="auto"/>
        <w:tabs>
          <w:tab w:leader="none" w:pos="295" w:val="left"/>
        </w:tabs>
        <w:numPr>
          <w:ilvl w:val="0"/>
          <w:numId w:val="1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Period Certain Annuity</w:t>
      </w:r>
      <w:r>
        <w:rPr>
          <w:rFonts w:ascii="Arial" w:cs="Arial" w:eastAsia="Arial" w:hAnsi="Arial"/>
          <w:sz w:val="20"/>
          <w:szCs w:val="20"/>
          <w:color w:val="auto"/>
        </w:rPr>
        <w:t>” means the following for each Covered Life identified in the Annuity Exhibits as receiving a distribution of a “Period Certain Only” Annuity Form. “You” and “your” refers to each such Covered Life.</w:t>
      </w:r>
    </w:p>
    <w:p>
      <w:pPr>
        <w:spacing w:after="0" w:line="177" w:lineRule="exact"/>
        <w:rPr>
          <w:sz w:val="20"/>
          <w:szCs w:val="20"/>
          <w:color w:val="auto"/>
        </w:rPr>
      </w:pPr>
    </w:p>
    <w:p>
      <w:pPr>
        <w:ind w:left="644" w:right="200"/>
        <w:spacing w:after="0" w:line="246" w:lineRule="auto"/>
        <w:rPr>
          <w:sz w:val="20"/>
          <w:szCs w:val="20"/>
          <w:color w:val="auto"/>
        </w:rPr>
      </w:pPr>
      <w:r>
        <w:rPr>
          <w:rFonts w:ascii="Arial" w:cs="Arial" w:eastAsia="Arial" w:hAnsi="Arial"/>
          <w:sz w:val="20"/>
          <w:szCs w:val="20"/>
          <w:color w:val="auto"/>
        </w:rPr>
        <w:t>We will make monthly payments to you equal to your Covered Life Amount. We owe the first monthly payment on the Annuity Commencement Date. We will pay subsequent monthly on the first day of each month. The total number of monthly payments will equal the Guaranteed Number of Payments specified for you in the Annuity Exhibits. Once such Guaranteed Number of Payments has been paid, no further payments are due.</w:t>
      </w:r>
    </w:p>
    <w:p>
      <w:pPr>
        <w:spacing w:after="0" w:line="192" w:lineRule="exact"/>
        <w:rPr>
          <w:sz w:val="20"/>
          <w:szCs w:val="20"/>
          <w:color w:val="auto"/>
        </w:rPr>
      </w:pPr>
    </w:p>
    <w:p>
      <w:pPr>
        <w:ind w:left="644" w:right="180"/>
        <w:spacing w:after="0" w:line="244" w:lineRule="auto"/>
        <w:rPr>
          <w:sz w:val="20"/>
          <w:szCs w:val="20"/>
          <w:color w:val="auto"/>
        </w:rPr>
      </w:pPr>
      <w:r>
        <w:rPr>
          <w:rFonts w:ascii="Arial" w:cs="Arial" w:eastAsia="Arial" w:hAnsi="Arial"/>
          <w:sz w:val="20"/>
          <w:szCs w:val="20"/>
          <w:color w:val="auto"/>
        </w:rPr>
        <w:t>If you die after the Annuity Commencement Date, we will determine the number of monthly payments we made to you after the Annuity Commencement Date. If the number payment made is less than such Guaranteed Number of Payments, then we will pay the Covered Life Amount to the designated Beneficiary for your Annuity Form. These payments to such Beneficiary will stop when the total number of payments to you, plus the number of payments to the Beneficiary, equals the Guaranteed Number of Payments.</w:t>
      </w:r>
    </w:p>
    <w:p>
      <w:pPr>
        <w:spacing w:after="0" w:line="195" w:lineRule="exact"/>
        <w:rPr>
          <w:sz w:val="20"/>
          <w:szCs w:val="20"/>
          <w:color w:val="auto"/>
        </w:rPr>
      </w:pPr>
    </w:p>
    <w:p>
      <w:pPr>
        <w:ind w:left="64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77" w:lineRule="exact"/>
        <w:rPr>
          <w:sz w:val="20"/>
          <w:szCs w:val="20"/>
          <w:color w:val="auto"/>
        </w:rPr>
      </w:pPr>
    </w:p>
    <w:p>
      <w:pPr>
        <w:ind w:left="4" w:right="740" w:hanging="4"/>
        <w:spacing w:after="0" w:line="260" w:lineRule="auto"/>
        <w:tabs>
          <w:tab w:leader="none" w:pos="35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Life and Period Certain Annuity</w:t>
      </w:r>
      <w:r>
        <w:rPr>
          <w:rFonts w:ascii="Arial" w:cs="Arial" w:eastAsia="Arial" w:hAnsi="Arial"/>
          <w:sz w:val="20"/>
          <w:szCs w:val="20"/>
          <w:color w:val="auto"/>
        </w:rPr>
        <w:t>” means the following for each Covered Life identified in the Annuity Exhibits as receiving a distribution of a “Life &amp; Period Certain”. “You” and “your” refers to each such Covered Life.</w:t>
      </w:r>
    </w:p>
    <w:p>
      <w:pPr>
        <w:spacing w:after="0" w:line="177" w:lineRule="exact"/>
        <w:rPr>
          <w:sz w:val="20"/>
          <w:szCs w:val="20"/>
          <w:color w:val="auto"/>
        </w:rPr>
      </w:pPr>
    </w:p>
    <w:p>
      <w:pPr>
        <w:ind w:left="644" w:right="240"/>
        <w:spacing w:after="0" w:line="250" w:lineRule="auto"/>
        <w:rPr>
          <w:sz w:val="20"/>
          <w:szCs w:val="20"/>
          <w:color w:val="auto"/>
        </w:rPr>
      </w:pPr>
      <w:r>
        <w:rPr>
          <w:rFonts w:ascii="Arial" w:cs="Arial" w:eastAsia="Arial" w:hAnsi="Arial"/>
          <w:sz w:val="20"/>
          <w:szCs w:val="20"/>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186" w:lineRule="exact"/>
        <w:rPr>
          <w:sz w:val="20"/>
          <w:szCs w:val="20"/>
          <w:color w:val="auto"/>
        </w:rPr>
      </w:pPr>
    </w:p>
    <w:p>
      <w:pPr>
        <w:ind w:left="644" w:right="240"/>
        <w:spacing w:after="0" w:line="244" w:lineRule="auto"/>
        <w:rPr>
          <w:sz w:val="20"/>
          <w:szCs w:val="20"/>
          <w:color w:val="auto"/>
        </w:rPr>
      </w:pPr>
      <w:r>
        <w:rPr>
          <w:rFonts w:ascii="Arial" w:cs="Arial" w:eastAsia="Arial" w:hAnsi="Arial"/>
          <w:sz w:val="20"/>
          <w:szCs w:val="20"/>
          <w:color w:val="auto"/>
        </w:rPr>
        <w:t>We will then compare the number of monthly payments we make to you after the Annuity Commencement Date to the Guaranteed Number of Payments specified for you in the Annuity Exhibits. If the number of monthly payments is less than such guaranteed number, we will pay make additional payments to the designated Beneficiary for your Annuity Form. These payments will stop when the total number of payments to you, plus the number of payments to the Beneficiary, equals the Guaranteed Number of Payments.</w:t>
      </w:r>
    </w:p>
    <w:p>
      <w:pPr>
        <w:spacing w:after="0" w:line="195" w:lineRule="exact"/>
        <w:rPr>
          <w:sz w:val="20"/>
          <w:szCs w:val="20"/>
          <w:color w:val="auto"/>
        </w:rPr>
      </w:pPr>
    </w:p>
    <w:p>
      <w:pPr>
        <w:ind w:left="64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77" w:lineRule="exact"/>
        <w:rPr>
          <w:sz w:val="20"/>
          <w:szCs w:val="20"/>
          <w:color w:val="auto"/>
        </w:rPr>
      </w:pPr>
    </w:p>
    <w:p>
      <w:pPr>
        <w:ind w:left="4" w:right="20" w:hanging="4"/>
        <w:spacing w:after="0" w:line="246" w:lineRule="auto"/>
        <w:tabs>
          <w:tab w:leader="none" w:pos="33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Life Annuity with or without Special Benefit Rider, and/ or Level Benefit Rider and/or Refund Death Benefit Rider</w:t>
      </w:r>
      <w:r>
        <w:rPr>
          <w:rFonts w:ascii="Arial" w:cs="Arial" w:eastAsia="Arial" w:hAnsi="Arial"/>
          <w:sz w:val="20"/>
          <w:szCs w:val="20"/>
          <w:color w:val="auto"/>
        </w:rPr>
        <w:t>” means the following for each Covered Life identified in the Annuity Exhibits as receiving a distribution of a “Life Only” Annuity Form with or without a “Special Benefit Rider,” and/or a “Level Benefit Rider,” and/or a “Refund Death Benefit Rider,” respectively. “You” and “your” refers to each such Covered Life.</w:t>
      </w:r>
    </w:p>
    <w:p>
      <w:pPr>
        <w:spacing w:after="0" w:line="22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4"/>
          </w:cols>
          <w:pgMar w:left="896" w:top="582" w:right="239" w:bottom="1440" w:gutter="0" w:footer="0" w:header="0"/>
        </w:sectPr>
      </w:pPr>
    </w:p>
    <w:bookmarkStart w:id="182" w:name="page183"/>
    <w:bookmarkEnd w:id="182"/>
    <w:p>
      <w:pPr>
        <w:ind w:left="100"/>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39" w:lineRule="exact"/>
        <w:rPr>
          <w:sz w:val="20"/>
          <w:szCs w:val="20"/>
          <w:color w:val="auto"/>
        </w:rPr>
      </w:pPr>
    </w:p>
    <w:p>
      <w:pPr>
        <w:ind w:left="100"/>
        <w:spacing w:after="0" w:line="244" w:lineRule="auto"/>
        <w:rPr>
          <w:sz w:val="20"/>
          <w:szCs w:val="20"/>
          <w:color w:val="auto"/>
        </w:rPr>
      </w:pPr>
      <w:r>
        <w:rPr>
          <w:rFonts w:ascii="Arial" w:cs="Arial" w:eastAsia="Arial" w:hAnsi="Arial"/>
          <w:sz w:val="20"/>
          <w:szCs w:val="20"/>
          <w:color w:val="auto"/>
        </w:rPr>
        <w:t>If the Annuity Exhibits specify that you have a Conversion Option to cancel this Annuity Form,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95" w:lineRule="exact"/>
        <w:rPr>
          <w:sz w:val="20"/>
          <w:szCs w:val="20"/>
          <w:color w:val="auto"/>
        </w:rPr>
      </w:pPr>
    </w:p>
    <w:p>
      <w:pPr>
        <w:ind w:left="100" w:right="240"/>
        <w:spacing w:after="0" w:line="250" w:lineRule="auto"/>
        <w:rPr>
          <w:sz w:val="20"/>
          <w:szCs w:val="20"/>
          <w:color w:val="auto"/>
        </w:rPr>
      </w:pPr>
      <w:r>
        <w:rPr>
          <w:rFonts w:ascii="Arial" w:cs="Arial" w:eastAsia="Arial" w:hAnsi="Arial"/>
          <w:sz w:val="20"/>
          <w:szCs w:val="20"/>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186" w:lineRule="exact"/>
        <w:rPr>
          <w:sz w:val="20"/>
          <w:szCs w:val="20"/>
          <w:color w:val="auto"/>
        </w:rPr>
      </w:pPr>
    </w:p>
    <w:p>
      <w:pPr>
        <w:jc w:val="both"/>
        <w:ind w:left="10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you die, we will determine if we owe such payment. The following explains how we will determine if a payment is owed by us under this rider.</w:t>
      </w:r>
    </w:p>
    <w:p>
      <w:pPr>
        <w:spacing w:after="0" w:line="186" w:lineRule="exact"/>
        <w:rPr>
          <w:sz w:val="20"/>
          <w:szCs w:val="20"/>
          <w:color w:val="auto"/>
        </w:rPr>
      </w:pPr>
    </w:p>
    <w:p>
      <w:pPr>
        <w:ind w:left="100" w:right="140"/>
        <w:spacing w:after="0" w:line="246" w:lineRule="auto"/>
        <w:rPr>
          <w:sz w:val="20"/>
          <w:szCs w:val="20"/>
          <w:color w:val="auto"/>
        </w:rPr>
      </w:pPr>
      <w:r>
        <w:rPr>
          <w:rFonts w:ascii="Arial" w:cs="Arial" w:eastAsia="Arial" w:hAnsi="Arial"/>
          <w:sz w:val="20"/>
          <w:szCs w:val="20"/>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For a Single Life Annuity, the following amounts, names, or values are also specified in the Annuity Exhibits: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“Covered Life Amount” depends on whether you are younger or older than sixty-two years and one month (“</w:t>
      </w:r>
      <w:r>
        <w:rPr>
          <w:rFonts w:ascii="Arial" w:cs="Arial" w:eastAsia="Arial" w:hAnsi="Arial"/>
          <w:sz w:val="18"/>
          <w:szCs w:val="18"/>
          <w:u w:val="single" w:color="auto"/>
          <w:color w:val="auto"/>
        </w:rPr>
        <w:t>62 + 1</w:t>
      </w:r>
      <w:r>
        <w:rPr>
          <w:rFonts w:ascii="Arial" w:cs="Arial" w:eastAsia="Arial" w:hAnsi="Arial"/>
          <w:sz w:val="18"/>
          <w:szCs w:val="18"/>
          <w:color w:val="auto"/>
        </w:rPr>
        <w:t>”).</w:t>
      </w:r>
    </w:p>
    <w:p>
      <w:pPr>
        <w:spacing w:after="0" w:line="239" w:lineRule="exact"/>
        <w:rPr>
          <w:sz w:val="20"/>
          <w:szCs w:val="20"/>
          <w:color w:val="auto"/>
        </w:rPr>
      </w:pPr>
    </w:p>
    <w:p>
      <w:pPr>
        <w:ind w:left="1400" w:right="220"/>
        <w:spacing w:after="0" w:line="260" w:lineRule="auto"/>
        <w:rPr>
          <w:sz w:val="20"/>
          <w:szCs w:val="20"/>
          <w:color w:val="auto"/>
        </w:rPr>
      </w:pPr>
      <w:r>
        <w:rPr>
          <w:rFonts w:ascii="Arial" w:cs="Arial" w:eastAsia="Arial" w:hAnsi="Arial"/>
          <w:sz w:val="20"/>
          <w:szCs w:val="20"/>
          <w:color w:val="auto"/>
        </w:rPr>
        <w:t>If you are younger than 62+1, the Covered Life Amount equals the “Pre-62+1 Pension Amount” specified in the Annuity Exhibit for such Covered Life.</w:t>
      </w:r>
    </w:p>
    <w:p>
      <w:pPr>
        <w:spacing w:after="0" w:line="177" w:lineRule="exact"/>
        <w:rPr>
          <w:sz w:val="20"/>
          <w:szCs w:val="20"/>
          <w:color w:val="auto"/>
        </w:rPr>
      </w:pPr>
    </w:p>
    <w:p>
      <w:pPr>
        <w:ind w:left="1400" w:right="80"/>
        <w:spacing w:after="0" w:line="260" w:lineRule="auto"/>
        <w:rPr>
          <w:sz w:val="20"/>
          <w:szCs w:val="20"/>
          <w:color w:val="auto"/>
        </w:rPr>
      </w:pPr>
      <w:r>
        <w:rPr>
          <w:rFonts w:ascii="Arial" w:cs="Arial" w:eastAsia="Arial" w:hAnsi="Arial"/>
          <w:sz w:val="20"/>
          <w:szCs w:val="20"/>
          <w:color w:val="auto"/>
        </w:rPr>
        <w:t>If you are older than 62+1, the Covered Life Amount equals the “Post-62+1 Pension Amount” specified in the Annuity Exhibit for such Covered Life</w:t>
      </w:r>
    </w:p>
    <w:p>
      <w:pPr>
        <w:spacing w:after="0" w:line="177" w:lineRule="exact"/>
        <w:rPr>
          <w:sz w:val="20"/>
          <w:szCs w:val="20"/>
          <w:color w:val="auto"/>
        </w:rPr>
      </w:pPr>
    </w:p>
    <w:p>
      <w:pPr>
        <w:ind w:left="760" w:right="100"/>
        <w:spacing w:after="0" w:line="230" w:lineRule="auto"/>
        <w:rPr>
          <w:sz w:val="20"/>
          <w:szCs w:val="20"/>
          <w:color w:val="auto"/>
        </w:rPr>
      </w:pPr>
      <w:r>
        <w:rPr>
          <w:rFonts w:ascii="Arial" w:cs="Arial" w:eastAsia="Arial" w:hAnsi="Arial"/>
          <w:sz w:val="20"/>
          <w:szCs w:val="20"/>
          <w:color w:val="auto"/>
        </w:rPr>
        <w:t>If you have a Special Benefit Rider, then the “Covered Life Amount” will be increased after your sixty-fifth (65</w:t>
      </w:r>
      <w:r>
        <w:rPr>
          <w:rFonts w:ascii="Arial" w:cs="Arial" w:eastAsia="Arial" w:hAnsi="Arial"/>
          <w:sz w:val="25"/>
          <w:szCs w:val="25"/>
          <w:color w:val="auto"/>
          <w:vertAlign w:val="superscript"/>
        </w:rPr>
        <w:t>th</w:t>
      </w:r>
      <w:r>
        <w:rPr>
          <w:rFonts w:ascii="Arial" w:cs="Arial" w:eastAsia="Arial" w:hAnsi="Arial"/>
          <w:sz w:val="20"/>
          <w:szCs w:val="20"/>
          <w:color w:val="auto"/>
        </w:rPr>
        <w:t>) birthday. The increase will start on first day of the month after your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If your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falls on the first day of a month, the increase will start on that day. The amount of the increase will be the amount specified as the “Special Benefit.” in the Annuity Exhibits.</w:t>
      </w:r>
    </w:p>
    <w:p>
      <w:pPr>
        <w:spacing w:after="0" w:line="198" w:lineRule="exact"/>
        <w:rPr>
          <w:sz w:val="20"/>
          <w:szCs w:val="20"/>
          <w:color w:val="auto"/>
        </w:rPr>
      </w:pPr>
    </w:p>
    <w:p>
      <w:pPr>
        <w:ind w:left="760" w:right="580"/>
        <w:spacing w:after="0" w:line="267" w:lineRule="auto"/>
        <w:rPr>
          <w:sz w:val="20"/>
          <w:szCs w:val="20"/>
          <w:color w:val="auto"/>
        </w:rPr>
      </w:pPr>
      <w:r>
        <w:rPr>
          <w:rFonts w:ascii="Arial" w:cs="Arial" w:eastAsia="Arial" w:hAnsi="Arial"/>
          <w:sz w:val="18"/>
          <w:szCs w:val="18"/>
          <w:color w:val="auto"/>
        </w:rPr>
        <w:t>If you have a Level Benefit Rider, then the “Covered Life Amount” will be increased by Three Hundred Dollars ($300.000) after your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first day of the month after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If your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falls on the first day of a month, the increase will start on that day.</w:t>
      </w:r>
    </w:p>
    <w:p>
      <w:pPr>
        <w:spacing w:after="0" w:line="86" w:lineRule="exact"/>
        <w:rPr>
          <w:sz w:val="20"/>
          <w:szCs w:val="20"/>
          <w:color w:val="auto"/>
        </w:rPr>
      </w:pPr>
    </w:p>
    <w:p>
      <w:pPr>
        <w:ind w:left="760" w:right="60"/>
        <w:spacing w:after="0" w:line="263" w:lineRule="auto"/>
        <w:rPr>
          <w:sz w:val="20"/>
          <w:szCs w:val="20"/>
          <w:color w:val="auto"/>
        </w:rPr>
      </w:pPr>
      <w:r>
        <w:rPr>
          <w:rFonts w:ascii="Arial" w:cs="Arial" w:eastAsia="Arial" w:hAnsi="Arial"/>
          <w:sz w:val="19"/>
          <w:szCs w:val="19"/>
          <w:color w:val="auto"/>
        </w:rPr>
        <w:t>If a portion of your Pre 62+1 Covered Life Amount is attributable to “Disability Temporary Benefits”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20"/>
          </w:cols>
          <w:pgMar w:left="1440" w:top="798" w:right="239" w:bottom="1440" w:gutter="0" w:footer="0" w:header="0"/>
        </w:sectPr>
      </w:pPr>
    </w:p>
    <w:bookmarkStart w:id="183" w:name="page184"/>
    <w:bookmarkEnd w:id="183"/>
    <w:p>
      <w:pPr>
        <w:ind w:left="644" w:right="20"/>
        <w:spacing w:after="0" w:line="276" w:lineRule="auto"/>
        <w:rPr>
          <w:sz w:val="20"/>
          <w:szCs w:val="20"/>
          <w:color w:val="auto"/>
        </w:rPr>
      </w:pPr>
      <w:r>
        <w:rPr>
          <w:rFonts w:ascii="Arial" w:cs="Arial" w:eastAsia="Arial" w:hAnsi="Arial"/>
          <w:sz w:val="18"/>
          <w:szCs w:val="18"/>
          <w:color w:val="auto"/>
        </w:rPr>
        <w:t>The Annuity Exhibits may specify that there is a Contingent Life corresponding to you and that the Contingent Life is eligible for a Level Benefit Rider. If so, after you die, we may owe additional monthly payments. We will owe additional monthly payments if and when two conditions are met. The Contingent Life must be alive when you die. The Contingent Life must be older than sixty-five (65) years. If such conditions are met we will pay the first payment on the first day of the month following your death. Later monthly payments will be made on the first day of each month. We will pay the last payment on the first day of the month in which such Contingent Life dies. The amount of the payments will equal the $300.00.</w:t>
      </w:r>
    </w:p>
    <w:p>
      <w:pPr>
        <w:spacing w:after="0" w:line="165" w:lineRule="exact"/>
        <w:rPr>
          <w:sz w:val="20"/>
          <w:szCs w:val="20"/>
          <w:color w:val="auto"/>
        </w:rPr>
      </w:pPr>
    </w:p>
    <w:p>
      <w:pPr>
        <w:ind w:left="4" w:right="100" w:hanging="4"/>
        <w:spacing w:after="0" w:line="282" w:lineRule="auto"/>
        <w:tabs>
          <w:tab w:leader="none" w:pos="2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Spousal Joint and Survivor Life Annuity with or without a Special Benefit Rider, and/or a Level Benefit Rider and/or a Pop-Up</w:t>
      </w:r>
      <w:r>
        <w:rPr>
          <w:rFonts w:ascii="Arial" w:cs="Arial" w:eastAsia="Arial" w:hAnsi="Arial"/>
          <w:sz w:val="18"/>
          <w:szCs w:val="18"/>
          <w:color w:val="auto"/>
        </w:rPr>
        <w:t xml:space="preserve"> </w:t>
      </w:r>
      <w:r>
        <w:rPr>
          <w:rFonts w:ascii="Arial" w:cs="Arial" w:eastAsia="Arial" w:hAnsi="Arial"/>
          <w:sz w:val="18"/>
          <w:szCs w:val="18"/>
          <w:u w:val="single" w:color="auto"/>
          <w:color w:val="auto"/>
        </w:rPr>
        <w:t>Rider and/or a Refund Death Benefit Rider</w:t>
      </w:r>
      <w:r>
        <w:rPr>
          <w:rFonts w:ascii="Arial" w:cs="Arial" w:eastAsia="Arial" w:hAnsi="Arial"/>
          <w:sz w:val="18"/>
          <w:szCs w:val="18"/>
          <w:color w:val="auto"/>
        </w:rPr>
        <w:t>” means the following for each Covered Life identified in the Annuity Exhibits as receiving a distribution of a “Spousal - J&amp;S” Annuity Form with or without a “Special Benefit Rider,” and/or a “Level Benefit Rider,” and/or a “Pop-Up” Rider and/or a “Refund Death Benefit Rider,” respectively. “You” and “your” refers to each such Covered Life:</w:t>
      </w:r>
    </w:p>
    <w:p>
      <w:pPr>
        <w:spacing w:after="0" w:line="16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39" w:lineRule="exact"/>
        <w:rPr>
          <w:sz w:val="20"/>
          <w:szCs w:val="20"/>
          <w:color w:val="auto"/>
        </w:rPr>
      </w:pPr>
    </w:p>
    <w:p>
      <w:pPr>
        <w:ind w:left="644"/>
        <w:spacing w:after="0" w:line="244" w:lineRule="auto"/>
        <w:rPr>
          <w:sz w:val="20"/>
          <w:szCs w:val="20"/>
          <w:color w:val="auto"/>
        </w:rPr>
      </w:pPr>
      <w:r>
        <w:rPr>
          <w:rFonts w:ascii="Arial" w:cs="Arial" w:eastAsia="Arial" w:hAnsi="Arial"/>
          <w:sz w:val="20"/>
          <w:szCs w:val="20"/>
          <w:color w:val="auto"/>
        </w:rPr>
        <w:t>If the Annuity Exhibits specify that you have a Conversion Option to cancel this Annuity Form,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95" w:lineRule="exact"/>
        <w:rPr>
          <w:sz w:val="20"/>
          <w:szCs w:val="20"/>
          <w:color w:val="auto"/>
        </w:rPr>
      </w:pPr>
    </w:p>
    <w:p>
      <w:pPr>
        <w:ind w:left="644" w:right="240"/>
        <w:spacing w:after="0" w:line="250" w:lineRule="auto"/>
        <w:rPr>
          <w:sz w:val="20"/>
          <w:szCs w:val="20"/>
          <w:color w:val="auto"/>
        </w:rPr>
      </w:pPr>
      <w:r>
        <w:rPr>
          <w:rFonts w:ascii="Arial" w:cs="Arial" w:eastAsia="Arial" w:hAnsi="Arial"/>
          <w:sz w:val="20"/>
          <w:szCs w:val="20"/>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186" w:lineRule="exact"/>
        <w:rPr>
          <w:sz w:val="20"/>
          <w:szCs w:val="20"/>
          <w:color w:val="auto"/>
        </w:rPr>
      </w:pPr>
    </w:p>
    <w:p>
      <w:pPr>
        <w:ind w:left="644"/>
        <w:spacing w:after="0" w:line="244" w:lineRule="auto"/>
        <w:rPr>
          <w:sz w:val="20"/>
          <w:szCs w:val="20"/>
          <w:color w:val="auto"/>
        </w:rPr>
      </w:pPr>
      <w:r>
        <w:rPr>
          <w:rFonts w:ascii="Arial" w:cs="Arial" w:eastAsia="Arial" w:hAnsi="Arial"/>
          <w:sz w:val="20"/>
          <w:szCs w:val="20"/>
          <w:color w:val="auto"/>
        </w:rPr>
        <w:t>After you die, we may owe additional monthly payments. We will owe additional monthly payments if your Contingent Life (as specified in the Annuity Exhibits) is your spouse and is alive when you die. We will pay the first payment on the first day of the month following your death. We will pay subsequent monthly on the first day of each month. We will pay the last payment on the first day of the month in which such Contingent Life dies. The amount of the payments will equal the Contingent Life Amount.</w:t>
      </w:r>
    </w:p>
    <w:p>
      <w:pPr>
        <w:spacing w:after="0" w:line="195" w:lineRule="exact"/>
        <w:rPr>
          <w:sz w:val="20"/>
          <w:szCs w:val="20"/>
          <w:color w:val="auto"/>
        </w:rPr>
      </w:pPr>
    </w:p>
    <w:p>
      <w:pPr>
        <w:ind w:left="644" w:right="4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186" w:lineRule="exact"/>
        <w:rPr>
          <w:sz w:val="20"/>
          <w:szCs w:val="20"/>
          <w:color w:val="auto"/>
        </w:rPr>
      </w:pPr>
    </w:p>
    <w:p>
      <w:pPr>
        <w:ind w:left="644" w:right="140"/>
        <w:spacing w:after="0" w:line="246" w:lineRule="auto"/>
        <w:rPr>
          <w:sz w:val="20"/>
          <w:szCs w:val="20"/>
          <w:color w:val="auto"/>
        </w:rPr>
      </w:pPr>
      <w:r>
        <w:rPr>
          <w:rFonts w:ascii="Arial" w:cs="Arial" w:eastAsia="Arial" w:hAnsi="Arial"/>
          <w:sz w:val="20"/>
          <w:szCs w:val="20"/>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192" w:lineRule="exact"/>
        <w:rPr>
          <w:sz w:val="20"/>
          <w:szCs w:val="20"/>
          <w:color w:val="auto"/>
        </w:rPr>
      </w:pPr>
    </w:p>
    <w:p>
      <w:pPr>
        <w:ind w:left="644" w:right="520"/>
        <w:spacing w:after="0" w:line="260" w:lineRule="auto"/>
        <w:rPr>
          <w:sz w:val="20"/>
          <w:szCs w:val="20"/>
          <w:color w:val="auto"/>
        </w:rPr>
      </w:pPr>
      <w:r>
        <w:rPr>
          <w:rFonts w:ascii="Arial" w:cs="Arial" w:eastAsia="Arial" w:hAnsi="Arial"/>
          <w:sz w:val="20"/>
          <w:szCs w:val="20"/>
          <w:color w:val="auto"/>
        </w:rPr>
        <w:t>For a Spousal Joint and Survivor Life Annuity, the following amounts, names, or values are also specified in the Annuity Exhibits:</w:t>
      </w:r>
    </w:p>
    <w:p>
      <w:pPr>
        <w:spacing w:after="0" w:line="177" w:lineRule="exact"/>
        <w:rPr>
          <w:sz w:val="20"/>
          <w:szCs w:val="20"/>
          <w:color w:val="auto"/>
        </w:rPr>
      </w:pPr>
    </w:p>
    <w:p>
      <w:pPr>
        <w:ind w:left="1944" w:right="140" w:hanging="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equals an amount that depends on whether you are younger or older than sixty-two years and one month (“</w:t>
      </w:r>
      <w:r>
        <w:rPr>
          <w:rFonts w:ascii="Arial" w:cs="Arial" w:eastAsia="Arial" w:hAnsi="Arial"/>
          <w:sz w:val="20"/>
          <w:szCs w:val="20"/>
          <w:u w:val="single" w:color="auto"/>
          <w:color w:val="auto"/>
        </w:rPr>
        <w:t>62 + 1</w:t>
      </w:r>
      <w:r>
        <w:rPr>
          <w:rFonts w:ascii="Arial" w:cs="Arial" w:eastAsia="Arial" w:hAnsi="Arial"/>
          <w:sz w:val="20"/>
          <w:szCs w:val="20"/>
          <w:color w:val="auto"/>
        </w:rPr>
        <w:t>”).</w:t>
      </w:r>
    </w:p>
    <w:p>
      <w:pPr>
        <w:spacing w:after="0" w:line="20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64"/>
          </w:cols>
          <w:pgMar w:left="896" w:top="798" w:right="239" w:bottom="1440" w:gutter="0" w:footer="0" w:header="0"/>
        </w:sectPr>
      </w:pPr>
    </w:p>
    <w:bookmarkStart w:id="184" w:name="page185"/>
    <w:bookmarkEnd w:id="184"/>
    <w:p>
      <w:pPr>
        <w:ind w:left="1400" w:right="180"/>
        <w:spacing w:after="0" w:line="260" w:lineRule="auto"/>
        <w:rPr>
          <w:sz w:val="20"/>
          <w:szCs w:val="20"/>
          <w:color w:val="auto"/>
        </w:rPr>
      </w:pPr>
      <w:r>
        <w:rPr>
          <w:rFonts w:ascii="Arial" w:cs="Arial" w:eastAsia="Arial" w:hAnsi="Arial"/>
          <w:sz w:val="20"/>
          <w:szCs w:val="20"/>
          <w:color w:val="auto"/>
        </w:rPr>
        <w:t>If you are younger than 62+1, the Covered Life Amount equals the “Pre-62+1 Pension Amount” specified in the Annuity Exhibit for such Covered Life.</w:t>
      </w:r>
    </w:p>
    <w:p>
      <w:pPr>
        <w:spacing w:after="0" w:line="177" w:lineRule="exact"/>
        <w:rPr>
          <w:sz w:val="20"/>
          <w:szCs w:val="20"/>
          <w:color w:val="auto"/>
        </w:rPr>
      </w:pPr>
    </w:p>
    <w:p>
      <w:pPr>
        <w:ind w:left="1400" w:right="40"/>
        <w:spacing w:after="0" w:line="260" w:lineRule="auto"/>
        <w:rPr>
          <w:sz w:val="20"/>
          <w:szCs w:val="20"/>
          <w:color w:val="auto"/>
        </w:rPr>
      </w:pPr>
      <w:r>
        <w:rPr>
          <w:rFonts w:ascii="Arial" w:cs="Arial" w:eastAsia="Arial" w:hAnsi="Arial"/>
          <w:sz w:val="20"/>
          <w:szCs w:val="20"/>
          <w:color w:val="auto"/>
        </w:rPr>
        <w:t>If you are older than 62+1, the Covered Life Amount equals the “Post-62+1 Pension Amount” specified in the Annuity Exhibit for such Covered Life.</w:t>
      </w:r>
    </w:p>
    <w:p>
      <w:pPr>
        <w:spacing w:after="0" w:line="177" w:lineRule="exact"/>
        <w:rPr>
          <w:sz w:val="20"/>
          <w:szCs w:val="20"/>
          <w:color w:val="auto"/>
        </w:rPr>
      </w:pPr>
    </w:p>
    <w:p>
      <w:pPr>
        <w:ind w:left="1400" w:right="160"/>
        <w:spacing w:after="0" w:line="246" w:lineRule="auto"/>
        <w:rPr>
          <w:sz w:val="20"/>
          <w:szCs w:val="20"/>
          <w:color w:val="auto"/>
        </w:rPr>
      </w:pPr>
      <w:r>
        <w:rPr>
          <w:rFonts w:ascii="Arial" w:cs="Arial" w:eastAsia="Arial" w:hAnsi="Arial"/>
          <w:sz w:val="19"/>
          <w:szCs w:val="19"/>
          <w:color w:val="auto"/>
        </w:rPr>
        <w:t>If you have a Special Benefit Rider, then the “Covered Life Amount” will be increased after your sixty-fifth (65</w:t>
      </w:r>
      <w:r>
        <w:rPr>
          <w:rFonts w:ascii="Arial" w:cs="Arial" w:eastAsia="Arial" w:hAnsi="Arial"/>
          <w:sz w:val="24"/>
          <w:szCs w:val="24"/>
          <w:color w:val="auto"/>
          <w:vertAlign w:val="superscript"/>
        </w:rPr>
        <w:t>th</w:t>
      </w:r>
      <w:r>
        <w:rPr>
          <w:rFonts w:ascii="Arial" w:cs="Arial" w:eastAsia="Arial" w:hAnsi="Arial"/>
          <w:sz w:val="19"/>
          <w:szCs w:val="19"/>
          <w:color w:val="auto"/>
        </w:rPr>
        <w:t>) birthday. The increase will start on first day of the month after your 65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birthday. If your 65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birthday falls on the first day of a month, the increase will start on that day. The amount of the increase will be the amount specified as the “Special Benefit” in the Annuity Exhibits. During your lifetime, we do not owe your Contingent Life any benefits under the Special Benefit Rider. If your Contingent Life has a Special Benefit rider, we only owe the related payments after you die.</w:t>
      </w:r>
    </w:p>
    <w:p>
      <w:pPr>
        <w:spacing w:after="0" w:line="191" w:lineRule="exact"/>
        <w:rPr>
          <w:sz w:val="20"/>
          <w:szCs w:val="20"/>
          <w:color w:val="auto"/>
        </w:rPr>
      </w:pPr>
    </w:p>
    <w:p>
      <w:pPr>
        <w:ind w:left="1400" w:right="100"/>
        <w:spacing w:after="0" w:line="232" w:lineRule="auto"/>
        <w:rPr>
          <w:sz w:val="20"/>
          <w:szCs w:val="20"/>
          <w:color w:val="auto"/>
        </w:rPr>
      </w:pPr>
      <w:r>
        <w:rPr>
          <w:rFonts w:ascii="Arial" w:cs="Arial" w:eastAsia="Arial" w:hAnsi="Arial"/>
          <w:sz w:val="19"/>
          <w:szCs w:val="19"/>
          <w:color w:val="auto"/>
        </w:rPr>
        <w:t>If you have a Level Benefit Rider, then the “Covered Life Amount” will be increased by Three Hundred Dollars ($300.000) after your sixty-fifth (65</w:t>
      </w:r>
      <w:r>
        <w:rPr>
          <w:rFonts w:ascii="Arial" w:cs="Arial" w:eastAsia="Arial" w:hAnsi="Arial"/>
          <w:sz w:val="24"/>
          <w:szCs w:val="24"/>
          <w:color w:val="auto"/>
          <w:vertAlign w:val="superscript"/>
        </w:rPr>
        <w:t>th</w:t>
      </w:r>
      <w:r>
        <w:rPr>
          <w:rFonts w:ascii="Arial" w:cs="Arial" w:eastAsia="Arial" w:hAnsi="Arial"/>
          <w:sz w:val="19"/>
          <w:szCs w:val="19"/>
          <w:color w:val="auto"/>
        </w:rPr>
        <w:t>) birthday. The increase will start on first day of the month after your 65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birthday. If your 65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birthday falls on the first day of a month, the increase will start on that day. During your lifetime, we do not owe your Contingent Life any benefits under the Level Benefit Rider. If your Contingent Life has a Level Benefit rider, we only owe the related payments after you die.</w:t>
      </w:r>
    </w:p>
    <w:p>
      <w:pPr>
        <w:spacing w:after="0" w:line="197" w:lineRule="exact"/>
        <w:rPr>
          <w:sz w:val="20"/>
          <w:szCs w:val="20"/>
          <w:color w:val="auto"/>
        </w:rPr>
      </w:pPr>
    </w:p>
    <w:p>
      <w:pPr>
        <w:ind w:left="1400"/>
        <w:spacing w:after="0" w:line="242" w:lineRule="auto"/>
        <w:rPr>
          <w:sz w:val="20"/>
          <w:szCs w:val="20"/>
          <w:color w:val="auto"/>
        </w:rPr>
      </w:pPr>
      <w:r>
        <w:rPr>
          <w:rFonts w:ascii="Arial" w:cs="Arial" w:eastAsia="Arial" w:hAnsi="Arial"/>
          <w:sz w:val="20"/>
          <w:szCs w:val="20"/>
          <w:color w:val="auto"/>
        </w:rPr>
        <w:t>If you have a Pop-Up Rider, and if your Contingent Life dies after the Annuity Commencement Date and before you die, then we will increase the “Covered Life Amount.” You must first provide us acceptable evidence that such Contingent Life died. We will pay the increase starting in the month following the month of your Contingent Life's death. The amount of the increase will equal the Pop-Up Amount specified for you in the Annuity Exhibits. If the Annuity Exhibits misstate the age of your Contingent Life, then we will re-calculate the Pop-Up Amount. The corrected Pop-Up Amount will equal the Part A Basic Amount specified for such person in the Annuity Exhibits multiplied by the Spousal Joint and Survivor Life Annuity Pop-Up Increase Factor.</w:t>
      </w:r>
    </w:p>
    <w:p>
      <w:pPr>
        <w:spacing w:after="0" w:line="198" w:lineRule="exact"/>
        <w:rPr>
          <w:sz w:val="20"/>
          <w:szCs w:val="20"/>
          <w:color w:val="auto"/>
        </w:rPr>
      </w:pPr>
    </w:p>
    <w:p>
      <w:pPr>
        <w:ind w:left="1400" w:right="20"/>
        <w:spacing w:after="0" w:line="244" w:lineRule="auto"/>
        <w:rPr>
          <w:sz w:val="20"/>
          <w:szCs w:val="20"/>
          <w:color w:val="auto"/>
        </w:rPr>
      </w:pPr>
      <w:r>
        <w:rPr>
          <w:rFonts w:ascii="Arial" w:cs="Arial" w:eastAsia="Arial" w:hAnsi="Arial"/>
          <w:sz w:val="20"/>
          <w:szCs w:val="20"/>
          <w:color w:val="auto"/>
        </w:rPr>
        <w:t>If a portion of your Pre 62+1 Covered Life Amount is attributable to a “Disability Temporary Amount”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195" w:lineRule="exact"/>
        <w:rPr>
          <w:sz w:val="20"/>
          <w:szCs w:val="20"/>
          <w:color w:val="auto"/>
        </w:rPr>
      </w:pPr>
    </w:p>
    <w:p>
      <w:pPr>
        <w:ind w:left="1400" w:right="300" w:hanging="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Life Amount</w:t>
      </w:r>
      <w:r>
        <w:rPr>
          <w:rFonts w:ascii="Arial" w:cs="Arial" w:eastAsia="Arial" w:hAnsi="Arial"/>
          <w:sz w:val="20"/>
          <w:szCs w:val="20"/>
          <w:color w:val="auto"/>
        </w:rPr>
        <w:t>” means an amount that is specified in the Annuity Exhibits for your Annuity Form as the “Contingent Life Amount.”</w:t>
      </w:r>
    </w:p>
    <w:p>
      <w:pPr>
        <w:spacing w:after="0" w:line="177" w:lineRule="exact"/>
        <w:rPr>
          <w:sz w:val="20"/>
          <w:szCs w:val="20"/>
          <w:color w:val="auto"/>
        </w:rPr>
      </w:pPr>
    </w:p>
    <w:p>
      <w:pPr>
        <w:ind w:left="1400" w:right="40"/>
        <w:spacing w:after="0" w:line="239" w:lineRule="auto"/>
        <w:rPr>
          <w:sz w:val="20"/>
          <w:szCs w:val="20"/>
          <w:color w:val="auto"/>
        </w:rPr>
      </w:pPr>
      <w:r>
        <w:rPr>
          <w:rFonts w:ascii="Arial" w:cs="Arial" w:eastAsia="Arial" w:hAnsi="Arial"/>
          <w:sz w:val="18"/>
          <w:szCs w:val="18"/>
          <w:color w:val="auto"/>
        </w:rPr>
        <w:t>If your Contingent Life has a Special Benefit Rider, then the “Contingent Life Amount” will be increased for payments owed after his or her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first day of the month after such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If such birthday falls on the first day of a month, the increase will start on that day. The amount of the increase will be the amount specified as the “Special Benefit” in the Annuity Exhibits.</w:t>
      </w:r>
    </w:p>
    <w:p>
      <w:pPr>
        <w:spacing w:after="0" w:line="209" w:lineRule="exact"/>
        <w:rPr>
          <w:sz w:val="20"/>
          <w:szCs w:val="20"/>
          <w:color w:val="auto"/>
        </w:rPr>
      </w:pPr>
    </w:p>
    <w:p>
      <w:pPr>
        <w:ind w:left="1400" w:right="320"/>
        <w:spacing w:after="0" w:line="260" w:lineRule="auto"/>
        <w:rPr>
          <w:sz w:val="20"/>
          <w:szCs w:val="20"/>
          <w:color w:val="auto"/>
        </w:rPr>
      </w:pPr>
      <w:r>
        <w:rPr>
          <w:rFonts w:ascii="Arial" w:cs="Arial" w:eastAsia="Arial" w:hAnsi="Arial"/>
          <w:sz w:val="20"/>
          <w:szCs w:val="20"/>
          <w:color w:val="auto"/>
        </w:rPr>
        <w:t>If your Contingent Life has a Level Benefit Rider, then the “Contingent Life Amount” will be increased by Three Hundred Dollars ($300.000) for payments</w:t>
      </w: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180"/>
          </w:cols>
          <w:pgMar w:left="1440" w:top="798" w:right="279" w:bottom="1440" w:gutter="0" w:footer="0" w:header="0"/>
        </w:sectPr>
      </w:pPr>
    </w:p>
    <w:bookmarkStart w:id="185" w:name="page186"/>
    <w:bookmarkEnd w:id="185"/>
    <w:p>
      <w:pPr>
        <w:ind w:left="1944" w:right="140"/>
        <w:spacing w:after="0" w:line="208" w:lineRule="auto"/>
        <w:rPr>
          <w:sz w:val="20"/>
          <w:szCs w:val="20"/>
          <w:color w:val="auto"/>
        </w:rPr>
      </w:pPr>
      <w:r>
        <w:rPr>
          <w:rFonts w:ascii="Arial" w:cs="Arial" w:eastAsia="Arial" w:hAnsi="Arial"/>
          <w:sz w:val="19"/>
          <w:szCs w:val="19"/>
          <w:color w:val="auto"/>
        </w:rPr>
        <w:t>owed after his or her sixty-fifth (65</w:t>
      </w:r>
      <w:r>
        <w:rPr>
          <w:rFonts w:ascii="Arial" w:cs="Arial" w:eastAsia="Arial" w:hAnsi="Arial"/>
          <w:sz w:val="24"/>
          <w:szCs w:val="24"/>
          <w:color w:val="auto"/>
          <w:vertAlign w:val="superscript"/>
        </w:rPr>
        <w:t>th</w:t>
      </w:r>
      <w:r>
        <w:rPr>
          <w:rFonts w:ascii="Arial" w:cs="Arial" w:eastAsia="Arial" w:hAnsi="Arial"/>
          <w:sz w:val="19"/>
          <w:szCs w:val="19"/>
          <w:color w:val="auto"/>
        </w:rPr>
        <w:t>) birthday. The increase will start on first day of the month after such 65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birthday. If such birthday falls on the first day of a month, the increase will start on that day.</w:t>
      </w:r>
    </w:p>
    <w:p>
      <w:pPr>
        <w:spacing w:after="0" w:line="197" w:lineRule="exact"/>
        <w:rPr>
          <w:sz w:val="20"/>
          <w:szCs w:val="20"/>
          <w:color w:val="auto"/>
        </w:rPr>
      </w:pPr>
    </w:p>
    <w:p>
      <w:pPr>
        <w:ind w:left="4" w:right="620" w:hanging="4"/>
        <w:spacing w:after="0" w:line="291" w:lineRule="auto"/>
        <w:tabs>
          <w:tab w:leader="none" w:pos="33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Window Spousal 50% or 75% Joint and Survivor Life Annuity with or without a Refund Death Benefit Rider</w:t>
      </w:r>
      <w:r>
        <w:rPr>
          <w:rFonts w:ascii="Arial" w:cs="Arial" w:eastAsia="Arial" w:hAnsi="Arial"/>
          <w:sz w:val="18"/>
          <w:szCs w:val="18"/>
          <w:color w:val="auto"/>
        </w:rPr>
        <w:t>” means the following for each Covered Life identified in the Annuity Exhibits as receiving a distribution of a “Window Spousal Joint 50/75 Annuity” Annuity Form with or without a “Refund Death Benefit Rider.”. “You” and “your” refers to each such Covered Life:</w:t>
      </w:r>
    </w:p>
    <w:p>
      <w:pPr>
        <w:spacing w:after="0" w:line="15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39" w:lineRule="exact"/>
        <w:rPr>
          <w:sz w:val="20"/>
          <w:szCs w:val="20"/>
          <w:color w:val="auto"/>
        </w:rPr>
      </w:pPr>
    </w:p>
    <w:p>
      <w:pPr>
        <w:ind w:left="644" w:right="240"/>
        <w:spacing w:after="0" w:line="250" w:lineRule="auto"/>
        <w:rPr>
          <w:sz w:val="20"/>
          <w:szCs w:val="20"/>
          <w:color w:val="auto"/>
        </w:rPr>
      </w:pPr>
      <w:r>
        <w:rPr>
          <w:rFonts w:ascii="Arial" w:cs="Arial" w:eastAsia="Arial" w:hAnsi="Arial"/>
          <w:sz w:val="20"/>
          <w:szCs w:val="20"/>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186" w:lineRule="exact"/>
        <w:rPr>
          <w:sz w:val="20"/>
          <w:szCs w:val="20"/>
          <w:color w:val="auto"/>
        </w:rPr>
      </w:pPr>
    </w:p>
    <w:p>
      <w:pPr>
        <w:ind w:left="644"/>
        <w:spacing w:after="0" w:line="244" w:lineRule="auto"/>
        <w:rPr>
          <w:sz w:val="20"/>
          <w:szCs w:val="20"/>
          <w:color w:val="auto"/>
        </w:rPr>
      </w:pPr>
      <w:r>
        <w:rPr>
          <w:rFonts w:ascii="Arial" w:cs="Arial" w:eastAsia="Arial" w:hAnsi="Arial"/>
          <w:sz w:val="20"/>
          <w:szCs w:val="20"/>
          <w:color w:val="auto"/>
        </w:rPr>
        <w:t>After you die, we may owe additional monthly payments. We will owe additional monthly payments if your Contingent Life (as specified in the Annuity Exhibits) is your spouse and is alive when you die. We will pay the first payment on the first day of the month following your death. We will pay subsequent monthly on the first day of each month. We will pay the last payment on the first day of the month in which such Contingent Life dies. The amount of the payments will equal the Contingent Life Amount.</w:t>
      </w:r>
    </w:p>
    <w:p>
      <w:pPr>
        <w:spacing w:after="0" w:line="195" w:lineRule="exact"/>
        <w:rPr>
          <w:sz w:val="20"/>
          <w:szCs w:val="20"/>
          <w:color w:val="auto"/>
        </w:rPr>
      </w:pPr>
    </w:p>
    <w:p>
      <w:pPr>
        <w:ind w:left="644" w:right="4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186" w:lineRule="exact"/>
        <w:rPr>
          <w:sz w:val="20"/>
          <w:szCs w:val="20"/>
          <w:color w:val="auto"/>
        </w:rPr>
      </w:pPr>
    </w:p>
    <w:p>
      <w:pPr>
        <w:ind w:left="644" w:right="140"/>
        <w:spacing w:after="0" w:line="246" w:lineRule="auto"/>
        <w:rPr>
          <w:sz w:val="20"/>
          <w:szCs w:val="20"/>
          <w:color w:val="auto"/>
        </w:rPr>
      </w:pPr>
      <w:r>
        <w:rPr>
          <w:rFonts w:ascii="Arial" w:cs="Arial" w:eastAsia="Arial" w:hAnsi="Arial"/>
          <w:sz w:val="20"/>
          <w:szCs w:val="20"/>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192" w:lineRule="exact"/>
        <w:rPr>
          <w:sz w:val="20"/>
          <w:szCs w:val="20"/>
          <w:color w:val="auto"/>
        </w:rPr>
      </w:pPr>
    </w:p>
    <w:p>
      <w:pPr>
        <w:ind w:left="64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77" w:lineRule="exact"/>
        <w:rPr>
          <w:sz w:val="20"/>
          <w:szCs w:val="20"/>
          <w:color w:val="auto"/>
        </w:rPr>
      </w:pPr>
    </w:p>
    <w:p>
      <w:pPr>
        <w:ind w:left="644" w:right="98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Life Amount</w:t>
      </w:r>
      <w:r>
        <w:rPr>
          <w:rFonts w:ascii="Arial" w:cs="Arial" w:eastAsia="Arial" w:hAnsi="Arial"/>
          <w:sz w:val="20"/>
          <w:szCs w:val="20"/>
          <w:color w:val="auto"/>
        </w:rPr>
        <w:t>” means an amount that is specified in the Annuity Exhibits for your Annuity Form as the “Contingent Life Amount.”</w:t>
      </w:r>
    </w:p>
    <w:p>
      <w:pPr>
        <w:spacing w:after="0" w:line="177" w:lineRule="exact"/>
        <w:rPr>
          <w:sz w:val="20"/>
          <w:szCs w:val="20"/>
          <w:color w:val="auto"/>
        </w:rPr>
      </w:pPr>
    </w:p>
    <w:p>
      <w:pPr>
        <w:ind w:left="4" w:right="540" w:hanging="4"/>
        <w:spacing w:after="0" w:line="250" w:lineRule="auto"/>
        <w:tabs>
          <w:tab w:leader="none" w:pos="394" w:val="left"/>
        </w:tabs>
        <w:numPr>
          <w:ilvl w:val="0"/>
          <w:numId w:val="1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Window Single Life Annuity with or without a Refund Death Benefit Rider</w:t>
      </w:r>
      <w:r>
        <w:rPr>
          <w:rFonts w:ascii="Arial" w:cs="Arial" w:eastAsia="Arial" w:hAnsi="Arial"/>
          <w:sz w:val="20"/>
          <w:szCs w:val="20"/>
          <w:color w:val="auto"/>
        </w:rPr>
        <w:t>” means the following for each Covered Life identified in the Annuity Exhibits as receiving a distribution of a “Window Single Life Annuity” Annuity Form with or without a “Refund Death Benefit Rider”. “You” and “your” refers to each such Covered Life:</w:t>
      </w:r>
    </w:p>
    <w:p>
      <w:pPr>
        <w:spacing w:after="0" w:line="186"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39" w:lineRule="exact"/>
        <w:rPr>
          <w:sz w:val="20"/>
          <w:szCs w:val="20"/>
          <w:color w:val="auto"/>
        </w:rPr>
      </w:pPr>
    </w:p>
    <w:p>
      <w:pPr>
        <w:ind w:left="644" w:right="240"/>
        <w:spacing w:after="0" w:line="250" w:lineRule="auto"/>
        <w:rPr>
          <w:sz w:val="20"/>
          <w:szCs w:val="20"/>
          <w:color w:val="auto"/>
        </w:rPr>
      </w:pPr>
      <w:r>
        <w:rPr>
          <w:rFonts w:ascii="Arial" w:cs="Arial" w:eastAsia="Arial" w:hAnsi="Arial"/>
          <w:sz w:val="20"/>
          <w:szCs w:val="20"/>
          <w:color w:val="auto"/>
        </w:rPr>
        <w:t>During your lifetime, we will make monthly payments to you equal to your Covered Life Amount. We owe the first monthly payment on the Annuity Commencement Date. We will pay subsequent monthly on the first day of each month. Our last monthly payment to you will be on the first day of the month in which you die.</w:t>
      </w:r>
    </w:p>
    <w:p>
      <w:pPr>
        <w:spacing w:after="0" w:line="200" w:lineRule="exact"/>
        <w:rPr>
          <w:sz w:val="20"/>
          <w:szCs w:val="20"/>
          <w:color w:val="auto"/>
        </w:rPr>
      </w:pPr>
    </w:p>
    <w:p>
      <w:pPr>
        <w:spacing w:after="0" w:line="23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4"/>
          </w:cols>
          <w:pgMar w:left="896" w:top="582" w:right="239" w:bottom="1440" w:gutter="0" w:footer="0" w:header="0"/>
        </w:sectPr>
      </w:pPr>
    </w:p>
    <w:bookmarkStart w:id="186" w:name="page187"/>
    <w:bookmarkEnd w:id="186"/>
    <w:p>
      <w:pPr>
        <w:jc w:val="both"/>
        <w:ind w:left="130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you die, we will determine if we owe such payment. The following explains how we will determine if a payment is owed by us under this rider.</w:t>
      </w:r>
    </w:p>
    <w:p>
      <w:pPr>
        <w:spacing w:after="0" w:line="186" w:lineRule="exact"/>
        <w:rPr>
          <w:sz w:val="20"/>
          <w:szCs w:val="20"/>
          <w:color w:val="auto"/>
        </w:rPr>
      </w:pPr>
    </w:p>
    <w:p>
      <w:pPr>
        <w:ind w:left="1300" w:right="140"/>
        <w:spacing w:after="0" w:line="246" w:lineRule="auto"/>
        <w:rPr>
          <w:sz w:val="20"/>
          <w:szCs w:val="20"/>
          <w:color w:val="auto"/>
        </w:rPr>
      </w:pPr>
      <w:r>
        <w:rPr>
          <w:rFonts w:ascii="Arial" w:cs="Arial" w:eastAsia="Arial" w:hAnsi="Arial"/>
          <w:sz w:val="20"/>
          <w:szCs w:val="20"/>
          <w:color w:val="auto"/>
        </w:rPr>
        <w:t>The amount of the Refund Death Benefit, if any, will equal the Maximum Refund Death Benefit (as specified in the Annuity Exhibits) less the Pre 1985 Part B Primary Amounts and the Post 1985 Part B Primary Amounts (as specified in the Annuity Exhibits) paid by us after the Annuity Commencement Date to you, to your Contingent Life (or to any related alternate payee, arising, for example, from a domestic relations order).</w:t>
      </w:r>
    </w:p>
    <w:p>
      <w:pPr>
        <w:spacing w:after="0" w:line="192" w:lineRule="exact"/>
        <w:rPr>
          <w:sz w:val="20"/>
          <w:szCs w:val="20"/>
          <w:color w:val="auto"/>
        </w:rPr>
      </w:pPr>
    </w:p>
    <w:p>
      <w:pPr>
        <w:ind w:left="1960" w:right="5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2.4</w:t>
      </w:r>
      <w:r>
        <w:rPr>
          <w:sz w:val="20"/>
          <w:szCs w:val="20"/>
          <w:color w:val="auto"/>
        </w:rPr>
        <w:tab/>
      </w:r>
      <w:r>
        <w:rPr>
          <w:rFonts w:ascii="Arial" w:cs="Arial" w:eastAsia="Arial" w:hAnsi="Arial"/>
          <w:sz w:val="18"/>
          <w:szCs w:val="18"/>
          <w:u w:val="single" w:color="auto"/>
          <w:color w:val="auto"/>
        </w:rPr>
        <w:t>Limitation on Assignment</w:t>
      </w:r>
    </w:p>
    <w:p>
      <w:pPr>
        <w:spacing w:after="0" w:line="216" w:lineRule="exact"/>
        <w:rPr>
          <w:sz w:val="20"/>
          <w:szCs w:val="20"/>
          <w:color w:val="auto"/>
        </w:rPr>
      </w:pPr>
    </w:p>
    <w:p>
      <w:pPr>
        <w:ind w:left="660" w:right="140"/>
        <w:spacing w:after="0" w:line="243" w:lineRule="auto"/>
        <w:rPr>
          <w:sz w:val="20"/>
          <w:szCs w:val="20"/>
          <w:color w:val="auto"/>
        </w:rPr>
      </w:pPr>
      <w:r>
        <w:rPr>
          <w:rFonts w:ascii="Arial" w:cs="Arial" w:eastAsia="Arial" w:hAnsi="Arial"/>
          <w:sz w:val="20"/>
          <w:szCs w:val="20"/>
          <w:color w:val="auto"/>
        </w:rPr>
        <w:t>Except as expressly provided in this Provision II, no Covered Life, Contingent Life or Beneficiary may (i) assign, pledge or otherwise transfer his or her rights hereunder, or (ii) enter into a transaction in which one or more Annuity Payments are anticipated or accelerated, or (iii) use a Representative to effectuate any transaction described in clause (i) or (ii). Any attempt to enter into any transaction described in clauses (i) through (iii) shall be void at the outset of such attempt. Also, to the maximum extent permitted by law, no Annuity Payment is subject to the claims of a creditor. For the avoidance of doubt, compliance with the terms of a domestic relations order meeting the requirement of this Provision II will not be considered to be an impermissible transaction or claim hereunder.</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2.5</w:t>
      </w:r>
      <w:r>
        <w:rPr>
          <w:sz w:val="20"/>
          <w:szCs w:val="20"/>
          <w:color w:val="auto"/>
        </w:rPr>
        <w:tab/>
      </w:r>
      <w:r>
        <w:rPr>
          <w:rFonts w:ascii="Arial" w:cs="Arial" w:eastAsia="Arial" w:hAnsi="Arial"/>
          <w:sz w:val="18"/>
          <w:szCs w:val="18"/>
          <w:u w:val="single" w:color="auto"/>
          <w:color w:val="auto"/>
        </w:rPr>
        <w:t>Proof of Continued Existence; Escheatment of Unpaid Amounts</w:t>
      </w:r>
    </w:p>
    <w:p>
      <w:pPr>
        <w:spacing w:after="0" w:line="216" w:lineRule="exact"/>
        <w:rPr>
          <w:sz w:val="20"/>
          <w:szCs w:val="20"/>
          <w:color w:val="auto"/>
        </w:rPr>
      </w:pPr>
    </w:p>
    <w:p>
      <w:pPr>
        <w:jc w:val="both"/>
        <w:ind w:left="660" w:right="220"/>
        <w:spacing w:after="0" w:line="269" w:lineRule="auto"/>
        <w:rPr>
          <w:sz w:val="20"/>
          <w:szCs w:val="20"/>
          <w:color w:val="auto"/>
        </w:rPr>
      </w:pPr>
      <w:r>
        <w:rPr>
          <w:rFonts w:ascii="Arial" w:cs="Arial" w:eastAsia="Arial" w:hAnsi="Arial"/>
          <w:sz w:val="19"/>
          <w:szCs w:val="19"/>
          <w:color w:val="auto"/>
        </w:rPr>
        <w:t>As a condition to making any Annuity Payment arising from an Annuity Form dependent upon the continued existence of a Covered Life or Contingent Life (or Beneficiary), Prudential may require the receipt of evidence satisfactory to it that such person is alive and no such payment is owed under this Contract unless and until Prudential receives such evidence.</w:t>
      </w:r>
    </w:p>
    <w:p>
      <w:pPr>
        <w:spacing w:after="0" w:line="170" w:lineRule="exact"/>
        <w:rPr>
          <w:sz w:val="20"/>
          <w:szCs w:val="20"/>
          <w:color w:val="auto"/>
        </w:rPr>
      </w:pPr>
    </w:p>
    <w:p>
      <w:pPr>
        <w:ind w:left="660" w:right="20"/>
        <w:spacing w:after="0" w:line="316" w:lineRule="auto"/>
        <w:rPr>
          <w:sz w:val="20"/>
          <w:szCs w:val="20"/>
          <w:color w:val="auto"/>
        </w:rPr>
      </w:pPr>
      <w:r>
        <w:rPr>
          <w:rFonts w:ascii="Arial" w:cs="Arial" w:eastAsia="Arial" w:hAnsi="Arial"/>
          <w:sz w:val="18"/>
          <w:szCs w:val="18"/>
          <w:color w:val="auto"/>
        </w:rPr>
        <w:t>Prudential may pay a Representative of a Covered Life, Contingent Life or Beneficiary amounts otherwise owing to such Covered Life, Contingent Life or Beneficiary upon submission of evidence satisfactory to Prudential of the authority of such Representative.</w:t>
      </w:r>
    </w:p>
    <w:p>
      <w:pPr>
        <w:spacing w:after="0" w:line="130" w:lineRule="exact"/>
        <w:rPr>
          <w:sz w:val="20"/>
          <w:szCs w:val="20"/>
          <w:color w:val="auto"/>
        </w:rPr>
      </w:pPr>
    </w:p>
    <w:p>
      <w:pPr>
        <w:ind w:left="660" w:right="60"/>
        <w:spacing w:after="0" w:line="244" w:lineRule="auto"/>
        <w:rPr>
          <w:sz w:val="20"/>
          <w:szCs w:val="20"/>
          <w:color w:val="auto"/>
        </w:rPr>
      </w:pPr>
      <w:r>
        <w:rPr>
          <w:rFonts w:ascii="Arial" w:cs="Arial" w:eastAsia="Arial" w:hAnsi="Arial"/>
          <w:sz w:val="20"/>
          <w:szCs w:val="20"/>
          <w:color w:val="auto"/>
        </w:rPr>
        <w:t>After the period of time prescribed by applicable state law, any payments under a period certain annuity form or lump sum payment owed by Prudential which has not been claimed by a Covered Life, Contingent Life or Beneficiary (or such person's Representative) may be considered abandoned or escheatable property. In such case, Prudential will follow the laws applicable to the disposition of any such payment obligations. Any payments made to the state under such circumstances will relieve Prudential of all further obligations under this Contract with respect to such amounts.</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2.6</w:t>
      </w:r>
      <w:r>
        <w:rPr>
          <w:sz w:val="20"/>
          <w:szCs w:val="20"/>
          <w:color w:val="auto"/>
        </w:rPr>
        <w:tab/>
      </w:r>
      <w:r>
        <w:rPr>
          <w:rFonts w:ascii="Arial" w:cs="Arial" w:eastAsia="Arial" w:hAnsi="Arial"/>
          <w:sz w:val="16"/>
          <w:szCs w:val="16"/>
          <w:u w:val="single" w:color="auto"/>
          <w:color w:val="auto"/>
        </w:rPr>
        <w:t>Misstatements</w:t>
      </w:r>
    </w:p>
    <w:p>
      <w:pPr>
        <w:spacing w:after="0" w:line="216" w:lineRule="exact"/>
        <w:rPr>
          <w:sz w:val="20"/>
          <w:szCs w:val="20"/>
          <w:color w:val="auto"/>
        </w:rPr>
      </w:pPr>
    </w:p>
    <w:p>
      <w:pPr>
        <w:ind w:left="660" w:right="100"/>
        <w:spacing w:after="0" w:line="263" w:lineRule="auto"/>
        <w:rPr>
          <w:sz w:val="20"/>
          <w:szCs w:val="20"/>
          <w:color w:val="auto"/>
        </w:rPr>
      </w:pPr>
      <w:r>
        <w:rPr>
          <w:rFonts w:ascii="Arial" w:cs="Arial" w:eastAsia="Arial" w:hAnsi="Arial"/>
          <w:sz w:val="19"/>
          <w:szCs w:val="19"/>
          <w:color w:val="auto"/>
        </w:rPr>
        <w:t>With respect to Annuity Payments owed by Prudential, the parties shall endeavor between the Effective Date and the Expected Data Finalization Date to agree to an equitable adjustment of the Total Contribution Amount caused by misstatements of the age, sex, applicable Annuity Form, benefit amount or any other fact relevant to determining the amount of Annuity Payment owed to a Covered Life, Contingent Life (or, if applicable, Beneficiary) (as used in this Section, a “</w:t>
      </w:r>
      <w:r>
        <w:rPr>
          <w:rFonts w:ascii="Arial" w:cs="Arial" w:eastAsia="Arial" w:hAnsi="Arial"/>
          <w:sz w:val="19"/>
          <w:szCs w:val="19"/>
          <w:u w:val="single" w:color="auto"/>
          <w:color w:val="auto"/>
        </w:rPr>
        <w:t>data misstatement</w:t>
      </w:r>
      <w:r>
        <w:rPr>
          <w:rFonts w:ascii="Arial" w:cs="Arial" w:eastAsia="Arial" w:hAnsi="Arial"/>
          <w:sz w:val="19"/>
          <w:szCs w:val="19"/>
          <w:color w:val="auto"/>
        </w:rPr>
        <w:t>”).</w:t>
      </w:r>
    </w:p>
    <w:p>
      <w:pPr>
        <w:spacing w:after="0" w:line="190" w:lineRule="exact"/>
        <w:rPr>
          <w:sz w:val="20"/>
          <w:szCs w:val="20"/>
          <w:color w:val="auto"/>
        </w:rPr>
      </w:pPr>
    </w:p>
    <w:p>
      <w:pPr>
        <w:jc w:val="both"/>
        <w:ind w:left="660" w:right="140"/>
        <w:spacing w:after="0" w:line="250" w:lineRule="auto"/>
        <w:rPr>
          <w:sz w:val="20"/>
          <w:szCs w:val="20"/>
          <w:color w:val="auto"/>
        </w:rPr>
      </w:pPr>
      <w:r>
        <w:rPr>
          <w:rFonts w:ascii="Arial" w:cs="Arial" w:eastAsia="Arial" w:hAnsi="Arial"/>
          <w:sz w:val="20"/>
          <w:szCs w:val="20"/>
          <w:color w:val="auto"/>
        </w:rPr>
        <w:t>After the Expected Data Finalization Date, if the Annuity Exhibits (as updated through the Expected Data Finalization Date to reflect data reviews conducted between the Effective Date and the Expected Data Finalization Date) contain a data misstatement with respect to the date of birth, date of death, or sex of any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2" w:right="239" w:bottom="1440" w:gutter="0" w:footer="0" w:header="0"/>
        </w:sectPr>
      </w:pPr>
    </w:p>
    <w:bookmarkStart w:id="187" w:name="page188"/>
    <w:bookmarkEnd w:id="187"/>
    <w:p>
      <w:pPr>
        <w:ind w:left="660"/>
        <w:spacing w:after="0"/>
        <w:rPr>
          <w:sz w:val="20"/>
          <w:szCs w:val="20"/>
          <w:color w:val="auto"/>
        </w:rPr>
      </w:pPr>
      <w:r>
        <w:rPr>
          <w:rFonts w:ascii="Arial" w:cs="Arial" w:eastAsia="Arial" w:hAnsi="Arial"/>
          <w:sz w:val="20"/>
          <w:szCs w:val="20"/>
          <w:color w:val="auto"/>
        </w:rPr>
        <w:t>Covered Life or Contingent Life (and of any Beneficiary, if applicable),</w:t>
      </w:r>
    </w:p>
    <w:p>
      <w:pPr>
        <w:spacing w:after="0" w:line="216" w:lineRule="exact"/>
        <w:rPr>
          <w:sz w:val="20"/>
          <w:szCs w:val="20"/>
          <w:color w:val="auto"/>
        </w:rPr>
      </w:pPr>
    </w:p>
    <w:p>
      <w:pPr>
        <w:ind w:left="1960" w:hanging="655"/>
        <w:spacing w:after="0" w:line="316" w:lineRule="auto"/>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then Prudential will not have the right to reduce any Annuity Payment below the Annuity Payment calculated using the information concerning date of birth, date of death and sex contained in such updated Annuity Exhibits; and</w:t>
      </w:r>
    </w:p>
    <w:p>
      <w:pPr>
        <w:spacing w:after="0" w:line="130" w:lineRule="exact"/>
        <w:rPr>
          <w:sz w:val="20"/>
          <w:szCs w:val="20"/>
          <w:color w:val="auto"/>
        </w:rPr>
      </w:pPr>
    </w:p>
    <w:p>
      <w:pPr>
        <w:ind w:left="1960" w:right="240" w:hanging="655"/>
        <w:spacing w:after="0" w:line="316" w:lineRule="auto"/>
        <w:tabs>
          <w:tab w:leader="none" w:pos="19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then Prudential will not have the obligation to increase any Annuity Payment above the Annuity Payment calculated using the information concerning date of birth, date of death and sex contained in such updated Annuity Exhibits.</w:t>
      </w:r>
    </w:p>
    <w:p>
      <w:pPr>
        <w:spacing w:after="0" w:line="130" w:lineRule="exact"/>
        <w:rPr>
          <w:sz w:val="20"/>
          <w:szCs w:val="20"/>
          <w:color w:val="auto"/>
        </w:rPr>
      </w:pPr>
    </w:p>
    <w:p>
      <w:pPr>
        <w:ind w:left="660"/>
        <w:spacing w:after="0" w:line="260" w:lineRule="auto"/>
        <w:rPr>
          <w:sz w:val="20"/>
          <w:szCs w:val="20"/>
          <w:color w:val="auto"/>
        </w:rPr>
      </w:pPr>
      <w:r>
        <w:rPr>
          <w:rFonts w:ascii="Arial" w:cs="Arial" w:eastAsia="Arial" w:hAnsi="Arial"/>
          <w:sz w:val="19"/>
          <w:szCs w:val="19"/>
          <w:color w:val="auto"/>
        </w:rPr>
        <w:t>Notwithstanding the above, after the Annuity Commencement Date, determinations by Prudential under Provision II in connection with each of the following will reflect any corrections of date of birth or date of death of any Covered Life or Contingent Life (and of any Beneficiary, if applicable), provided to and verified by Prudential after the Annuity Commencement Date: (1) a conversion from one Annuity Form to another Annuity Form, (2) an increase in the Covered Life Amount based on the attainment of a certain age and (3) a decrease in the Covered Life Amount based on the attainment of a certain age.</w:t>
      </w:r>
    </w:p>
    <w:p>
      <w:pPr>
        <w:spacing w:after="0" w:line="181" w:lineRule="exact"/>
        <w:rPr>
          <w:sz w:val="20"/>
          <w:szCs w:val="20"/>
          <w:color w:val="auto"/>
        </w:rPr>
      </w:pPr>
    </w:p>
    <w:p>
      <w:pPr>
        <w:ind w:left="660" w:right="200"/>
        <w:spacing w:after="0" w:line="246" w:lineRule="auto"/>
        <w:rPr>
          <w:sz w:val="20"/>
          <w:szCs w:val="20"/>
          <w:color w:val="auto"/>
        </w:rPr>
      </w:pPr>
      <w:r>
        <w:rPr>
          <w:rFonts w:ascii="Arial" w:cs="Arial" w:eastAsia="Arial" w:hAnsi="Arial"/>
          <w:sz w:val="20"/>
          <w:szCs w:val="20"/>
          <w:color w:val="auto"/>
        </w:rPr>
        <w:t>After the Expected Data Finalization Date, if the Annuity Exhibits (as updated through the Expected Data Finalization Date to reflect data reviews conducted between the Effective Date and the Expected Data Finalization Date) contain any data misstatement not relating to the date of birth, date of death, or sex of any Covered Life or Contingent Life (and of any Beneficiary, if applicable), then Prudential will adjust the Annuity Payment using the following process:</w:t>
      </w:r>
    </w:p>
    <w:p>
      <w:pPr>
        <w:spacing w:after="0" w:line="192" w:lineRule="exact"/>
        <w:rPr>
          <w:sz w:val="20"/>
          <w:szCs w:val="20"/>
          <w:color w:val="auto"/>
        </w:rPr>
      </w:pPr>
    </w:p>
    <w:p>
      <w:pPr>
        <w:ind w:left="1300" w:right="60" w:hanging="320"/>
        <w:spacing w:after="0" w:line="282" w:lineRule="auto"/>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Prudential will determine the portion of the Total Contribution Amount allocated to such Covered Life, Contingent Life and/or Beneficiary. The Annuity Payment owed by Prudential in respect of such person(s) will be increased or decreased to equal the amount that could have been purchased for such person(s) using the premium paid for such person(s), assuming that such misstatement had not occurred. Also, Prudential will not change the date of the first monthly payment.</w:t>
      </w:r>
    </w:p>
    <w:p>
      <w:pPr>
        <w:spacing w:after="0" w:line="175" w:lineRule="exact"/>
        <w:rPr>
          <w:rFonts w:ascii="Arial" w:cs="Arial" w:eastAsia="Arial" w:hAnsi="Arial"/>
          <w:sz w:val="18"/>
          <w:szCs w:val="18"/>
          <w:color w:val="auto"/>
        </w:rPr>
      </w:pPr>
    </w:p>
    <w:p>
      <w:pPr>
        <w:ind w:left="1960" w:right="20" w:hanging="331"/>
        <w:spacing w:after="0" w:line="258" w:lineRule="auto"/>
        <w:tabs>
          <w:tab w:leader="none" w:pos="196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If the corrected Annuity Payment is less than the Annuity Payment calculated using the misstated information, then the Annuity Payment will be decreased to the amount calculated pursuant to subsection (a). Prudential may reduce future Annuity Payments further by amounts previously overpaid by Prudential to such person(s).</w:t>
      </w:r>
    </w:p>
    <w:p>
      <w:pPr>
        <w:ind w:left="1960" w:right="100" w:hanging="331"/>
        <w:spacing w:after="0" w:line="241" w:lineRule="auto"/>
        <w:tabs>
          <w:tab w:leader="none" w:pos="196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If the corrected Annuity Payment is more than the Annuity Payment calculated using the misstated information, then the Annuity Payment will be increased to the amount calculated pursuant to subsection (a). Prudential will further pay the amount of the underpayments by Prudential in one of the next two Annuity Payments due with respect to such person.</w:t>
      </w:r>
    </w:p>
    <w:p>
      <w:pPr>
        <w:spacing w:after="0" w:line="208" w:lineRule="exact"/>
        <w:rPr>
          <w:rFonts w:ascii="Arial" w:cs="Arial" w:eastAsia="Arial" w:hAnsi="Arial"/>
          <w:sz w:val="20"/>
          <w:szCs w:val="20"/>
          <w:color w:val="auto"/>
        </w:rPr>
      </w:pPr>
    </w:p>
    <w:p>
      <w:pPr>
        <w:ind w:left="1300" w:hanging="320"/>
        <w:spacing w:after="0" w:line="328" w:lineRule="auto"/>
        <w:tabs>
          <w:tab w:leader="none" w:pos="13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addition to changing the amount of Annuity Payments, the adjustments made pursuant to this Section may change other important terms of payment. For example, the Annuity Form for such person may change. The percentage of a Covered Life's Annuity Payment that is payable to a Contingent Life may change. Whether there is any Contingent Life entitled to receive an Annuity Payment may change. All adjustments made pursuant to this Section will be binding upon any person affected thereby.</w:t>
      </w:r>
    </w:p>
    <w:p>
      <w:pPr>
        <w:spacing w:after="0" w:line="1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2.7</w:t>
      </w:r>
      <w:r>
        <w:rPr>
          <w:sz w:val="20"/>
          <w:szCs w:val="20"/>
          <w:color w:val="auto"/>
        </w:rPr>
        <w:tab/>
      </w:r>
      <w:r>
        <w:rPr>
          <w:rFonts w:ascii="Arial" w:cs="Arial" w:eastAsia="Arial" w:hAnsi="Arial"/>
          <w:sz w:val="18"/>
          <w:szCs w:val="18"/>
          <w:u w:val="single" w:color="auto"/>
          <w:color w:val="auto"/>
        </w:rPr>
        <w:t>Concerning Beneficiaries and Contingent Annuitants</w:t>
      </w:r>
    </w:p>
    <w:p>
      <w:pPr>
        <w:spacing w:after="0" w:line="216" w:lineRule="exact"/>
        <w:rPr>
          <w:sz w:val="20"/>
          <w:szCs w:val="20"/>
          <w:color w:val="auto"/>
        </w:rPr>
      </w:pPr>
    </w:p>
    <w:p>
      <w:pPr>
        <w:ind w:left="660" w:right="100"/>
        <w:spacing w:after="0" w:line="246" w:lineRule="auto"/>
        <w:rPr>
          <w:sz w:val="20"/>
          <w:szCs w:val="20"/>
          <w:color w:val="auto"/>
        </w:rPr>
      </w:pPr>
      <w:r>
        <w:rPr>
          <w:rFonts w:ascii="Arial" w:cs="Arial" w:eastAsia="Arial" w:hAnsi="Arial"/>
          <w:sz w:val="20"/>
          <w:szCs w:val="20"/>
          <w:color w:val="auto"/>
        </w:rPr>
        <w:t>A Covered Life (or, following the death of a Covered Life, a Contingent Life) may designate and re-designate a Beneficiary from time to time in such manner that is specified by Prudential and that is in accordance with such related Annuity Form. If there is no designated Beneficiary shown in Prudential's records when a payment is payable to a Beneficiary under the terms of this Contract, payment will be made to a Representative.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2" w:right="259" w:bottom="1440" w:gutter="0" w:footer="0" w:header="0"/>
        </w:sectPr>
      </w:pPr>
    </w:p>
    <w:bookmarkStart w:id="188" w:name="page189"/>
    <w:bookmarkEnd w:id="188"/>
    <w:p>
      <w:pPr>
        <w:ind w:left="660" w:right="640"/>
        <w:spacing w:after="0" w:line="316" w:lineRule="auto"/>
        <w:rPr>
          <w:sz w:val="20"/>
          <w:szCs w:val="20"/>
          <w:color w:val="auto"/>
        </w:rPr>
      </w:pPr>
      <w:r>
        <w:rPr>
          <w:rFonts w:ascii="Arial" w:cs="Arial" w:eastAsia="Arial" w:hAnsi="Arial"/>
          <w:sz w:val="18"/>
          <w:szCs w:val="18"/>
          <w:color w:val="auto"/>
        </w:rPr>
        <w:t>If and to the extent provided in this Provision II, but subject to the conditions specified in this Provision II, a Covered Life may designate and re-designate another person as his or her Contingent Life without the consent of such Contingent Life.</w:t>
      </w:r>
    </w:p>
    <w:p>
      <w:pPr>
        <w:spacing w:after="0" w:line="130" w:lineRule="exact"/>
        <w:rPr>
          <w:sz w:val="20"/>
          <w:szCs w:val="20"/>
          <w:color w:val="auto"/>
        </w:rPr>
      </w:pPr>
    </w:p>
    <w:p>
      <w:pPr>
        <w:ind w:left="660" w:right="80"/>
        <w:spacing w:after="0" w:line="258" w:lineRule="auto"/>
        <w:rPr>
          <w:sz w:val="20"/>
          <w:szCs w:val="20"/>
          <w:color w:val="auto"/>
        </w:rPr>
      </w:pPr>
      <w:r>
        <w:rPr>
          <w:rFonts w:ascii="Arial" w:cs="Arial" w:eastAsia="Arial" w:hAnsi="Arial"/>
          <w:sz w:val="19"/>
          <w:szCs w:val="19"/>
          <w:color w:val="auto"/>
        </w:rPr>
        <w:t>The parties agree with each other that the acceptability of such designations and re-designations of Beneficiaries and Contingent Lives will meet the requirements of ERISA as applied to employee benefit plan participants in effect from time to time, and shall keep their records accordingly. Such designations or re-designations shall become effective, with respect to the designation of a Contingent Life, as provided in Sections 2.2 (“Definitions”) and Section 2.3 (“Annuity Forms”). Such designations or re-designations shall become effective, with respect to the designation of a Beneficiary, on the date when the Change in Beneficiary Form is signed by the Covered Life or Contingent Life; provided that no such Change in Beneficiary Form shall be effective with respect to any action taken by Prudential prior to the receipt of such form at Prudential's Office.</w:t>
      </w:r>
    </w:p>
    <w:p>
      <w:pPr>
        <w:spacing w:after="0" w:line="179" w:lineRule="exact"/>
        <w:rPr>
          <w:sz w:val="20"/>
          <w:szCs w:val="20"/>
          <w:color w:val="auto"/>
        </w:rPr>
      </w:pPr>
    </w:p>
    <w:p>
      <w:pPr>
        <w:ind w:left="660" w:right="180"/>
        <w:spacing w:after="0" w:line="250" w:lineRule="auto"/>
        <w:rPr>
          <w:sz w:val="20"/>
          <w:szCs w:val="20"/>
          <w:color w:val="auto"/>
        </w:rPr>
      </w:pPr>
      <w:r>
        <w:rPr>
          <w:rFonts w:ascii="Arial" w:cs="Arial" w:eastAsia="Arial" w:hAnsi="Arial"/>
          <w:sz w:val="20"/>
          <w:szCs w:val="20"/>
          <w:color w:val="auto"/>
        </w:rPr>
        <w:t>Prudential, in determining the existence, identity, ages, or any other facts relating to any relatives of any Covered Life (or Contingent Life) or any persons designated as Beneficiaries, either as a class or otherwise, may rely solely on any affidavit or other evidence deemed satisfactory by it.</w:t>
      </w:r>
    </w:p>
    <w:p>
      <w:pPr>
        <w:spacing w:after="0" w:line="186" w:lineRule="exact"/>
        <w:rPr>
          <w:sz w:val="20"/>
          <w:szCs w:val="20"/>
          <w:color w:val="auto"/>
        </w:rPr>
      </w:pPr>
    </w:p>
    <w:p>
      <w:pPr>
        <w:ind w:left="660" w:right="200"/>
        <w:spacing w:after="0" w:line="260" w:lineRule="auto"/>
        <w:rPr>
          <w:sz w:val="20"/>
          <w:szCs w:val="20"/>
          <w:color w:val="auto"/>
        </w:rPr>
      </w:pPr>
      <w:r>
        <w:rPr>
          <w:rFonts w:ascii="Arial" w:cs="Arial" w:eastAsia="Arial" w:hAnsi="Arial"/>
          <w:sz w:val="20"/>
          <w:szCs w:val="20"/>
          <w:color w:val="auto"/>
        </w:rPr>
        <w:t>During the period when it is maintaining such records, Prudential will furnish an acknowledgment to the Covered Life or Contingent Life of the acceptance of any such designation or re-designation.</w:t>
      </w:r>
    </w:p>
    <w:p>
      <w:pPr>
        <w:spacing w:after="0" w:line="177" w:lineRule="exact"/>
        <w:rPr>
          <w:sz w:val="20"/>
          <w:szCs w:val="20"/>
          <w:color w:val="auto"/>
        </w:rPr>
      </w:pPr>
    </w:p>
    <w:p>
      <w:pPr>
        <w:ind w:left="660" w:right="280"/>
        <w:spacing w:after="0" w:line="260" w:lineRule="auto"/>
        <w:rPr>
          <w:sz w:val="20"/>
          <w:szCs w:val="20"/>
          <w:color w:val="auto"/>
        </w:rPr>
      </w:pPr>
      <w:r>
        <w:rPr>
          <w:rFonts w:ascii="Arial" w:cs="Arial" w:eastAsia="Arial" w:hAnsi="Arial"/>
          <w:sz w:val="20"/>
          <w:szCs w:val="20"/>
          <w:color w:val="auto"/>
        </w:rPr>
        <w:t>Any payment made by Prudential in reliance thereon will, to the extent of such payment, be a valid discharge of its obligation under this Contract.</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2.8</w:t>
      </w:r>
      <w:r>
        <w:rPr>
          <w:sz w:val="20"/>
          <w:szCs w:val="20"/>
          <w:color w:val="auto"/>
        </w:rPr>
        <w:tab/>
      </w:r>
      <w:r>
        <w:rPr>
          <w:rFonts w:ascii="Arial" w:cs="Arial" w:eastAsia="Arial" w:hAnsi="Arial"/>
          <w:sz w:val="16"/>
          <w:szCs w:val="16"/>
          <w:u w:val="single" w:color="auto"/>
          <w:color w:val="auto"/>
        </w:rPr>
        <w:t>Concerning Domestic Relations Orders</w:t>
      </w:r>
    </w:p>
    <w:p>
      <w:pPr>
        <w:spacing w:after="0" w:line="229" w:lineRule="exact"/>
        <w:rPr>
          <w:sz w:val="20"/>
          <w:szCs w:val="20"/>
          <w:color w:val="auto"/>
        </w:rPr>
      </w:pPr>
    </w:p>
    <w:p>
      <w:pPr>
        <w:ind w:left="660"/>
        <w:spacing w:after="0" w:line="258" w:lineRule="auto"/>
        <w:rPr>
          <w:sz w:val="20"/>
          <w:szCs w:val="20"/>
          <w:color w:val="auto"/>
        </w:rPr>
      </w:pPr>
      <w:r>
        <w:rPr>
          <w:rFonts w:ascii="Arial" w:cs="Arial" w:eastAsia="Arial" w:hAnsi="Arial"/>
          <w:sz w:val="19"/>
          <w:szCs w:val="19"/>
          <w:color w:val="auto"/>
        </w:rPr>
        <w:t>If after the Annuity Commencement Date an Annuity Payment is subject to a domestic relations order, no adjustments or payments to a Covered Life, Contingent Life or to any other alternate payee will become payable until (i) Prudential has so received any such domestic relations order, (ii) Prudential has so approved the domestic relations order, and (iii) Prudential has received a copy of the domestic relations order after it has been qualified or Prudential has so qualified the domestic relations order. Any such Annuity Payment adjustment will take effect when entered upon Prudential's records. The parties agree with each other that acceptable domestic relations orders shall meet the requirements of ERISA as applied to employee benefit plan participants in effect from time to time, and shall keep their records accordingly.</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2.9</w:t>
      </w:r>
      <w:r>
        <w:rPr>
          <w:sz w:val="20"/>
          <w:szCs w:val="20"/>
          <w:color w:val="auto"/>
        </w:rPr>
        <w:tab/>
      </w:r>
      <w:r>
        <w:rPr>
          <w:rFonts w:ascii="Arial" w:cs="Arial" w:eastAsia="Arial" w:hAnsi="Arial"/>
          <w:sz w:val="16"/>
          <w:szCs w:val="16"/>
          <w:u w:val="single" w:color="auto"/>
          <w:color w:val="auto"/>
        </w:rPr>
        <w:t>Substitute Payee</w:t>
      </w:r>
    </w:p>
    <w:p>
      <w:pPr>
        <w:spacing w:after="0" w:line="216" w:lineRule="exact"/>
        <w:rPr>
          <w:sz w:val="20"/>
          <w:szCs w:val="20"/>
          <w:color w:val="auto"/>
        </w:rPr>
      </w:pPr>
    </w:p>
    <w:p>
      <w:pPr>
        <w:ind w:left="660" w:right="480"/>
        <w:spacing w:after="0" w:line="260" w:lineRule="auto"/>
        <w:rPr>
          <w:sz w:val="20"/>
          <w:szCs w:val="20"/>
          <w:color w:val="auto"/>
        </w:rPr>
      </w:pPr>
      <w:r>
        <w:rPr>
          <w:rFonts w:ascii="Arial" w:cs="Arial" w:eastAsia="Arial" w:hAnsi="Arial"/>
          <w:sz w:val="20"/>
          <w:szCs w:val="20"/>
          <w:color w:val="auto"/>
        </w:rPr>
        <w:t>Prudential may discharge its obligation to a Covered Life, Contingent Life or Beneficiary hereunder by making payments to such person's Representative.</w:t>
      </w:r>
    </w:p>
    <w:p>
      <w:pPr>
        <w:spacing w:after="0" w:line="17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u w:val="single" w:color="auto"/>
          <w:color w:val="auto"/>
        </w:rPr>
        <w:t>2.10</w:t>
      </w:r>
      <w:r>
        <w:rPr>
          <w:sz w:val="20"/>
          <w:szCs w:val="20"/>
          <w:color w:val="auto"/>
        </w:rPr>
        <w:tab/>
      </w:r>
      <w:r>
        <w:rPr>
          <w:rFonts w:ascii="Arial" w:cs="Arial" w:eastAsia="Arial" w:hAnsi="Arial"/>
          <w:sz w:val="16"/>
          <w:szCs w:val="16"/>
          <w:u w:val="single" w:color="auto"/>
          <w:color w:val="auto"/>
        </w:rPr>
        <w:t>Certificates</w:t>
      </w:r>
    </w:p>
    <w:p>
      <w:pPr>
        <w:spacing w:after="0" w:line="216" w:lineRule="exact"/>
        <w:rPr>
          <w:sz w:val="20"/>
          <w:szCs w:val="20"/>
          <w:color w:val="auto"/>
        </w:rPr>
      </w:pPr>
    </w:p>
    <w:p>
      <w:pPr>
        <w:ind w:left="660"/>
        <w:spacing w:after="0" w:line="244" w:lineRule="auto"/>
        <w:rPr>
          <w:sz w:val="20"/>
          <w:szCs w:val="20"/>
          <w:color w:val="auto"/>
        </w:rPr>
      </w:pPr>
      <w:r>
        <w:rPr>
          <w:rFonts w:ascii="Arial" w:cs="Arial" w:eastAsia="Arial" w:hAnsi="Arial"/>
          <w:sz w:val="20"/>
          <w:szCs w:val="20"/>
          <w:color w:val="auto"/>
        </w:rPr>
        <w:t>Upon receipt of applicable regulatory approvals, Prudential will issue an annuity certificate with respect to each Covered Life (and, if receiving Annuity Payments on the date of issuance of annuity certificates, Contingent Life and Beneficiary). Each such certificate will set forth in substance the payments to which such Covered Life, Contingent Life and Beneficiary is entitled under this Contract. Also, Prudential may issue a substitute annuity certificate to correct errors contained in the previously issued certificate, whereupon the erroneously issued annuity certificate shall be null and void.</w:t>
      </w:r>
    </w:p>
    <w:p>
      <w:pPr>
        <w:spacing w:after="0" w:line="195" w:lineRule="exact"/>
        <w:rPr>
          <w:sz w:val="20"/>
          <w:szCs w:val="20"/>
          <w:color w:val="auto"/>
        </w:rPr>
      </w:pPr>
    </w:p>
    <w:p>
      <w:pPr>
        <w:jc w:val="both"/>
        <w:ind w:left="660" w:right="120"/>
        <w:spacing w:after="0" w:line="282" w:lineRule="auto"/>
        <w:rPr>
          <w:sz w:val="20"/>
          <w:szCs w:val="20"/>
          <w:color w:val="auto"/>
        </w:rPr>
      </w:pPr>
      <w:r>
        <w:rPr>
          <w:rFonts w:ascii="Arial" w:cs="Arial" w:eastAsia="Arial" w:hAnsi="Arial"/>
          <w:sz w:val="18"/>
          <w:szCs w:val="18"/>
          <w:color w:val="auto"/>
        </w:rPr>
        <w:t>Each such certificate shall provide that only the Covered Live (and, as applicable, a Contingent Life and Beneficiary) has the right to Annuity Payments under this Contract, and that such right to Annuity Payments is enforceable by the certificate-holder solely against Prudential and against no other person including the Plan, Plan sponsor, Contract-Holder or any affiliate thereof. Each certificate shall describe the consequences of any data misstatements, including Prudential's rights and obligations relating to such</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2" w:right="279" w:bottom="1440" w:gutter="0" w:footer="0" w:header="0"/>
        </w:sectPr>
      </w:pPr>
    </w:p>
    <w:bookmarkStart w:id="189" w:name="page190"/>
    <w:bookmarkEnd w:id="189"/>
    <w:p>
      <w:pPr>
        <w:ind w:left="660"/>
        <w:spacing w:after="0"/>
        <w:rPr>
          <w:sz w:val="20"/>
          <w:szCs w:val="20"/>
          <w:color w:val="auto"/>
        </w:rPr>
      </w:pPr>
      <w:r>
        <w:rPr>
          <w:rFonts w:ascii="Arial" w:cs="Arial" w:eastAsia="Arial" w:hAnsi="Arial"/>
          <w:sz w:val="20"/>
          <w:szCs w:val="20"/>
          <w:color w:val="auto"/>
        </w:rPr>
        <w:t>data misstatements.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u w:val="single" w:color="auto"/>
          <w:color w:val="auto"/>
        </w:rPr>
        <w:t>2.11</w:t>
      </w:r>
      <w:r>
        <w:rPr>
          <w:sz w:val="20"/>
          <w:szCs w:val="20"/>
          <w:color w:val="auto"/>
        </w:rPr>
        <w:tab/>
      </w:r>
      <w:r>
        <w:rPr>
          <w:rFonts w:ascii="Arial" w:cs="Arial" w:eastAsia="Arial" w:hAnsi="Arial"/>
          <w:sz w:val="18"/>
          <w:szCs w:val="18"/>
          <w:u w:val="single" w:color="auto"/>
          <w:color w:val="auto"/>
        </w:rPr>
        <w:t>Reliance on Records; Correction of Errors</w:t>
      </w:r>
    </w:p>
    <w:p>
      <w:pPr>
        <w:spacing w:after="0" w:line="216" w:lineRule="exact"/>
        <w:rPr>
          <w:sz w:val="20"/>
          <w:szCs w:val="20"/>
          <w:color w:val="auto"/>
        </w:rPr>
      </w:pPr>
    </w:p>
    <w:p>
      <w:pPr>
        <w:ind w:left="660" w:right="80"/>
        <w:spacing w:after="0" w:line="282" w:lineRule="auto"/>
        <w:rPr>
          <w:sz w:val="20"/>
          <w:szCs w:val="20"/>
          <w:color w:val="auto"/>
        </w:rPr>
      </w:pPr>
      <w:r>
        <w:rPr>
          <w:rFonts w:ascii="Arial" w:cs="Arial" w:eastAsia="Arial" w:hAnsi="Arial"/>
          <w:sz w:val="18"/>
          <w:szCs w:val="18"/>
          <w:color w:val="auto"/>
        </w:rPr>
        <w:t>Until the Expected Data Finalization Date, Prudential will receive from the Plan or its agent the information which Prudential may reasonably require for the administration of this Contract. If Prudential does not receive all such information, Prudential will seek such information from the relevant Covered Life, Contingent Life or Beneficiary. Prudential may hold Annuity Payments if it lacks the information necessary to process such Annuity Payment or if processing such payment is contrary to applicable law.</w:t>
      </w:r>
    </w:p>
    <w:p>
      <w:pPr>
        <w:spacing w:after="0" w:line="162" w:lineRule="exact"/>
        <w:rPr>
          <w:sz w:val="20"/>
          <w:szCs w:val="20"/>
          <w:color w:val="auto"/>
        </w:rPr>
      </w:pPr>
    </w:p>
    <w:p>
      <w:pPr>
        <w:ind w:left="660" w:right="80"/>
        <w:spacing w:after="0" w:line="259" w:lineRule="auto"/>
        <w:rPr>
          <w:sz w:val="20"/>
          <w:szCs w:val="20"/>
          <w:color w:val="auto"/>
        </w:rPr>
      </w:pPr>
      <w:r>
        <w:rPr>
          <w:rFonts w:ascii="Arial" w:cs="Arial" w:eastAsia="Arial" w:hAnsi="Arial"/>
          <w:sz w:val="19"/>
          <w:szCs w:val="19"/>
          <w:color w:val="auto"/>
        </w:rPr>
        <w:t>Prudential will maintain the records necessary for its administration of this Contract. Such records will be prepared using the information furnished to it pursuant to this Contract and will constitute prima facie evidence as to the truth of the information recorded thereon. However, Prudential reserves the right to correct its records to eliminate erroneous information furnished to it and to reflect information it gathers reasonably believed by it to be reliable. Prudential may assume the accuracy of the records kept by or on behalf of the Plan in connection with Covered Lives, Contingent Lives and Beneficiaries. Any payment made by Prudential in reliance on such records shall be a valid discharge of its obligation under this Contract.</w:t>
      </w:r>
    </w:p>
    <w:p>
      <w:pPr>
        <w:spacing w:after="0" w:line="17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u w:val="single" w:color="auto"/>
          <w:color w:val="auto"/>
        </w:rPr>
        <w:t>2.12</w:t>
      </w:r>
      <w:r>
        <w:rPr>
          <w:sz w:val="20"/>
          <w:szCs w:val="20"/>
          <w:color w:val="auto"/>
        </w:rPr>
        <w:tab/>
      </w:r>
      <w:r>
        <w:rPr>
          <w:rFonts w:ascii="Arial" w:cs="Arial" w:eastAsia="Arial" w:hAnsi="Arial"/>
          <w:sz w:val="18"/>
          <w:szCs w:val="18"/>
          <w:u w:val="single" w:color="auto"/>
          <w:color w:val="auto"/>
        </w:rPr>
        <w:t>[Deductions from Annuity Payments</w:t>
      </w:r>
    </w:p>
    <w:p>
      <w:pPr>
        <w:spacing w:after="0" w:line="216" w:lineRule="exact"/>
        <w:rPr>
          <w:sz w:val="20"/>
          <w:szCs w:val="20"/>
          <w:color w:val="auto"/>
        </w:rPr>
      </w:pPr>
    </w:p>
    <w:p>
      <w:pPr>
        <w:ind w:left="660"/>
        <w:spacing w:after="0" w:line="273" w:lineRule="auto"/>
        <w:rPr>
          <w:sz w:val="20"/>
          <w:szCs w:val="20"/>
          <w:color w:val="auto"/>
        </w:rPr>
      </w:pPr>
      <w:r>
        <w:rPr>
          <w:rFonts w:ascii="Arial" w:cs="Arial" w:eastAsia="Arial" w:hAnsi="Arial"/>
          <w:sz w:val="18"/>
          <w:szCs w:val="18"/>
          <w:color w:val="auto"/>
        </w:rPr>
        <w:t>A Covered Life (or a Contingent Life) may request in writing in a manner specified by Prudential that Prudential deduct a specified amount each month from the amounts payable by Prudential to such Covered Life (or Contingent Life) to be applied for payment of the annuitant's health care premiums and for payment of other benefits that were permitted to be deducted from Plan benefits governed by the Plan. Upon receipt by Prudential of such a request, the amount specified in such request shall, subject to the consent of Prudential, be so deducted each month until receipt by Prudential of a request (in a manner specified by Prudential) from the Covered Life (or Contingent Life) that such deductions cease. The amount so deducted each month shall be transferred on behalf of such Covered Life (or Contingent Life) as specified in the request for such deductions in full settlement of all obligations of Prudential under this Contract with respect to the amount so transferred. Deductions by Prudential on behalf of a Covered Life (or a Contingent Life) will begin or cease, as the case may be, no earlier than the Annuity Payment that is due at least 30 days following Prudential's receipt of such request to begin or cease deductions for that Covered Life (or Contingent Life).]</w:t>
      </w:r>
      <w:r>
        <w:rPr>
          <w:rFonts w:ascii="Arial" w:cs="Arial" w:eastAsia="Arial" w:hAnsi="Arial"/>
          <w:sz w:val="23"/>
          <w:szCs w:val="23"/>
          <w:color w:val="auto"/>
          <w:vertAlign w:val="superscript"/>
        </w:rPr>
        <w:t>D</w:t>
      </w:r>
    </w:p>
    <w:p>
      <w:pPr>
        <w:spacing w:after="0" w:line="100"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Provision III</w:t>
      </w:r>
      <w:r>
        <w:rPr>
          <w:sz w:val="20"/>
          <w:szCs w:val="20"/>
          <w:color w:val="auto"/>
        </w:rPr>
        <w:tab/>
      </w:r>
      <w:r>
        <w:rPr>
          <w:rFonts w:ascii="Arial" w:cs="Arial" w:eastAsia="Arial" w:hAnsi="Arial"/>
          <w:sz w:val="16"/>
          <w:szCs w:val="16"/>
          <w:b w:val="1"/>
          <w:bCs w:val="1"/>
          <w:color w:val="auto"/>
        </w:rPr>
        <w:t>General Terms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3.1</w:t>
      </w:r>
      <w:r>
        <w:rPr>
          <w:sz w:val="20"/>
          <w:szCs w:val="20"/>
          <w:color w:val="auto"/>
        </w:rPr>
        <w:tab/>
      </w:r>
      <w:r>
        <w:rPr>
          <w:rFonts w:ascii="Arial" w:cs="Arial" w:eastAsia="Arial" w:hAnsi="Arial"/>
          <w:sz w:val="16"/>
          <w:szCs w:val="16"/>
          <w:u w:val="single" w:color="auto"/>
          <w:color w:val="auto"/>
        </w:rPr>
        <w:t>Communications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communications to Prudential regarding this Contract shall be addressed to Prudential's Office.</w:t>
      </w:r>
    </w:p>
    <w:p>
      <w:pPr>
        <w:spacing w:after="0" w:line="216" w:lineRule="exact"/>
        <w:rPr>
          <w:sz w:val="20"/>
          <w:szCs w:val="20"/>
          <w:color w:val="auto"/>
        </w:rPr>
      </w:pPr>
    </w:p>
    <w:p>
      <w:pPr>
        <w:ind w:left="660" w:right="260"/>
        <w:spacing w:after="0" w:line="260" w:lineRule="auto"/>
        <w:rPr>
          <w:sz w:val="20"/>
          <w:szCs w:val="20"/>
          <w:color w:val="auto"/>
        </w:rPr>
      </w:pPr>
      <w:r>
        <w:rPr>
          <w:rFonts w:ascii="Arial" w:cs="Arial" w:eastAsia="Arial" w:hAnsi="Arial"/>
          <w:sz w:val="20"/>
          <w:szCs w:val="20"/>
          <w:color w:val="auto"/>
        </w:rPr>
        <w:t>Communications to Contract-Holder will be addressed as shown in our records, as updated from time to time on Prudential's records based on notice provided by the Contract-Holder to Prudential.</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communications to Contract-Holder or Prudential will be in writing.</w:t>
      </w:r>
    </w:p>
    <w:p>
      <w:pPr>
        <w:spacing w:after="0" w:line="2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3.2</w:t>
      </w:r>
      <w:r>
        <w:rPr>
          <w:sz w:val="20"/>
          <w:szCs w:val="20"/>
          <w:color w:val="auto"/>
        </w:rPr>
        <w:tab/>
      </w:r>
      <w:r>
        <w:rPr>
          <w:rFonts w:ascii="Arial" w:cs="Arial" w:eastAsia="Arial" w:hAnsi="Arial"/>
          <w:sz w:val="16"/>
          <w:szCs w:val="16"/>
          <w:u w:val="single" w:color="auto"/>
          <w:color w:val="auto"/>
        </w:rPr>
        <w:t>Currency; Payments</w:t>
      </w:r>
    </w:p>
    <w:p>
      <w:pPr>
        <w:spacing w:after="0" w:line="216" w:lineRule="exact"/>
        <w:rPr>
          <w:sz w:val="20"/>
          <w:szCs w:val="20"/>
          <w:color w:val="auto"/>
        </w:rPr>
      </w:pPr>
    </w:p>
    <w:p>
      <w:pPr>
        <w:jc w:val="both"/>
        <w:ind w:left="660" w:right="100"/>
        <w:spacing w:after="0" w:line="250" w:lineRule="auto"/>
        <w:rPr>
          <w:sz w:val="20"/>
          <w:szCs w:val="20"/>
          <w:color w:val="auto"/>
        </w:rPr>
      </w:pPr>
      <w:r>
        <w:rPr>
          <w:rFonts w:ascii="Arial" w:cs="Arial" w:eastAsia="Arial" w:hAnsi="Arial"/>
          <w:sz w:val="20"/>
          <w:szCs w:val="20"/>
          <w:color w:val="auto"/>
        </w:rPr>
        <w:t>All moneys, whether payable to or by Prudential, shall be in lawful money of the United States of America. Dollars and cents refer to lawful currency of the United States of America. Payments owed to Prudential or to Contract-Holder shall be made pursuant to agreed procedures and wire instructions.</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3.3</w:t>
      </w:r>
      <w:r>
        <w:rPr>
          <w:sz w:val="20"/>
          <w:szCs w:val="20"/>
          <w:color w:val="auto"/>
        </w:rPr>
        <w:tab/>
      </w:r>
      <w:r>
        <w:rPr>
          <w:rFonts w:ascii="Arial" w:cs="Arial" w:eastAsia="Arial" w:hAnsi="Arial"/>
          <w:sz w:val="18"/>
          <w:szCs w:val="18"/>
          <w:u w:val="single" w:color="auto"/>
          <w:color w:val="auto"/>
        </w:rPr>
        <w:t>Contract-Holder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Prudential will be entitled to rely on any action taken or omitted by or on behalf of Contract-Holder</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2" w:right="259" w:bottom="1440" w:gutter="0" w:footer="0" w:header="0"/>
        </w:sectPr>
      </w:pPr>
    </w:p>
    <w:bookmarkStart w:id="190" w:name="page191"/>
    <w:bookmarkEnd w:id="190"/>
    <w:p>
      <w:pPr>
        <w:ind w:left="660"/>
        <w:spacing w:after="0" w:line="256" w:lineRule="auto"/>
        <w:rPr>
          <w:sz w:val="20"/>
          <w:szCs w:val="20"/>
          <w:color w:val="auto"/>
        </w:rPr>
      </w:pPr>
      <w:r>
        <w:rPr>
          <w:rFonts w:ascii="Arial" w:cs="Arial" w:eastAsia="Arial" w:hAnsi="Arial"/>
          <w:sz w:val="19"/>
          <w:szCs w:val="19"/>
          <w:color w:val="auto"/>
        </w:rPr>
        <w:t xml:space="preserve">pursuant to the terms of this Contract and shall not be required to obtain consents of any other person or organization with an interest in the Plan, except as provided in Section 1.9 (“Persons Entitled to Enforce this Contract against Prudential”). Until the Expected Data Finalization Date, Prudential is entitled to rely on the Contract-Holder (or its representative) in connection with Prudential's administration of this Contract. If the Contract-Holder notifies Prudential that it will cease to exist or cease to perform the duties of the Contract-Holder hereunder and no successor Contract-Holder is appointed by the Contract-Holder, the Contract-Holder will thereafter have no rights or obligations under this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Contract nevertheless shall remain irrevocable and in full force and effect in accordance with its terms, and not subject to amendment or modification except as otherwise provided herein, it being acknowledged and understood that the intended third-party beneficiary rights of each Covered Life, Contingent Life and Beneficiary hereunder shall survive until the date on which there ceases to be any further Annuity Payments payable in accordance with the terms of this Contract.</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3.4</w:t>
      </w:r>
      <w:r>
        <w:rPr>
          <w:sz w:val="20"/>
          <w:szCs w:val="20"/>
          <w:color w:val="auto"/>
        </w:rPr>
        <w:tab/>
      </w:r>
      <w:r>
        <w:rPr>
          <w:rFonts w:ascii="Arial" w:cs="Arial" w:eastAsia="Arial" w:hAnsi="Arial"/>
          <w:sz w:val="18"/>
          <w:szCs w:val="18"/>
          <w:u w:val="single" w:color="auto"/>
          <w:color w:val="auto"/>
        </w:rPr>
        <w:t>No Implied Waiver</w:t>
      </w:r>
    </w:p>
    <w:p>
      <w:pPr>
        <w:spacing w:after="0" w:line="216" w:lineRule="exact"/>
        <w:rPr>
          <w:sz w:val="20"/>
          <w:szCs w:val="20"/>
          <w:color w:val="auto"/>
        </w:rPr>
      </w:pPr>
    </w:p>
    <w:p>
      <w:pPr>
        <w:ind w:left="660" w:right="60"/>
        <w:spacing w:after="0" w:line="250" w:lineRule="auto"/>
        <w:rPr>
          <w:sz w:val="20"/>
          <w:szCs w:val="20"/>
          <w:color w:val="auto"/>
        </w:rPr>
      </w:pPr>
      <w:r>
        <w:rPr>
          <w:rFonts w:ascii="Arial" w:cs="Arial" w:eastAsia="Arial" w:hAnsi="Arial"/>
          <w:sz w:val="20"/>
          <w:szCs w:val="20"/>
          <w:color w:val="auto"/>
        </w:rPr>
        <w:t>Except as expressly provided herein, any party's failure to insist in any one or more instances upon strict performance by any other party of any of the terms of this Contract shall not be construed as a waiver of any continuing or subsequent failure to perform or delay in performance of any term hereof.</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3.5</w:t>
      </w:r>
      <w:r>
        <w:rPr>
          <w:sz w:val="20"/>
          <w:szCs w:val="20"/>
          <w:color w:val="auto"/>
        </w:rPr>
        <w:tab/>
      </w:r>
      <w:r>
        <w:rPr>
          <w:rFonts w:ascii="Arial" w:cs="Arial" w:eastAsia="Arial" w:hAnsi="Arial"/>
          <w:sz w:val="16"/>
          <w:szCs w:val="16"/>
          <w:u w:val="single" w:color="auto"/>
          <w:color w:val="auto"/>
        </w:rPr>
        <w:t>Changes</w:t>
      </w:r>
    </w:p>
    <w:p>
      <w:pPr>
        <w:spacing w:after="0" w:line="216" w:lineRule="exact"/>
        <w:rPr>
          <w:sz w:val="20"/>
          <w:szCs w:val="20"/>
          <w:color w:val="auto"/>
        </w:rPr>
      </w:pPr>
    </w:p>
    <w:p>
      <w:pPr>
        <w:ind w:left="660" w:right="260"/>
        <w:spacing w:after="0" w:line="269" w:lineRule="auto"/>
        <w:rPr>
          <w:sz w:val="20"/>
          <w:szCs w:val="20"/>
          <w:color w:val="auto"/>
        </w:rPr>
      </w:pPr>
      <w:r>
        <w:rPr>
          <w:rFonts w:ascii="Arial" w:cs="Arial" w:eastAsia="Arial" w:hAnsi="Arial"/>
          <w:sz w:val="19"/>
          <w:szCs w:val="19"/>
          <w:color w:val="auto"/>
        </w:rPr>
        <w:t>Upon a change in the requirements of applicable law or a regulation administered by a governmental agency, Prudential may change this Contract, including the terms of Provision II and the certificates issued hereunder, without the consent of any Covered Life, Contingent Life or Beneficiary solely to, and only as strictly necessary to, satisfy such requirements.</w:t>
      </w:r>
    </w:p>
    <w:p>
      <w:pPr>
        <w:spacing w:after="0" w:line="170" w:lineRule="exact"/>
        <w:rPr>
          <w:sz w:val="20"/>
          <w:szCs w:val="20"/>
          <w:color w:val="auto"/>
        </w:rPr>
      </w:pPr>
    </w:p>
    <w:p>
      <w:pPr>
        <w:ind w:left="660" w:right="280"/>
        <w:spacing w:after="0" w:line="282" w:lineRule="auto"/>
        <w:rPr>
          <w:sz w:val="20"/>
          <w:szCs w:val="20"/>
          <w:color w:val="auto"/>
        </w:rPr>
      </w:pPr>
      <w:r>
        <w:rPr>
          <w:rFonts w:ascii="Arial" w:cs="Arial" w:eastAsia="Arial" w:hAnsi="Arial"/>
          <w:sz w:val="18"/>
          <w:szCs w:val="18"/>
          <w:color w:val="auto"/>
        </w:rPr>
        <w:t>In addition, this Contract may be changed at any time or times by agreement between Prudential and Contract-Holder; provided that any such agreement not related to a data misstatement that changes the amount of the Annuity Payment owed to a Covered Life, Contingent Life will require the consent of such person. If the Contract-Holder ceases to exist and no successor Contract-Holder is appointed, this Contract may not be changed at any time by Prudential except as provided in this Section.</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3.6</w:t>
      </w:r>
      <w:r>
        <w:rPr>
          <w:sz w:val="20"/>
          <w:szCs w:val="20"/>
          <w:color w:val="auto"/>
        </w:rPr>
        <w:tab/>
      </w:r>
      <w:r>
        <w:rPr>
          <w:rFonts w:ascii="Arial" w:cs="Arial" w:eastAsia="Arial" w:hAnsi="Arial"/>
          <w:sz w:val="18"/>
          <w:szCs w:val="18"/>
          <w:u w:val="single" w:color="auto"/>
          <w:color w:val="auto"/>
        </w:rPr>
        <w:t>Entire Contract - Construction</w:t>
      </w:r>
    </w:p>
    <w:p>
      <w:pPr>
        <w:spacing w:after="0" w:line="216" w:lineRule="exact"/>
        <w:rPr>
          <w:sz w:val="20"/>
          <w:szCs w:val="20"/>
          <w:color w:val="auto"/>
        </w:rPr>
      </w:pPr>
    </w:p>
    <w:p>
      <w:pPr>
        <w:ind w:left="660" w:right="300"/>
        <w:spacing w:after="0" w:line="291" w:lineRule="auto"/>
        <w:rPr>
          <w:sz w:val="20"/>
          <w:szCs w:val="20"/>
          <w:color w:val="auto"/>
        </w:rPr>
      </w:pPr>
      <w:r>
        <w:rPr>
          <w:rFonts w:ascii="Arial" w:cs="Arial" w:eastAsia="Arial" w:hAnsi="Arial"/>
          <w:sz w:val="18"/>
          <w:szCs w:val="18"/>
          <w:color w:val="auto"/>
        </w:rPr>
        <w:t>This Contract constitutes the entire agreement between Contract-Holder and Prudential solely with respect to the Annuity Payments owed to each Covered Life, Contingent Life and Beneficiary under this Contract, and supersedes all prior agreements and understandings, both oral and written, between Contract-Holder and Prudential solely with respect to such Annuity Payments.</w:t>
      </w:r>
    </w:p>
    <w:p>
      <w:pPr>
        <w:spacing w:after="0" w:line="152" w:lineRule="exact"/>
        <w:rPr>
          <w:sz w:val="20"/>
          <w:szCs w:val="20"/>
          <w:color w:val="auto"/>
        </w:rPr>
      </w:pPr>
    </w:p>
    <w:p>
      <w:pPr>
        <w:ind w:left="660" w:right="100"/>
        <w:spacing w:after="0" w:line="316" w:lineRule="auto"/>
        <w:rPr>
          <w:sz w:val="20"/>
          <w:szCs w:val="20"/>
          <w:color w:val="auto"/>
        </w:rPr>
      </w:pPr>
      <w:r>
        <w:rPr>
          <w:rFonts w:ascii="Arial" w:cs="Arial" w:eastAsia="Arial" w:hAnsi="Arial"/>
          <w:sz w:val="18"/>
          <w:szCs w:val="18"/>
          <w:color w:val="auto"/>
        </w:rPr>
        <w:t>This Contract will be construed according to the laws of the jurisdiction set forth on the Cover Page without regard to the principles of conflicts of laws thereof except to the extent that those laws have been preempted by the laws of the United States of America.</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u w:val="single" w:color="auto"/>
          <w:color w:val="auto"/>
        </w:rPr>
        <w:t>3.7</w:t>
      </w:r>
      <w:r>
        <w:rPr>
          <w:sz w:val="20"/>
          <w:szCs w:val="20"/>
          <w:color w:val="auto"/>
        </w:rPr>
        <w:tab/>
      </w:r>
      <w:r>
        <w:rPr>
          <w:rFonts w:ascii="Arial" w:cs="Arial" w:eastAsia="Arial" w:hAnsi="Arial"/>
          <w:sz w:val="18"/>
          <w:szCs w:val="18"/>
          <w:u w:val="single" w:color="auto"/>
          <w:color w:val="auto"/>
        </w:rPr>
        <w:t>Third Party Beneficiaries:</w:t>
      </w:r>
    </w:p>
    <w:p>
      <w:pPr>
        <w:spacing w:after="0" w:line="216" w:lineRule="exact"/>
        <w:rPr>
          <w:sz w:val="20"/>
          <w:szCs w:val="20"/>
          <w:color w:val="auto"/>
        </w:rPr>
      </w:pPr>
    </w:p>
    <w:p>
      <w:pPr>
        <w:ind w:left="660" w:right="60"/>
        <w:spacing w:after="0" w:line="269" w:lineRule="auto"/>
        <w:rPr>
          <w:sz w:val="20"/>
          <w:szCs w:val="20"/>
          <w:color w:val="auto"/>
        </w:rPr>
      </w:pPr>
      <w:r>
        <w:rPr>
          <w:rFonts w:ascii="Arial" w:cs="Arial" w:eastAsia="Arial" w:hAnsi="Arial"/>
          <w:sz w:val="19"/>
          <w:szCs w:val="19"/>
          <w:color w:val="auto"/>
        </w:rPr>
        <w:t>Except as expressly set forth in Section 1.9 (“Persons Entitled to Enforce this Contract against Prudential”) and in the definitions of “Covered Life,” “Contingent Life,” “Beneficiary,” this Contract does not and is not intended to confer any rights or remedies upon any person other than Contract-Holder and Prudential and their respective successors and permitted assigns.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2" w:right="259" w:bottom="1440" w:gutter="0" w:footer="0" w:header="0"/>
        </w:sectPr>
      </w:pPr>
    </w:p>
    <w:bookmarkStart w:id="191" w:name="page192"/>
    <w:bookmarkEnd w:id="191"/>
    <w:p>
      <w:pPr>
        <w:jc w:val="right"/>
        <w:spacing w:after="0"/>
        <w:rPr>
          <w:sz w:val="20"/>
          <w:szCs w:val="20"/>
          <w:color w:val="auto"/>
        </w:rPr>
      </w:pPr>
      <w:r>
        <w:rPr>
          <w:rFonts w:ascii="Arial" w:cs="Arial" w:eastAsia="Arial" w:hAnsi="Arial"/>
          <w:sz w:val="20"/>
          <w:szCs w:val="20"/>
          <w:b w:val="1"/>
          <w:bCs w:val="1"/>
          <w:color w:val="auto"/>
        </w:rPr>
        <w:t>Date: [MM DD, YYYY]</w:t>
      </w:r>
      <w:r>
        <w:rPr>
          <w:rFonts w:ascii="Arial" w:cs="Arial" w:eastAsia="Arial" w:hAnsi="Arial"/>
          <w:sz w:val="25"/>
          <w:szCs w:val="25"/>
          <w:b w:val="1"/>
          <w:bCs w:val="1"/>
          <w:color w:val="auto"/>
          <w:vertAlign w:val="superscript"/>
        </w:rPr>
        <w:t>E</w:t>
      </w:r>
    </w:p>
    <w:p>
      <w:pPr>
        <w:jc w:val="center"/>
        <w:ind w:right="80"/>
        <w:spacing w:after="0"/>
        <w:rPr>
          <w:sz w:val="20"/>
          <w:szCs w:val="20"/>
          <w:color w:val="auto"/>
        </w:rPr>
      </w:pPr>
      <w:r>
        <w:rPr>
          <w:rFonts w:ascii="Arial" w:cs="Arial" w:eastAsia="Arial" w:hAnsi="Arial"/>
          <w:sz w:val="20"/>
          <w:szCs w:val="20"/>
          <w:b w:val="1"/>
          <w:bCs w:val="1"/>
          <w:color w:val="auto"/>
        </w:rPr>
        <w:t>Transferred Assets Exhibit</w:t>
      </w:r>
    </w:p>
    <w:p>
      <w:pPr>
        <w:spacing w:after="0" w:line="200" w:lineRule="exact"/>
        <w:rPr>
          <w:sz w:val="20"/>
          <w:szCs w:val="20"/>
          <w:color w:val="auto"/>
        </w:rPr>
      </w:pPr>
    </w:p>
    <w:p>
      <w:pPr>
        <w:spacing w:after="0" w:line="210" w:lineRule="exact"/>
        <w:rPr>
          <w:sz w:val="20"/>
          <w:szCs w:val="20"/>
          <w:color w:val="auto"/>
        </w:rPr>
      </w:pPr>
    </w:p>
    <w:p>
      <w:pPr>
        <w:jc w:val="center"/>
        <w:ind w:right="80"/>
        <w:spacing w:after="0" w:line="281" w:lineRule="auto"/>
        <w:rPr>
          <w:sz w:val="20"/>
          <w:szCs w:val="20"/>
          <w:color w:val="auto"/>
        </w:rPr>
      </w:pPr>
      <w:r>
        <w:rPr>
          <w:rFonts w:ascii="Arial" w:cs="Arial" w:eastAsia="Arial" w:hAnsi="Arial"/>
          <w:sz w:val="20"/>
          <w:szCs w:val="20"/>
          <w:b w:val="1"/>
          <w:bCs w:val="1"/>
          <w:color w:val="auto"/>
        </w:rPr>
        <w:t>[Listing and Reconciliation of Assets Transferred and Retained in Respect of Total Contribution Amount and Adjusted Contribution Amounts Owed]</w:t>
      </w:r>
      <w:r>
        <w:rPr>
          <w:rFonts w:ascii="Arial" w:cs="Arial" w:eastAsia="Arial" w:hAnsi="Arial"/>
          <w:sz w:val="25"/>
          <w:szCs w:val="25"/>
          <w:b w:val="1"/>
          <w:bCs w:val="1"/>
          <w:color w:val="auto"/>
          <w:vertAlign w:val="superscript"/>
        </w:rPr>
        <w:t>1</w:t>
      </w: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360" w:top="972" w:right="279" w:bottom="1440" w:gutter="0" w:footer="0" w:header="0"/>
        </w:sectPr>
      </w:pPr>
    </w:p>
    <w:bookmarkStart w:id="192" w:name="page193"/>
    <w:bookmarkEnd w:id="192"/>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Appendix 1.1-B</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FORM OF GA-300 TRUE-UP AMENDMENT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Appendix 1.1B - 1</w:t>
      </w:r>
    </w:p>
    <w:p>
      <w:pPr>
        <w:sectPr>
          <w:pgSz w:w="11900" w:h="16838" w:orient="portrait"/>
          <w:cols w:equalWidth="0" w:num="1">
            <w:col w:w="9019"/>
          </w:cols>
          <w:pgMar w:left="1440" w:top="1440" w:right="1440" w:bottom="1440" w:gutter="0" w:footer="0" w:header="0"/>
        </w:sectPr>
      </w:pPr>
    </w:p>
    <w:bookmarkStart w:id="193" w:name="page194"/>
    <w:bookmarkEnd w:id="193"/>
    <w:p>
      <w:pPr>
        <w:spacing w:after="0"/>
        <w:rPr>
          <w:sz w:val="20"/>
          <w:szCs w:val="20"/>
          <w:color w:val="auto"/>
        </w:rPr>
      </w:pPr>
      <w:r>
        <w:rPr>
          <w:rFonts w:ascii="Arial" w:cs="Arial" w:eastAsia="Arial" w:hAnsi="Arial"/>
          <w:sz w:val="36"/>
          <w:szCs w:val="36"/>
          <w:color w:val="auto"/>
        </w:rPr>
        <w:t>[Prudential Logo]</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AMENDMENT ("</w:t>
      </w: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OF</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197" w:lineRule="exact"/>
        <w:rPr>
          <w:sz w:val="20"/>
          <w:szCs w:val="20"/>
          <w:color w:val="auto"/>
        </w:rPr>
      </w:pPr>
    </w:p>
    <w:p>
      <w:pPr>
        <w:ind w:left="660" w:hanging="328"/>
        <w:spacing w:after="0"/>
        <w:tabs>
          <w:tab w:leader="none" w:pos="660" w:val="left"/>
        </w:tabs>
        <w:numPr>
          <w:ilvl w:val="0"/>
          <w:numId w:val="196"/>
        </w:numPr>
        <w:rPr>
          <w:rFonts w:ascii="Arial" w:cs="Arial" w:eastAsia="Arial" w:hAnsi="Arial"/>
          <w:sz w:val="17"/>
          <w:szCs w:val="17"/>
          <w:color w:val="auto"/>
        </w:rPr>
      </w:pPr>
      <w:r>
        <w:rPr>
          <w:rFonts w:ascii="Arial" w:cs="Arial" w:eastAsia="Arial" w:hAnsi="Arial"/>
          <w:sz w:val="18"/>
          <w:szCs w:val="18"/>
          <w:color w:val="auto"/>
        </w:rPr>
        <w:t>The Contract-Holder and Prudential entered into the Contract effective as of [MM DD, 2012]</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amended on</w:t>
      </w:r>
    </w:p>
    <w:p>
      <w:pPr>
        <w:ind w:left="660"/>
        <w:spacing w:after="0"/>
        <w:rPr>
          <w:rFonts w:ascii="Arial" w:cs="Arial" w:eastAsia="Arial" w:hAnsi="Arial"/>
          <w:sz w:val="17"/>
          <w:szCs w:val="17"/>
          <w:color w:val="auto"/>
        </w:rPr>
      </w:pPr>
      <w:r>
        <w:rPr>
          <w:rFonts w:ascii="Arial" w:cs="Arial" w:eastAsia="Arial" w:hAnsi="Arial"/>
          <w:sz w:val="20"/>
          <w:szCs w:val="20"/>
          <w:color w:val="auto"/>
        </w:rPr>
        <w:t>_____________]</w:t>
      </w:r>
      <w:r>
        <w:rPr>
          <w:rFonts w:ascii="Arial" w:cs="Arial" w:eastAsia="Arial" w:hAnsi="Arial"/>
          <w:sz w:val="25"/>
          <w:szCs w:val="25"/>
          <w:color w:val="auto"/>
          <w:vertAlign w:val="superscript"/>
        </w:rPr>
        <w:t>B</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Contract</w:t>
      </w:r>
      <w:r>
        <w:rPr>
          <w:rFonts w:ascii="Arial" w:cs="Arial" w:eastAsia="Arial" w:hAnsi="Arial"/>
          <w:sz w:val="20"/>
          <w:szCs w:val="20"/>
          <w:color w:val="auto"/>
        </w:rPr>
        <w:t>”)</w:t>
      </w:r>
    </w:p>
    <w:p>
      <w:pPr>
        <w:spacing w:after="0" w:line="142" w:lineRule="exact"/>
        <w:rPr>
          <w:rFonts w:ascii="Arial" w:cs="Arial" w:eastAsia="Arial" w:hAnsi="Arial"/>
          <w:sz w:val="17"/>
          <w:szCs w:val="17"/>
          <w:color w:val="auto"/>
        </w:rPr>
      </w:pPr>
    </w:p>
    <w:p>
      <w:pPr>
        <w:ind w:left="660" w:right="40" w:hanging="328"/>
        <w:spacing w:after="0" w:line="246" w:lineRule="auto"/>
        <w:tabs>
          <w:tab w:leader="none" w:pos="66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Prudential has acknowledged receipt of cash, securities and other non-cash assets as payment of the Adjusted Contribution Amount specified on the Cover Page of the Contract. Each such non-cash asset (together with the cash paid) is shown on the Transferred Assets Exhibit(s) attached to the Contract. In addition, Annuity Exhibit(s) are attached to the Contract which set forth the payments owed by Prudential under the Contract.</w:t>
      </w:r>
    </w:p>
    <w:p>
      <w:pPr>
        <w:spacing w:after="0" w:line="191" w:lineRule="exact"/>
        <w:rPr>
          <w:rFonts w:ascii="Arial" w:cs="Arial" w:eastAsia="Arial" w:hAnsi="Arial"/>
          <w:sz w:val="20"/>
          <w:szCs w:val="20"/>
          <w:color w:val="auto"/>
        </w:rPr>
      </w:pPr>
    </w:p>
    <w:p>
      <w:pPr>
        <w:ind w:left="660" w:right="160" w:hanging="328"/>
        <w:spacing w:after="0" w:line="287" w:lineRule="auto"/>
        <w:tabs>
          <w:tab w:leader="none" w:pos="66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It is the desire of Contract-Holder and Prudential to amend the Contract to reflect corrections and/or updates to the Total Contribution Amount, the Adjusted Contribution Amount, the Transferred Assets Exhibit(s) and/or the Annuity Exhibit(s).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THEREFORE, PRUDENTIAL AND THE CONTRACT-HOLDER AGREE AS FOLLOWS:</w:t>
      </w:r>
    </w:p>
    <w:p>
      <w:pPr>
        <w:spacing w:after="0" w:line="229" w:lineRule="exact"/>
        <w:rPr>
          <w:sz w:val="20"/>
          <w:szCs w:val="20"/>
          <w:color w:val="auto"/>
        </w:rPr>
      </w:pPr>
    </w:p>
    <w:p>
      <w:pPr>
        <w:ind w:left="660" w:right="240" w:hanging="323"/>
        <w:spacing w:after="0" w:line="250" w:lineRule="auto"/>
        <w:rPr>
          <w:sz w:val="20"/>
          <w:szCs w:val="20"/>
          <w:color w:val="auto"/>
        </w:rPr>
      </w:pPr>
      <w:r>
        <w:rPr>
          <w:rFonts w:ascii="Arial" w:cs="Arial" w:eastAsia="Arial" w:hAnsi="Arial"/>
          <w:sz w:val="20"/>
          <w:szCs w:val="20"/>
          <w:color w:val="auto"/>
        </w:rPr>
        <w:t>[1.] Prudential and Contract-Holder agree that the [Cover Page]D [the Transferred Assets Exhibit]D [and the Annuity Exhibits]D as constituted immediately prior to this amendment are hereby replaced by the attached [Cover Page]D, [Transferred Assets Exhibits]D [and Annuity Exhibits]D.</w:t>
      </w:r>
    </w:p>
    <w:p>
      <w:pPr>
        <w:spacing w:after="0" w:line="200" w:lineRule="exact"/>
        <w:rPr>
          <w:sz w:val="20"/>
          <w:szCs w:val="20"/>
          <w:color w:val="auto"/>
        </w:rPr>
      </w:pPr>
    </w:p>
    <w:p>
      <w:pPr>
        <w:ind w:left="660" w:hanging="323"/>
        <w:spacing w:after="0" w:line="250" w:lineRule="auto"/>
        <w:rPr>
          <w:sz w:val="20"/>
          <w:szCs w:val="20"/>
          <w:color w:val="auto"/>
        </w:rPr>
      </w:pPr>
      <w:r>
        <w:rPr>
          <w:rFonts w:ascii="Arial" w:cs="Arial" w:eastAsia="Arial" w:hAnsi="Arial"/>
          <w:sz w:val="20"/>
          <w:szCs w:val="20"/>
          <w:color w:val="auto"/>
        </w:rPr>
        <w:t>[2.] [[As specified in the amended Cover Page and Transferred Assets Exhibits, on the Amendment Date]D Prudential shall promptly transfer to the Contract-Holder (or an entity designated by it) any non-cash assets (together with any cash) shown as owing to Contract-Holder as an Adjusted Contribution Amount. ]C</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1.1B - 2</w:t>
      </w:r>
    </w:p>
    <w:p>
      <w:pPr>
        <w:sectPr>
          <w:pgSz w:w="11900" w:h="16838" w:orient="portrait"/>
          <w:cols w:equalWidth="0" w:num="1">
            <w:col w:w="11400"/>
          </w:cols>
          <w:pgMar w:left="240" w:top="584" w:right="259" w:bottom="1440" w:gutter="0" w:footer="0" w:header="0"/>
        </w:sectPr>
      </w:pPr>
    </w:p>
    <w:bookmarkStart w:id="194" w:name="page195"/>
    <w:bookmarkEnd w:id="194"/>
    <w:p>
      <w:pPr>
        <w:ind w:left="8"/>
        <w:spacing w:after="0"/>
        <w:rPr>
          <w:sz w:val="20"/>
          <w:szCs w:val="20"/>
          <w:color w:val="auto"/>
        </w:rPr>
      </w:pPr>
      <w:r>
        <w:rPr>
          <w:rFonts w:ascii="Arial" w:cs="Arial" w:eastAsia="Arial" w:hAnsi="Arial"/>
          <w:sz w:val="20"/>
          <w:szCs w:val="20"/>
          <w:color w:val="auto"/>
        </w:rPr>
        <w:t>[3.] [The following paragraph shall be added as the second-to-last paragraph of Section 1.2 of the Contract:</w:t>
      </w:r>
    </w:p>
    <w:p>
      <w:pPr>
        <w:spacing w:after="0" w:line="229" w:lineRule="exact"/>
        <w:rPr>
          <w:sz w:val="20"/>
          <w:szCs w:val="20"/>
          <w:color w:val="auto"/>
        </w:rPr>
      </w:pPr>
    </w:p>
    <w:p>
      <w:pPr>
        <w:ind w:left="968"/>
        <w:spacing w:after="0"/>
        <w:rPr>
          <w:sz w:val="20"/>
          <w:szCs w:val="20"/>
          <w:color w:val="auto"/>
        </w:rPr>
      </w:pPr>
      <w:r>
        <w:rPr>
          <w:rFonts w:ascii="Arial" w:cs="Arial" w:eastAsia="Arial" w:hAnsi="Arial"/>
          <w:sz w:val="20"/>
          <w:szCs w:val="20"/>
          <w:color w:val="auto"/>
        </w:rPr>
        <w:t>[ *** ]</w:t>
      </w:r>
    </w:p>
    <w:p>
      <w:pPr>
        <w:spacing w:after="0" w:line="229" w:lineRule="exact"/>
        <w:rPr>
          <w:sz w:val="20"/>
          <w:szCs w:val="20"/>
          <w:color w:val="auto"/>
        </w:rPr>
      </w:pPr>
    </w:p>
    <w:p>
      <w:pPr>
        <w:ind w:left="8"/>
        <w:spacing w:after="0"/>
        <w:rPr>
          <w:sz w:val="20"/>
          <w:szCs w:val="20"/>
          <w:color w:val="auto"/>
        </w:rPr>
      </w:pPr>
      <w:r>
        <w:rPr>
          <w:rFonts w:ascii="Arial" w:cs="Arial" w:eastAsia="Arial" w:hAnsi="Arial"/>
          <w:sz w:val="20"/>
          <w:szCs w:val="20"/>
          <w:color w:val="auto"/>
        </w:rPr>
        <w:t>[4.] [The following paragraph shall be added as the last paragraph of section 1.2 of the Contract:</w:t>
      </w:r>
    </w:p>
    <w:p>
      <w:pPr>
        <w:spacing w:after="0" w:line="229" w:lineRule="exact"/>
        <w:rPr>
          <w:sz w:val="20"/>
          <w:szCs w:val="20"/>
          <w:color w:val="auto"/>
        </w:rPr>
      </w:pPr>
    </w:p>
    <w:p>
      <w:pPr>
        <w:ind w:left="1088" w:hanging="115"/>
        <w:spacing w:after="0"/>
        <w:tabs>
          <w:tab w:leader="none" w:pos="1088" w:val="left"/>
        </w:tabs>
        <w:numPr>
          <w:ilvl w:val="1"/>
          <w:numId w:val="197"/>
        </w:numPr>
        <w:rPr>
          <w:rFonts w:ascii="Arial" w:cs="Arial" w:eastAsia="Arial" w:hAnsi="Arial"/>
          <w:sz w:val="20"/>
          <w:szCs w:val="20"/>
          <w:color w:val="auto"/>
        </w:rPr>
      </w:pPr>
      <w:r>
        <w:rPr>
          <w:rFonts w:ascii="Arial" w:cs="Arial" w:eastAsia="Arial" w:hAnsi="Arial"/>
          <w:sz w:val="20"/>
          <w:szCs w:val="20"/>
          <w:color w:val="auto"/>
        </w:rPr>
        <w:t>*** ]</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328" w:hanging="328"/>
        <w:spacing w:after="0" w:line="246" w:lineRule="auto"/>
        <w:tabs>
          <w:tab w:leader="none" w:pos="328"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After giving effect to this Amendment, references in the Contract to “Contract” shall mean the Contract as amended by this Amendment [and references to the “Transferred Assets Exhibit” shall mean the Transferred Assets Exhibit attached to this Amendment]D [and references to the “Annuity Exhibit” shall mean the Annuity Exhibit attached to this Amendment]D [and references to “Cover Page” shall mean the Cover Page attached to this Amendment. ]D</w:t>
      </w:r>
    </w:p>
    <w:p>
      <w:pPr>
        <w:sectPr>
          <w:pgSz w:w="11900" w:h="16838" w:orient="portrait"/>
          <w:cols w:equalWidth="0" w:num="1">
            <w:col w:w="11048"/>
          </w:cols>
          <w:pgMar w:left="572" w:top="81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8"/>
        <w:spacing w:after="0" w:line="277" w:lineRule="auto"/>
        <w:rPr>
          <w:sz w:val="20"/>
          <w:szCs w:val="20"/>
          <w:color w:val="auto"/>
        </w:rPr>
      </w:pPr>
      <w:r>
        <w:rPr>
          <w:rFonts w:ascii="Arial" w:cs="Arial" w:eastAsia="Arial" w:hAnsi="Arial"/>
          <w:sz w:val="18"/>
          <w:szCs w:val="18"/>
          <w:color w:val="auto"/>
        </w:rPr>
        <w:t>[NAME OF TRUST BANK as Directed Trustee of the Vita Salaried Retirement Trust, a New York trust</w:t>
      </w:r>
    </w:p>
    <w:p>
      <w:pPr>
        <w:spacing w:after="0" w:line="8" w:lineRule="exact"/>
        <w:rPr>
          <w:sz w:val="20"/>
          <w:szCs w:val="20"/>
          <w:color w:val="auto"/>
        </w:rPr>
      </w:pPr>
    </w:p>
    <w:p>
      <w:pPr>
        <w:ind w:left="128"/>
        <w:spacing w:after="0"/>
        <w:rPr>
          <w:sz w:val="20"/>
          <w:szCs w:val="20"/>
          <w:color w:val="auto"/>
        </w:rPr>
      </w:pPr>
      <w:r>
        <w:rPr>
          <w:rFonts w:ascii="Arial" w:cs="Arial" w:eastAsia="Arial" w:hAnsi="Arial"/>
          <w:sz w:val="18"/>
          <w:szCs w:val="18"/>
          <w:color w:val="auto"/>
        </w:rPr>
        <w:t>By:_____________________________________________</w:t>
      </w:r>
    </w:p>
    <w:p>
      <w:pPr>
        <w:spacing w:after="0" w:line="63" w:lineRule="exact"/>
        <w:rPr>
          <w:sz w:val="20"/>
          <w:szCs w:val="20"/>
          <w:color w:val="auto"/>
        </w:rPr>
      </w:pPr>
    </w:p>
    <w:p>
      <w:pPr>
        <w:ind w:left="128"/>
        <w:spacing w:after="0"/>
        <w:rPr>
          <w:sz w:val="20"/>
          <w:szCs w:val="20"/>
          <w:color w:val="auto"/>
        </w:rPr>
      </w:pPr>
      <w:r>
        <w:rPr>
          <w:rFonts w:ascii="Arial" w:cs="Arial" w:eastAsia="Arial" w:hAnsi="Arial"/>
          <w:sz w:val="18"/>
          <w:szCs w:val="18"/>
          <w:color w:val="auto"/>
        </w:rPr>
        <w:t>Title:</w:t>
      </w:r>
    </w:p>
    <w:p>
      <w:pPr>
        <w:spacing w:after="0" w:line="63" w:lineRule="exact"/>
        <w:rPr>
          <w:sz w:val="20"/>
          <w:szCs w:val="20"/>
          <w:color w:val="auto"/>
        </w:rPr>
      </w:pPr>
    </w:p>
    <w:p>
      <w:pPr>
        <w:ind w:left="128"/>
        <w:spacing w:after="0"/>
        <w:rPr>
          <w:sz w:val="20"/>
          <w:szCs w:val="20"/>
          <w:color w:val="auto"/>
        </w:rPr>
      </w:pPr>
      <w:r>
        <w:rPr>
          <w:rFonts w:ascii="Arial" w:cs="Arial" w:eastAsia="Arial" w:hAnsi="Arial"/>
          <w:sz w:val="18"/>
          <w:szCs w:val="18"/>
          <w:color w:val="auto"/>
        </w:rPr>
        <w:t>Date:____________________________________________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THE PRUDENTIAL INSURANCE COMPANY OF AMERICA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Date:____________________________________________</w:t>
      </w:r>
    </w:p>
    <w:p>
      <w:pPr>
        <w:spacing w:after="0" w:line="211" w:lineRule="exact"/>
        <w:rPr>
          <w:sz w:val="20"/>
          <w:szCs w:val="20"/>
          <w:color w:val="auto"/>
        </w:rPr>
      </w:pPr>
    </w:p>
    <w:p>
      <w:pPr>
        <w:sectPr>
          <w:pgSz w:w="11900" w:h="16838" w:orient="portrait"/>
          <w:cols w:equalWidth="0" w:num="2">
            <w:col w:w="5028" w:space="720"/>
            <w:col w:w="5300"/>
          </w:cols>
          <w:pgMar w:left="572" w:top="812" w:right="279" w:bottom="1440" w:gutter="0" w:footer="0" w:header="0"/>
          <w:type w:val="continuous"/>
        </w:sectPr>
      </w:pPr>
    </w:p>
    <w:p>
      <w:pPr>
        <w:spacing w:after="0" w:line="295" w:lineRule="exact"/>
        <w:rPr>
          <w:sz w:val="20"/>
          <w:szCs w:val="20"/>
          <w:color w:val="auto"/>
        </w:rPr>
      </w:pPr>
    </w:p>
    <w:p>
      <w:pPr>
        <w:jc w:val="center"/>
        <w:ind w:right="292"/>
        <w:spacing w:after="0"/>
        <w:rPr>
          <w:sz w:val="20"/>
          <w:szCs w:val="20"/>
          <w:color w:val="auto"/>
        </w:rPr>
      </w:pPr>
      <w:r>
        <w:rPr>
          <w:rFonts w:ascii="Arial" w:cs="Arial" w:eastAsia="Arial" w:hAnsi="Arial"/>
          <w:sz w:val="16"/>
          <w:szCs w:val="16"/>
          <w:color w:val="auto"/>
        </w:rPr>
        <w:t>Appendix 1.1B - 3</w:t>
      </w:r>
    </w:p>
    <w:p>
      <w:pPr>
        <w:sectPr>
          <w:pgSz w:w="11900" w:h="16838" w:orient="portrait"/>
          <w:cols w:equalWidth="0" w:num="1">
            <w:col w:w="11048"/>
          </w:cols>
          <w:pgMar w:left="572" w:top="812" w:right="279" w:bottom="1440" w:gutter="0" w:footer="0" w:header="0"/>
          <w:type w:val="continuous"/>
        </w:sectPr>
      </w:pPr>
    </w:p>
    <w:bookmarkStart w:id="195" w:name="page196"/>
    <w:bookmarkEnd w:id="195"/>
    <w:p>
      <w:pPr>
        <w:jc w:val="center"/>
        <w:ind w:right="-19"/>
        <w:spacing w:after="0"/>
        <w:rPr>
          <w:sz w:val="20"/>
          <w:szCs w:val="20"/>
          <w:color w:val="auto"/>
        </w:rPr>
      </w:pPr>
      <w:r>
        <w:rPr>
          <w:rFonts w:ascii="Arial" w:cs="Arial" w:eastAsia="Arial" w:hAnsi="Arial"/>
          <w:sz w:val="22"/>
          <w:szCs w:val="22"/>
          <w:b w:val="1"/>
          <w:bCs w:val="1"/>
          <w:u w:val="single" w:color="auto"/>
          <w:color w:val="auto"/>
        </w:rPr>
        <w:t>Appendix 1.2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PRICED LIVES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Reference is made to the Excel spreadsheet titled “Appendix 1-2 Priced Lives 2012 5 9 VITA DTFA.xlsx”, uploaded by the Insurer to the RR Donnelly Venue Virtue Data Room, Project Name Vita Commercial Diligence at 6:41p.m. New York City time on May 29, 2012 and contained on the Identified CD-ROM.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1.2 - 1</w:t>
      </w:r>
    </w:p>
    <w:p>
      <w:pPr>
        <w:sectPr>
          <w:pgSz w:w="11900" w:h="16838" w:orient="portrait"/>
          <w:cols w:equalWidth="0" w:num="1">
            <w:col w:w="11420"/>
          </w:cols>
          <w:pgMar w:left="240" w:top="801" w:right="239" w:bottom="1440" w:gutter="0" w:footer="0" w:header="0"/>
        </w:sectPr>
      </w:pPr>
    </w:p>
    <w:bookmarkStart w:id="196" w:name="page197"/>
    <w:bookmarkEnd w:id="196"/>
    <w:p>
      <w:pPr>
        <w:jc w:val="center"/>
        <w:ind w:right="500"/>
        <w:spacing w:after="0"/>
        <w:rPr>
          <w:sz w:val="20"/>
          <w:szCs w:val="20"/>
          <w:color w:val="auto"/>
        </w:rPr>
      </w:pPr>
      <w:r>
        <w:rPr>
          <w:rFonts w:ascii="Arial" w:cs="Arial" w:eastAsia="Arial" w:hAnsi="Arial"/>
          <w:sz w:val="22"/>
          <w:szCs w:val="22"/>
          <w:b w:val="1"/>
          <w:bCs w:val="1"/>
          <w:u w:val="single" w:color="auto"/>
          <w:color w:val="auto"/>
        </w:rPr>
        <w:t>Appendix 1.3E</w:t>
      </w:r>
    </w:p>
    <w:p>
      <w:pPr>
        <w:spacing w:after="0" w:line="220"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FORM OF ANNUITY CERTIFICATES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6880" w:type="dxa"/>
            <w:vAlign w:val="bottom"/>
            <w:gridSpan w:val="6"/>
          </w:tcPr>
          <w:p>
            <w:pPr>
              <w:jc w:val="center"/>
              <w:ind w:right="3600"/>
              <w:spacing w:after="0"/>
              <w:rPr>
                <w:sz w:val="20"/>
                <w:szCs w:val="20"/>
                <w:color w:val="auto"/>
              </w:rPr>
            </w:pPr>
            <w:r>
              <w:rPr>
                <w:rFonts w:ascii="Arial" w:cs="Arial" w:eastAsia="Arial" w:hAnsi="Arial"/>
                <w:sz w:val="20"/>
                <w:szCs w:val="20"/>
                <w:b w:val="1"/>
                <w:bCs w:val="1"/>
                <w:color w:val="auto"/>
              </w:rPr>
              <w:t>ANNUITY CERTIFICATE</w:t>
            </w:r>
          </w:p>
        </w:tc>
        <w:tc>
          <w:tcPr>
            <w:tcW w:w="0" w:type="dxa"/>
            <w:vAlign w:val="bottom"/>
          </w:tcPr>
          <w:p>
            <w:pPr>
              <w:spacing w:after="0"/>
              <w:rPr>
                <w:sz w:val="1"/>
                <w:szCs w:val="1"/>
                <w:color w:val="auto"/>
              </w:rPr>
            </w:pPr>
          </w:p>
        </w:tc>
      </w:tr>
      <w:tr>
        <w:trPr>
          <w:trHeight w:val="426"/>
        </w:trPr>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20"/>
                <w:szCs w:val="20"/>
                <w:b w:val="1"/>
                <w:bCs w:val="1"/>
                <w:color w:val="auto"/>
                <w:w w:val="91"/>
              </w:rPr>
              <w:t>Table of Information</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58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top w:val="single" w:sz="8" w:color="auto"/>
              <w:bottom w:val="single" w:sz="8" w:color="C0C0C0"/>
            </w:tcBorders>
          </w:tcPr>
          <w:p>
            <w:pPr>
              <w:spacing w:after="0"/>
              <w:rPr>
                <w:sz w:val="24"/>
                <w:szCs w:val="24"/>
                <w:color w:val="auto"/>
              </w:rPr>
            </w:pPr>
          </w:p>
        </w:tc>
        <w:tc>
          <w:tcPr>
            <w:tcW w:w="12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0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Covered Life:</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Certificate Number:</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580" w:type="dxa"/>
            <w:vAlign w:val="bottom"/>
            <w:tcBorders>
              <w:left w:val="single" w:sz="8" w:color="C0C0C0"/>
            </w:tcBorders>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4"/>
              </w:rPr>
              <w:t>[NAME OF TRUST BANK, as Directed Trustee of the Vita Salaried</w:t>
            </w:r>
          </w:p>
        </w:tc>
        <w:tc>
          <w:tcPr>
            <w:tcW w:w="0" w:type="dxa"/>
            <w:vAlign w:val="bottom"/>
          </w:tcPr>
          <w:p>
            <w:pPr>
              <w:spacing w:after="0"/>
              <w:rPr>
                <w:sz w:val="1"/>
                <w:szCs w:val="1"/>
                <w:color w:val="auto"/>
              </w:rPr>
            </w:pPr>
          </w:p>
        </w:tc>
      </w:tr>
      <w:tr>
        <w:trPr>
          <w:trHeight w:val="273"/>
        </w:trPr>
        <w:tc>
          <w:tcPr>
            <w:tcW w:w="3580" w:type="dxa"/>
            <w:vAlign w:val="bottom"/>
            <w:tcBorders>
              <w:left w:val="single" w:sz="8" w:color="C0C0C0"/>
              <w:bottom w:val="single" w:sz="8" w:color="C0C0C0"/>
            </w:tcBorders>
          </w:tcPr>
          <w:p>
            <w:pPr>
              <w:ind w:left="20"/>
              <w:spacing w:after="0" w:line="274"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right w:val="single" w:sz="8" w:color="C0C0C0"/>
            </w:tcBorders>
          </w:tcPr>
          <w:p>
            <w:pPr>
              <w:spacing w:after="0"/>
              <w:rPr>
                <w:sz w:val="23"/>
                <w:szCs w:val="23"/>
                <w:color w:val="auto"/>
              </w:rPr>
            </w:pPr>
          </w:p>
        </w:tc>
        <w:tc>
          <w:tcPr>
            <w:tcW w:w="562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Retirement Trust, a New York trust]</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Salaried Retirement Plan]</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Group Annuity Contract Number:</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[Article P of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580" w:type="dxa"/>
            <w:vAlign w:val="bottom"/>
            <w:tcBorders>
              <w:left w:val="single" w:sz="8" w:color="C0C0C0"/>
            </w:tcBorders>
          </w:tcPr>
          <w:p>
            <w:pPr>
              <w:ind w:left="20"/>
              <w:spacing w:after="0"/>
              <w:rPr>
                <w:sz w:val="20"/>
                <w:szCs w:val="20"/>
                <w:color w:val="auto"/>
              </w:rPr>
            </w:pPr>
            <w:r>
              <w:rPr>
                <w:rFonts w:ascii="Arial" w:cs="Arial" w:eastAsia="Arial" w:hAnsi="Arial"/>
                <w:sz w:val="20"/>
                <w:szCs w:val="20"/>
                <w:i w:val="1"/>
                <w:iCs w:val="1"/>
                <w:color w:val="auto"/>
              </w:rPr>
              <w:t>Form of Annuity:</w:t>
            </w: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Borders>
              <w:right w:val="single" w:sz="8" w:color="C0C0C0"/>
            </w:tcBorders>
          </w:tcPr>
          <w:p>
            <w:pPr>
              <w:spacing w:after="0"/>
              <w:rPr>
                <w:sz w:val="22"/>
                <w:szCs w:val="22"/>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Single Life Annuity</w:t>
            </w:r>
          </w:p>
        </w:tc>
        <w:tc>
          <w:tcPr>
            <w:tcW w:w="0" w:type="dxa"/>
            <w:vAlign w:val="bottom"/>
          </w:tcPr>
          <w:p>
            <w:pPr>
              <w:spacing w:after="0"/>
              <w:rPr>
                <w:sz w:val="1"/>
                <w:szCs w:val="1"/>
                <w:color w:val="auto"/>
              </w:rPr>
            </w:pPr>
          </w:p>
        </w:tc>
      </w:tr>
      <w:tr>
        <w:trPr>
          <w:trHeight w:val="23"/>
        </w:trPr>
        <w:tc>
          <w:tcPr>
            <w:tcW w:w="3580" w:type="dxa"/>
            <w:vAlign w:val="bottom"/>
            <w:tcBorders>
              <w:left w:val="single" w:sz="8" w:color="C0C0C0"/>
              <w:bottom w:val="single" w:sz="8" w:color="C0C0C0"/>
            </w:tcBorders>
          </w:tcPr>
          <w:p>
            <w:pPr>
              <w:spacing w:after="0"/>
              <w:rPr>
                <w:sz w:val="2"/>
                <w:szCs w:val="2"/>
                <w:color w:val="auto"/>
              </w:rPr>
            </w:pPr>
          </w:p>
        </w:tc>
        <w:tc>
          <w:tcPr>
            <w:tcW w:w="48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500" w:type="dxa"/>
            <w:vAlign w:val="bottom"/>
            <w:tcBorders>
              <w:bottom w:val="single" w:sz="8" w:color="C0C0C0"/>
              <w:right w:val="single" w:sz="8" w:color="C0C0C0"/>
            </w:tcBorders>
          </w:tcPr>
          <w:p>
            <w:pPr>
              <w:spacing w:after="0"/>
              <w:rPr>
                <w:sz w:val="2"/>
                <w:szCs w:val="2"/>
                <w:color w:val="auto"/>
              </w:rPr>
            </w:pPr>
          </w:p>
        </w:tc>
        <w:tc>
          <w:tcPr>
            <w:tcW w:w="12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080" w:type="dxa"/>
            <w:vAlign w:val="bottom"/>
            <w:tcBorders>
              <w:bottom w:val="single" w:sz="8" w:color="C0C0C0"/>
              <w:right w:val="single" w:sz="8" w:color="C0C0C0"/>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580" w:type="dxa"/>
            <w:vAlign w:val="bottom"/>
            <w:tcBorders>
              <w:left w:val="single" w:sz="8" w:color="C0C0C0"/>
            </w:tcBorders>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[Special Benefit Rider</w:t>
            </w:r>
          </w:p>
        </w:tc>
        <w:tc>
          <w:tcPr>
            <w:tcW w:w="0" w:type="dxa"/>
            <w:vAlign w:val="bottom"/>
          </w:tcPr>
          <w:p>
            <w:pPr>
              <w:spacing w:after="0"/>
              <w:rPr>
                <w:sz w:val="1"/>
                <w:szCs w:val="1"/>
                <w:color w:val="auto"/>
              </w:rPr>
            </w:pPr>
          </w:p>
        </w:tc>
      </w:tr>
      <w:tr>
        <w:trPr>
          <w:trHeight w:val="230"/>
        </w:trPr>
        <w:tc>
          <w:tcPr>
            <w:tcW w:w="3580" w:type="dxa"/>
            <w:vAlign w:val="bottom"/>
            <w:tcBorders>
              <w:left w:val="single" w:sz="8" w:color="C0C0C0"/>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right w:val="single" w:sz="8" w:color="C0C0C0"/>
            </w:tcBorders>
          </w:tcPr>
          <w:p>
            <w:pPr>
              <w:spacing w:after="0"/>
              <w:rPr>
                <w:sz w:val="19"/>
                <w:szCs w:val="19"/>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Level Benefit Rider</w:t>
            </w:r>
          </w:p>
        </w:tc>
        <w:tc>
          <w:tcPr>
            <w:tcW w:w="0" w:type="dxa"/>
            <w:vAlign w:val="bottom"/>
          </w:tcPr>
          <w:p>
            <w:pPr>
              <w:spacing w:after="0"/>
              <w:rPr>
                <w:sz w:val="1"/>
                <w:szCs w:val="1"/>
                <w:color w:val="auto"/>
              </w:rPr>
            </w:pPr>
          </w:p>
        </w:tc>
      </w:tr>
      <w:tr>
        <w:trPr>
          <w:trHeight w:val="230"/>
        </w:trPr>
        <w:tc>
          <w:tcPr>
            <w:tcW w:w="3580" w:type="dxa"/>
            <w:vAlign w:val="bottom"/>
            <w:tcBorders>
              <w:left w:val="single" w:sz="8" w:color="C0C0C0"/>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right w:val="single" w:sz="8" w:color="C0C0C0"/>
            </w:tcBorders>
          </w:tcPr>
          <w:p>
            <w:pPr>
              <w:spacing w:after="0"/>
              <w:rPr>
                <w:sz w:val="19"/>
                <w:szCs w:val="19"/>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Refund Death Benefit Rider</w:t>
            </w:r>
          </w:p>
        </w:tc>
        <w:tc>
          <w:tcPr>
            <w:tcW w:w="0" w:type="dxa"/>
            <w:vAlign w:val="bottom"/>
          </w:tcPr>
          <w:p>
            <w:pPr>
              <w:spacing w:after="0"/>
              <w:rPr>
                <w:sz w:val="1"/>
                <w:szCs w:val="1"/>
                <w:color w:val="auto"/>
              </w:rPr>
            </w:pPr>
          </w:p>
        </w:tc>
      </w:tr>
      <w:tr>
        <w:trPr>
          <w:trHeight w:val="273"/>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Riders:</w:t>
            </w:r>
          </w:p>
        </w:tc>
        <w:tc>
          <w:tcPr>
            <w:tcW w:w="48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right w:val="single" w:sz="8" w:color="C0C0C0"/>
            </w:tcBorders>
          </w:tcPr>
          <w:p>
            <w:pPr>
              <w:spacing w:after="0"/>
              <w:rPr>
                <w:sz w:val="23"/>
                <w:szCs w:val="23"/>
                <w:color w:val="auto"/>
              </w:rPr>
            </w:pPr>
          </w:p>
        </w:tc>
        <w:tc>
          <w:tcPr>
            <w:tcW w:w="562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580" w:type="dxa"/>
            <w:vAlign w:val="bottom"/>
            <w:tcBorders>
              <w:left w:val="single" w:sz="8" w:color="C0C0C0"/>
            </w:tcBorders>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[Post-Retirement Marriage Conversion Option</w:t>
            </w:r>
          </w:p>
        </w:tc>
        <w:tc>
          <w:tcPr>
            <w:tcW w:w="0" w:type="dxa"/>
            <w:vAlign w:val="bottom"/>
          </w:tcPr>
          <w:p>
            <w:pPr>
              <w:spacing w:after="0"/>
              <w:rPr>
                <w:sz w:val="1"/>
                <w:szCs w:val="1"/>
                <w:color w:val="auto"/>
              </w:rPr>
            </w:pPr>
          </w:p>
        </w:tc>
      </w:tr>
      <w:tr>
        <w:trPr>
          <w:trHeight w:val="230"/>
        </w:trPr>
        <w:tc>
          <w:tcPr>
            <w:tcW w:w="3580" w:type="dxa"/>
            <w:vAlign w:val="bottom"/>
            <w:tcBorders>
              <w:left w:val="single" w:sz="8" w:color="C0C0C0"/>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right w:val="single" w:sz="8" w:color="C0C0C0"/>
            </w:tcBorders>
          </w:tcPr>
          <w:p>
            <w:pPr>
              <w:spacing w:after="0"/>
              <w:rPr>
                <w:sz w:val="19"/>
                <w:szCs w:val="19"/>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Disabled Age 55 Conversion Option</w:t>
            </w:r>
          </w:p>
        </w:tc>
        <w:tc>
          <w:tcPr>
            <w:tcW w:w="0" w:type="dxa"/>
            <w:vAlign w:val="bottom"/>
          </w:tcPr>
          <w:p>
            <w:pPr>
              <w:spacing w:after="0"/>
              <w:rPr>
                <w:sz w:val="1"/>
                <w:szCs w:val="1"/>
                <w:color w:val="auto"/>
              </w:rPr>
            </w:pPr>
          </w:p>
        </w:tc>
      </w:tr>
      <w:tr>
        <w:trPr>
          <w:trHeight w:val="331"/>
        </w:trPr>
        <w:tc>
          <w:tcPr>
            <w:tcW w:w="3580" w:type="dxa"/>
            <w:vAlign w:val="bottom"/>
            <w:tcBorders>
              <w:left w:val="single" w:sz="8" w:color="C0C0C0"/>
            </w:tcBorders>
            <w:vMerge w:val="restart"/>
          </w:tcPr>
          <w:p>
            <w:pPr>
              <w:ind w:left="20"/>
              <w:spacing w:after="0"/>
              <w:rPr>
                <w:sz w:val="20"/>
                <w:szCs w:val="20"/>
                <w:color w:val="auto"/>
              </w:rPr>
            </w:pPr>
            <w:r>
              <w:rPr>
                <w:rFonts w:ascii="Arial" w:cs="Arial" w:eastAsia="Arial" w:hAnsi="Arial"/>
                <w:sz w:val="20"/>
                <w:szCs w:val="20"/>
                <w:i w:val="1"/>
                <w:iCs w:val="1"/>
                <w:color w:val="auto"/>
              </w:rPr>
              <w:t>Conversion Options: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C0C0C0"/>
            </w:tcBorders>
          </w:tcPr>
          <w:p>
            <w:pPr>
              <w:spacing w:after="0"/>
              <w:rPr>
                <w:sz w:val="24"/>
                <w:szCs w:val="24"/>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135"/>
        </w:trPr>
        <w:tc>
          <w:tcPr>
            <w:tcW w:w="3580" w:type="dxa"/>
            <w:vAlign w:val="bottom"/>
            <w:tcBorders>
              <w:left w:val="single" w:sz="8" w:color="C0C0C0"/>
            </w:tcBorders>
            <w:vMerge w:val="continue"/>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right w:val="single" w:sz="8" w:color="C0C0C0"/>
            </w:tcBorders>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80" w:type="dxa"/>
            <w:vAlign w:val="bottom"/>
            <w:tcBorders>
              <w:right w:val="single" w:sz="8" w:color="C0C0C0"/>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580" w:type="dxa"/>
            <w:vAlign w:val="bottom"/>
            <w:tcBorders>
              <w:left w:val="single" w:sz="8" w:color="C0C0C0"/>
              <w:bottom w:val="single" w:sz="8" w:color="C0C0C0"/>
            </w:tcBorders>
          </w:tcPr>
          <w:p>
            <w:pPr>
              <w:spacing w:after="0"/>
              <w:rPr>
                <w:sz w:val="2"/>
                <w:szCs w:val="2"/>
                <w:color w:val="auto"/>
              </w:rPr>
            </w:pPr>
          </w:p>
        </w:tc>
        <w:tc>
          <w:tcPr>
            <w:tcW w:w="48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500" w:type="dxa"/>
            <w:vAlign w:val="bottom"/>
            <w:tcBorders>
              <w:bottom w:val="single" w:sz="8" w:color="C0C0C0"/>
              <w:right w:val="single" w:sz="8" w:color="C0C0C0"/>
            </w:tcBorders>
          </w:tcPr>
          <w:p>
            <w:pPr>
              <w:spacing w:after="0"/>
              <w:rPr>
                <w:sz w:val="2"/>
                <w:szCs w:val="2"/>
                <w:color w:val="auto"/>
              </w:rPr>
            </w:pPr>
          </w:p>
        </w:tc>
        <w:tc>
          <w:tcPr>
            <w:tcW w:w="12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080" w:type="dxa"/>
            <w:vAlign w:val="bottom"/>
            <w:tcBorders>
              <w:bottom w:val="single" w:sz="8" w:color="C0C0C0"/>
              <w:right w:val="single" w:sz="8" w:color="C0C0C0"/>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Commencement Date:</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Covered Life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[See “Payment Terms” Provision ] </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Maximum Refund Death Benefit: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Beneficiary(ies):</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[Name(s)/As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740" w:top="801" w:right="239" w:bottom="1440" w:gutter="0" w:footer="0" w:header="0"/>
        </w:sectPr>
      </w:pPr>
    </w:p>
    <w:p>
      <w:pPr>
        <w:spacing w:after="0" w:line="2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Appendix 1.3 - 1</w:t>
      </w:r>
    </w:p>
    <w:p>
      <w:pPr>
        <w:sectPr>
          <w:pgSz w:w="11900" w:h="16838" w:orient="portrait"/>
          <w:cols w:equalWidth="0" w:num="1">
            <w:col w:w="10920"/>
          </w:cols>
          <w:pgMar w:left="740" w:top="801" w:right="239" w:bottom="1440" w:gutter="0" w:footer="0" w:header="0"/>
          <w:type w:val="continuous"/>
        </w:sectPr>
      </w:pPr>
    </w:p>
    <w:bookmarkStart w:id="197" w:name="page198"/>
    <w:bookmarkEnd w:id="197"/>
    <w:tbl>
      <w:tblPr>
        <w:tblLayout w:type="fixed"/>
        <w:tblInd w:w="510" w:type="dxa"/>
        <w:tblCellMar>
          <w:top w:w="0" w:type="dxa"/>
          <w:left w:w="0" w:type="dxa"/>
          <w:bottom w:w="0" w:type="dxa"/>
          <w:right w:w="0" w:type="dxa"/>
        </w:tblCellMar>
      </w:tblPr>
      <w:tr>
        <w:trPr>
          <w:trHeight w:val="284"/>
        </w:trPr>
        <w:tc>
          <w:tcPr>
            <w:tcW w:w="4840" w:type="dxa"/>
            <w:vAlign w:val="bottom"/>
            <w:tcBorders>
              <w:top w:val="single" w:sz="8" w:color="C0C0C0"/>
              <w:left w:val="single" w:sz="8" w:color="C0C0C0"/>
              <w:bottom w:val="single" w:sz="8" w:color="C0C0C0"/>
              <w:right w:val="single" w:sz="8" w:color="C0C0C0"/>
            </w:tcBorders>
          </w:tcPr>
          <w:p>
            <w:pPr>
              <w:spacing w:after="0"/>
              <w:rPr>
                <w:sz w:val="24"/>
                <w:szCs w:val="24"/>
                <w:color w:val="auto"/>
              </w:rPr>
            </w:pPr>
          </w:p>
        </w:tc>
        <w:tc>
          <w:tcPr>
            <w:tcW w:w="5620" w:type="dxa"/>
            <w:vAlign w:val="bottom"/>
            <w:tcBorders>
              <w:top w:val="single" w:sz="8" w:color="C0C0C0"/>
              <w:bottom w:val="single" w:sz="8" w:color="C0C0C0"/>
              <w:right w:val="single" w:sz="8" w:color="C0C0C0"/>
            </w:tcBorders>
          </w:tcPr>
          <w:p>
            <w:pPr>
              <w:spacing w:after="0"/>
              <w:rPr>
                <w:sz w:val="24"/>
                <w:szCs w:val="24"/>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 A Basic Benefit: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[Contingent Life Name]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Life's Sex and Date of Birth:</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Male/Female, Date]</w:t>
            </w:r>
            <w:r>
              <w:rPr>
                <w:rFonts w:ascii="Arial" w:cs="Arial" w:eastAsia="Arial" w:hAnsi="Arial"/>
                <w:sz w:val="20"/>
                <w:szCs w:val="20"/>
                <w:b w:val="1"/>
                <w:bCs w:val="1"/>
                <w:color w:val="auto"/>
              </w:rPr>
              <w:t xml:space="preserve">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Level Rider Eligibility</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[Yes/No]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Temporary Benefit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304"/>
        </w:trPr>
        <w:tc>
          <w:tcPr>
            <w:tcW w:w="4840" w:type="dxa"/>
            <w:vAlign w:val="bottom"/>
            <w:tcBorders>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Age 55 Pre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Age 55 Post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Special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Level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ectPr>
          <w:pgSz w:w="11900" w:h="16838" w:orient="portrait"/>
          <w:cols w:equalWidth="0" w:num="1">
            <w:col w:w="10960"/>
          </w:cols>
          <w:pgMar w:left="240" w:top="714"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Appendix 1.3 - 2</w:t>
      </w:r>
    </w:p>
    <w:p>
      <w:pPr>
        <w:sectPr>
          <w:pgSz w:w="11900" w:h="16838" w:orient="portrait"/>
          <w:cols w:equalWidth="0" w:num="1">
            <w:col w:w="10960"/>
          </w:cols>
          <w:pgMar w:left="240" w:top="714" w:right="699" w:bottom="1440" w:gutter="0" w:footer="0" w:header="0"/>
          <w:type w:val="continuous"/>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“Single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Special Benefit Rider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Benefit Rider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Refund Death Benefit Rider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any of the following Option(s) if specified in the Table of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Post-Retirement Marriage Conversion Option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Disabled Age 55 Conversion Option</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If the Table of Information specifies that you have a Conversion Option to cancel this Annuity Form, the following will apply. If you exercise the option, your rights under this Annuity Form are cancelled. Also, the rights of the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“Covered Life Amount”.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pay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If you have a Refund Death Benefit Rider, we may owe a Refund Death Benefit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After you die, we will determine if we owe such payment. The following explains how we will determine if a payment is owed by us under this rider.</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 xml:space="preserve">The amount of the Refund Death Benefit, if any, will equal the </w:t>
      </w:r>
      <w:r>
        <w:rPr>
          <w:rFonts w:ascii="Arial" w:cs="Arial" w:eastAsia="Arial" w:hAnsi="Arial"/>
          <w:sz w:val="18"/>
          <w:szCs w:val="18"/>
          <w:i w:val="1"/>
          <w:iCs w:val="1"/>
          <w:color w:val="auto"/>
        </w:rPr>
        <w:t>Maximum Refund Death Benefit</w:t>
      </w:r>
      <w:r>
        <w:rPr>
          <w:rFonts w:ascii="Arial" w:cs="Arial" w:eastAsia="Arial" w:hAnsi="Arial"/>
          <w:sz w:val="18"/>
          <w:szCs w:val="18"/>
          <w:color w:val="auto"/>
        </w:rPr>
        <w:t xml:space="preserve"> (as specified in the Table of Information) less the Pre 1985 Part B Primary Amounts and the Post 1985 Part B Primary Amounts (as specified in the Table of Information) paid by us after the </w:t>
      </w:r>
      <w:r>
        <w:rPr>
          <w:rFonts w:ascii="Arial" w:cs="Arial" w:eastAsia="Arial" w:hAnsi="Arial"/>
          <w:sz w:val="18"/>
          <w:szCs w:val="18"/>
          <w:i w:val="1"/>
          <w:iCs w:val="1"/>
          <w:color w:val="auto"/>
        </w:rPr>
        <w:t>Annuity Commencement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Date </w:t>
      </w:r>
      <w:r>
        <w:rPr>
          <w:rFonts w:ascii="Arial" w:cs="Arial" w:eastAsia="Arial" w:hAnsi="Arial"/>
          <w:sz w:val="18"/>
          <w:szCs w:val="18"/>
          <w:color w:val="auto"/>
        </w:rPr>
        <w:t>to you (or to any related alternate payee, arising, for example, from a domestic relations order).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names, or values apply to your Single Life Annuity: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“Covered Life Amount” equals an amount that depends on whether you are younger or older than sixty-two years and one month (“62 + 1”).</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If you are younger than 62+1, the Covered Life Amount equals the “Pre 62+1 Pension Amount” specified in the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1.3 - 3</w:t>
      </w:r>
    </w:p>
    <w:p>
      <w:pPr>
        <w:sectPr>
          <w:pgSz w:w="11900" w:h="16838" w:orient="portrait"/>
          <w:cols w:equalWidth="0" w:num="1">
            <w:col w:w="11420"/>
          </w:cols>
          <w:pgMar w:left="240" w:top="581" w:right="239" w:bottom="1440" w:gutter="0" w:footer="0" w:header="0"/>
        </w:sectPr>
      </w:pPr>
    </w:p>
    <w:bookmarkStart w:id="199" w:name="page200"/>
    <w:bookmarkEnd w:id="199"/>
    <w:p>
      <w:pPr>
        <w:ind w:left="660"/>
        <w:spacing w:after="0"/>
        <w:rPr>
          <w:sz w:val="20"/>
          <w:szCs w:val="20"/>
          <w:color w:val="auto"/>
        </w:rPr>
      </w:pPr>
      <w:r>
        <w:rPr>
          <w:rFonts w:ascii="Arial" w:cs="Arial" w:eastAsia="Arial" w:hAnsi="Arial"/>
          <w:sz w:val="18"/>
          <w:szCs w:val="18"/>
          <w:color w:val="auto"/>
        </w:rPr>
        <w:t>of Information.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you are older than 62+1, the Covered Life Amount equals the “Post 62+1 Pension Amount” specified in the Table of Information.</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you have a Special Benefit Rider, then the “Covered Life Amount” will be increased after your sixty-fifth (65th) birthday. The increase will start on first day of the month after your 65th birthday. If your 65th birthday falls on the first day of a month, the increase will start on that day. The amount of the increase will be the amount specified as the “Special Benefit Amount” in the Table of Information.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If you have a Level Benefit Rider, then the “Covered Life Amount” will be increased by Three Hundred Dollars ($300.00) after your sixty-fifth (65th) birthday. The increase will start on first day of the month after your 65th birthday. If your 65th birthday falls on the first day of a month, the increase will start on that day. During your lifetime, we do not owe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any benefits under the Level Benefit Rider.</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Table of Information may specify that there is a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corresponding to you and that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is eligible for a Level Benefit Rider. If so, after you die, we may owe additional monthly payments. We will owe additional monthly payments if and when two conditions are met. The </w:t>
      </w:r>
      <w:r>
        <w:rPr>
          <w:rFonts w:ascii="Arial" w:cs="Arial" w:eastAsia="Arial" w:hAnsi="Arial"/>
          <w:sz w:val="17"/>
          <w:szCs w:val="17"/>
          <w:i w:val="1"/>
          <w:iCs w:val="1"/>
          <w:color w:val="auto"/>
        </w:rPr>
        <w:t>Contingent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Life </w:t>
      </w:r>
      <w:r>
        <w:rPr>
          <w:rFonts w:ascii="Arial" w:cs="Arial" w:eastAsia="Arial" w:hAnsi="Arial"/>
          <w:sz w:val="17"/>
          <w:szCs w:val="17"/>
          <w:color w:val="auto"/>
        </w:rPr>
        <w:t>must be alive when you die. The</w:t>
      </w:r>
      <w:r>
        <w:rPr>
          <w:rFonts w:ascii="Arial" w:cs="Arial" w:eastAsia="Arial" w:hAnsi="Arial"/>
          <w:sz w:val="17"/>
          <w:szCs w:val="17"/>
          <w:i w:val="1"/>
          <w:iCs w:val="1"/>
          <w:color w:val="auto"/>
        </w:rPr>
        <w:t xml:space="preserve"> Contingent Life </w:t>
      </w:r>
      <w:r>
        <w:rPr>
          <w:rFonts w:ascii="Arial" w:cs="Arial" w:eastAsia="Arial" w:hAnsi="Arial"/>
          <w:sz w:val="17"/>
          <w:szCs w:val="17"/>
          <w:color w:val="auto"/>
        </w:rPr>
        <w:t>must be older than sixty-five (65) years. If such conditions are met we will pay the first payment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day of the month following your death. Later monthly payments will be made on the first day of each month. We will pay the last payment on the first day of the month in which such Contingent Life dies. The amount of the payments will equal the $300.00.</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a portion of your Pre 62+1 Covered Life Amount is attributable to a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as specified in the Table of Information, then the following applies. You may be eligible to receive social security disability benefits from the Federal Government. In any month that you receive such benefits before you reach 62+1, we do not owe you such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and we may deduct any overpayments made to you.</w:t>
      </w:r>
    </w:p>
    <w:p>
      <w:pPr>
        <w:spacing w:after="0" w:line="16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Terms relating to Conversion Conditions</w:t>
      </w:r>
      <w:r>
        <w:rPr>
          <w:rFonts w:ascii="Arial" w:cs="Arial" w:eastAsia="Arial" w:hAnsi="Arial"/>
          <w:sz w:val="16"/>
          <w:szCs w:val="16"/>
          <w:color w:val="auto"/>
        </w:rPr>
        <w:t>. If no Conversion Options are identified for you on the Table of Information, then the following Conversion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do not apply to you. If the Table of Information shows that Conversion Options apply, then the following Conversion Conditions apply to you.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Conditions</w:t>
      </w:r>
      <w:r>
        <w:rPr>
          <w:rFonts w:ascii="Arial" w:cs="Arial" w:eastAsia="Arial" w:hAnsi="Arial"/>
          <w:sz w:val="18"/>
          <w:szCs w:val="18"/>
          <w:color w:val="auto"/>
        </w:rPr>
        <w:t>” means the following: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With respect to Disabled Age 55 Conversion Option,</w:t>
      </w:r>
    </w:p>
    <w:p>
      <w:pPr>
        <w:spacing w:after="0" w:line="225" w:lineRule="exact"/>
        <w:rPr>
          <w:sz w:val="20"/>
          <w:szCs w:val="20"/>
          <w:color w:val="auto"/>
        </w:rPr>
      </w:pPr>
    </w:p>
    <w:p>
      <w:pPr>
        <w:ind w:right="260" w:firstLine="8"/>
        <w:spacing w:after="0" w:line="277" w:lineRule="auto"/>
        <w:tabs>
          <w:tab w:leader="none" w:pos="2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means that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being “you” or “your”) is shown on the Table of Information as having a “Disabled Age 55” Conversion Option,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you demonstrate that your age is 55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 With respect to the Post-Retirement Marriage Conversion Option,</w:t>
      </w:r>
    </w:p>
    <w:p>
      <w:pPr>
        <w:spacing w:after="0" w:line="225" w:lineRule="exact"/>
        <w:rPr>
          <w:sz w:val="20"/>
          <w:szCs w:val="20"/>
          <w:color w:val="auto"/>
        </w:rPr>
      </w:pPr>
    </w:p>
    <w:p>
      <w:pPr>
        <w:ind w:right="460" w:firstLine="8"/>
        <w:spacing w:after="0" w:line="277" w:lineRule="auto"/>
        <w:tabs>
          <w:tab w:leader="none" w:pos="29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means that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being “you” or “your”) is shown on the Table of Information as having a “Post-Retirement Marriage” Conversion Option,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You became married for the first time, or became re-married, after June 30, 2011,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You exercise this option within 18-months after such marriage or re-marriage,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You supply us with evidence of such marriage or re-marriage.</w:t>
      </w:r>
    </w:p>
    <w:p>
      <w:pPr>
        <w:spacing w:after="0" w:line="200" w:lineRule="exact"/>
        <w:rPr>
          <w:sz w:val="20"/>
          <w:szCs w:val="20"/>
          <w:color w:val="auto"/>
        </w:rPr>
      </w:pPr>
    </w:p>
    <w:p>
      <w:pPr>
        <w:spacing w:after="0" w:line="24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Options</w:t>
      </w:r>
      <w:r>
        <w:rPr>
          <w:rFonts w:ascii="Arial" w:cs="Arial" w:eastAsia="Arial" w:hAnsi="Arial"/>
          <w:sz w:val="17"/>
          <w:szCs w:val="17"/>
          <w:color w:val="auto"/>
        </w:rPr>
        <w:t xml:space="preserve">” means, if the “Disabled Age 55 Conversion Option,” and/or the “Post-Retirement Marriage Conversion Option,” is specified in the Table of Information as applicable to you, and if such option is attached to an Annuity Form eligible for such option, the following options may convert the benefit from one Annuity Form to another Annuity Form. A Conversion Option cannot be exercised by a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or a </w:t>
      </w:r>
      <w:r>
        <w:rPr>
          <w:rFonts w:ascii="Arial" w:cs="Arial" w:eastAsia="Arial" w:hAnsi="Arial"/>
          <w:sz w:val="17"/>
          <w:szCs w:val="17"/>
          <w:i w:val="1"/>
          <w:iCs w:val="1"/>
          <w:color w:val="auto"/>
        </w:rPr>
        <w:t>Beneficiary</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(i)“Disabled Age 55 Conversion Option” means, if you are specified in the Table of Information as having a “Disabled Age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1.3 - 4</w:t>
      </w:r>
    </w:p>
    <w:p>
      <w:pPr>
        <w:sectPr>
          <w:pgSz w:w="11900" w:h="16838" w:orient="portrait"/>
          <w:cols w:equalWidth="0" w:num="1">
            <w:col w:w="11400"/>
          </w:cols>
          <w:pgMar w:left="240" w:top="584" w:right="259" w:bottom="1440" w:gutter="0" w:footer="0" w:header="0"/>
        </w:sectPr>
      </w:pPr>
    </w:p>
    <w:bookmarkStart w:id="200" w:name="page201"/>
    <w:bookmarkEnd w:id="200"/>
    <w:p>
      <w:pPr>
        <w:ind w:right="120"/>
        <w:spacing w:after="0" w:line="277" w:lineRule="auto"/>
        <w:rPr>
          <w:sz w:val="20"/>
          <w:szCs w:val="20"/>
          <w:color w:val="auto"/>
        </w:rPr>
      </w:pPr>
      <w:r>
        <w:rPr>
          <w:rFonts w:ascii="Arial" w:cs="Arial" w:eastAsia="Arial" w:hAnsi="Arial"/>
          <w:sz w:val="18"/>
          <w:szCs w:val="18"/>
          <w:color w:val="auto"/>
        </w:rPr>
        <w:t>55” Conversion Option (because such person retired from the Plan under a disability retirement prior to age 55) and also as receiving a distribution of one of the following Annuity 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Single Life Annuity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Spousal Joint and Survivor Annuity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such option is available to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(“you” or “your”).</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Single Life Annuity: If you elect this Annuity Form, the pre-62+1 Pension Amount payable to you will equal the sum of two numbers. The first number equals your Disability Age 55 Pre-62+1 Pension Amount (as specified in the Table of Information). The second number equals your Disability Temporary Annuity (if specified on the Table of Information) where there has been a denial of Social Security Disability benefits. Your post-62+1 Pension Amount will equal your Disability Age 55 Post 62+1 Pension Amount (as specified in the Table of Information).</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Spousal Joint and Survivor Life Annuity: If at the time of your disability, you were married and elected a Contingent Joint and 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Table of Information). The second number is your Spousal Joint and Survivor Life Annuity Pop-Up Decrease Factor. The third number is any Disability Temporary Annuity specified for you on the Table of Information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Table of Information or in our records: (1) 65% for an Original Retirement Date on/after October 1, 1999, (2) 60</w:t>
      </w:r>
    </w:p>
    <w:p>
      <w:pPr>
        <w:ind w:right="240" w:firstLine="8"/>
        <w:spacing w:after="0" w:line="261" w:lineRule="auto"/>
        <w:tabs>
          <w:tab w:leader="none" w:pos="1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an Original Retirement Date on/after November 1, 1976 and prior to October 1, 1999 (3) 55% for an Original Retirement Date on/after September 1, 1964 and prior to November 1, 1976 and (4) 50 % for an Original Retirement Date prior to September 1, 1964.</w:t>
      </w:r>
    </w:p>
    <w:p>
      <w:pPr>
        <w:spacing w:after="0" w:line="184" w:lineRule="exact"/>
        <w:rPr>
          <w:sz w:val="20"/>
          <w:szCs w:val="20"/>
          <w:color w:val="auto"/>
        </w:rPr>
      </w:pPr>
    </w:p>
    <w:p>
      <w:pPr>
        <w:ind w:right="80" w:firstLine="8"/>
        <w:spacing w:after="0" w:line="277" w:lineRule="auto"/>
        <w:tabs>
          <w:tab w:leader="none" w:pos="26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“Post-Retirement Marriage Conversion Option” means, if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is specified in the Table of Information as having a “Post-Retirement Marriage” Conversion Option and also as receiving a distribution of the following Annuity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Single Life Annuity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such option is available to the Covered Life (“you” or “your”).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option allows you to convert a portion of your monthly payment under a Single Life Annuity into a Spousal Joint and Survivor Annuity Form. Before your option exercise can become effective, you must meet the applicable Conversion Conditions. Also, you must notify us using a form provided by us. The effective date of the conversion is the first day of the month after the conversion is effective, but not sooner than the one-year anniversary of your marriage or re-marriage, and in any event before the 18-month anniversary of the marriage or re-marriage.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Only </w:t>
      </w:r>
      <w:r>
        <w:rPr>
          <w:rFonts w:ascii="Arial" w:cs="Arial" w:eastAsia="Arial" w:hAnsi="Arial"/>
          <w:sz w:val="17"/>
          <w:szCs w:val="17"/>
          <w:i w:val="1"/>
          <w:iCs w:val="1"/>
          <w:color w:val="auto"/>
        </w:rPr>
        <w:t>Part A Basic Amount</w:t>
      </w:r>
      <w:r>
        <w:rPr>
          <w:rFonts w:ascii="Arial" w:cs="Arial" w:eastAsia="Arial" w:hAnsi="Arial"/>
          <w:sz w:val="17"/>
          <w:szCs w:val="17"/>
          <w:color w:val="auto"/>
        </w:rPr>
        <w:t xml:space="preserve"> (as specified in the Table of Information) may be converted. On the effective date of the conversion, we will reduce the Covered Life Amount. The amount of the reduction will equal the result of multiplying two numbers. The first number is the </w:t>
      </w:r>
      <w:r>
        <w:rPr>
          <w:rFonts w:ascii="Arial" w:cs="Arial" w:eastAsia="Arial" w:hAnsi="Arial"/>
          <w:sz w:val="17"/>
          <w:szCs w:val="17"/>
          <w:i w:val="1"/>
          <w:iCs w:val="1"/>
          <w:color w:val="auto"/>
        </w:rPr>
        <w:t>Part A Basic Amount</w:t>
      </w:r>
      <w:r>
        <w:rPr>
          <w:rFonts w:ascii="Arial" w:cs="Arial" w:eastAsia="Arial" w:hAnsi="Arial"/>
          <w:sz w:val="17"/>
          <w:szCs w:val="17"/>
          <w:color w:val="auto"/>
        </w:rPr>
        <w:t xml:space="preserve"> specified for you in the Table of Information. The second number is the Spousal Joint &amp; Survivor Life Annuity Pop-Up Decrease Factor.</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After the effective date of the conversion, and after you die, we will owe your spouse additional monthly payments. To receive such payments, your spouse must be alive when you die. We will pay the first payment on the first day of the month following your death. We will pay the last payment on the first day of the month in which such spouse dies.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 we will pay such spouse will equal the result of multiplying two numbers. The first number is the Covered Life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1.3 - 5</w:t>
      </w:r>
    </w:p>
    <w:p>
      <w:pPr>
        <w:sectPr>
          <w:pgSz w:w="11900" w:h="16838" w:orient="portrait"/>
          <w:cols w:equalWidth="0" w:num="1">
            <w:col w:w="11400"/>
          </w:cols>
          <w:pgMar w:left="240" w:top="585" w:right="259" w:bottom="1440" w:gutter="0" w:footer="0" w:header="0"/>
        </w:sectPr>
      </w:pPr>
    </w:p>
    <w:bookmarkStart w:id="201" w:name="page202"/>
    <w:bookmarkEnd w:id="201"/>
    <w:p>
      <w:pPr>
        <w:ind w:right="20"/>
        <w:spacing w:after="0" w:line="302" w:lineRule="auto"/>
        <w:rPr>
          <w:sz w:val="20"/>
          <w:szCs w:val="20"/>
          <w:color w:val="auto"/>
        </w:rPr>
      </w:pPr>
      <w:r>
        <w:rPr>
          <w:rFonts w:ascii="Arial" w:cs="Arial" w:eastAsia="Arial" w:hAnsi="Arial"/>
          <w:sz w:val="16"/>
          <w:szCs w:val="16"/>
          <w:color w:val="auto"/>
        </w:rPr>
        <w:t>Amount payable to you, as reduced pursuant to the preceding paragraph. The second number is a percentage. The applicable percentage is based on the corresponding Original Retirement Date specified for such Covered Life in the Table of Information or in our records: (1) 65% for a Original Retirement Date on/after October 1, 1999, (2) 60% for a Original Retirement Date on/after November 1, 1976 and prior to October 1, 1999 (3) 55% for a Original Retirement Date on/after September 1, 1964 and prior to November 1, 1976 and (4) 50% for a Original Retirement Date prior to September 1, 1964.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make all payments in U.S. dollars. Payees may elect to receive payments either by check or by direct deposit to a bank or other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chosen by the Payee. Checks are mailed to the last known address for the Payee as shown on our records. Direct deposit may be selected only by using a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supplied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 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Beneficiaries as described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 ] </w:t>
      </w:r>
      <w:r>
        <w:rPr>
          <w:rFonts w:ascii="Arial" w:cs="Arial" w:eastAsia="Arial" w:hAnsi="Arial"/>
          <w:sz w:val="25"/>
          <w:szCs w:val="25"/>
          <w:color w:val="auto"/>
          <w:vertAlign w:val="superscript"/>
        </w:rPr>
        <w: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1.3 - 6</w:t>
      </w:r>
    </w:p>
    <w:p>
      <w:pPr>
        <w:sectPr>
          <w:pgSz w:w="11900" w:h="16838" w:orient="portrait"/>
          <w:cols w:equalWidth="0" w:num="1">
            <w:col w:w="11420"/>
          </w:cols>
          <w:pgMar w:left="240" w:top="584"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For example, the form of annuity for a Payee may change. Whether there is any Contingent Life entitled to receive an annuity payment may change. All adjustments made pursuant to this section will be binding upon the Payee.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the above, after the Annuity Commencement Date, determinations by us under the Contract in connection with each of the following will reflect any corrections of date of birth or date of death of any Covered Life or Contingent Life (and of any Beneficiary, if applicable), provided to and verified by us after the Annuity Commencement Date: (1) a conversion from one Annuity Form to another Annuity Form, (2) an increase in the Covered Life Amount based on attainment of a certain age and (3) a decrease in the Covered Life Amount based on attainment of a certain 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1.3 - 7</w:t>
      </w:r>
    </w:p>
    <w:p>
      <w:pPr>
        <w:sectPr>
          <w:pgSz w:w="11900" w:h="16838" w:orient="portrait"/>
          <w:cols w:equalWidth="0" w:num="1">
            <w:col w:w="11420"/>
          </w:cols>
          <w:pgMar w:left="240" w:top="581" w:right="239" w:bottom="1440" w:gutter="0" w:footer="0" w:header="0"/>
        </w:sectPr>
      </w:pPr>
    </w:p>
    <w:bookmarkStart w:id="203" w:name="page204"/>
    <w:bookmarkEnd w:id="203"/>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[Deductions from Annuity Payments:</w:t>
      </w:r>
    </w:p>
    <w:p>
      <w:pPr>
        <w:spacing w:after="0" w:line="24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200" w:lineRule="exact"/>
        <w:rPr>
          <w:sz w:val="20"/>
          <w:szCs w:val="20"/>
          <w:color w:val="auto"/>
        </w:rPr>
      </w:pPr>
    </w:p>
    <w:p>
      <w:pPr>
        <w:spacing w:after="0" w:line="356"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1.3 - 8</w:t>
      </w:r>
    </w:p>
    <w:p>
      <w:pPr>
        <w:sectPr>
          <w:pgSz w:w="11900" w:h="16838" w:orient="portrait"/>
          <w:cols w:equalWidth="0" w:num="1">
            <w:col w:w="11420"/>
          </w:cols>
          <w:pgMar w:left="240" w:top="585" w:right="239" w:bottom="1440" w:gutter="0" w:footer="0" w:header="0"/>
        </w:sectPr>
      </w:pPr>
    </w:p>
    <w:bookmarkStart w:id="204" w:name="page205"/>
    <w:bookmarkEnd w:id="204"/>
    <w:tbl>
      <w:tblPr>
        <w:tblLayout w:type="fixed"/>
        <w:tblInd w:w="510" w:type="dxa"/>
        <w:tblCellMar>
          <w:top w:w="0" w:type="dxa"/>
          <w:left w:w="0" w:type="dxa"/>
          <w:bottom w:w="0" w:type="dxa"/>
          <w:right w:w="0" w:type="dxa"/>
        </w:tblCellMar>
      </w:tblPr>
      <w:tr>
        <w:trPr>
          <w:trHeight w:val="256"/>
        </w:trPr>
        <w:tc>
          <w:tcPr>
            <w:tcW w:w="4860" w:type="dxa"/>
            <w:vAlign w:val="bottom"/>
          </w:tcPr>
          <w:p>
            <w:pPr>
              <w:ind w:left="366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48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763"/>
        </w:trPr>
        <w:tc>
          <w:tcPr>
            <w:tcW w:w="486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Beneficiaries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Assignment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1.3 - 9</w:t>
      </w:r>
    </w:p>
    <w:p>
      <w:pPr>
        <w:sectPr>
          <w:pgSz w:w="11900" w:h="16838" w:orient="portrait"/>
          <w:cols w:equalWidth="0" w:num="1">
            <w:col w:w="9019"/>
          </w:cols>
          <w:pgMar w:left="1440" w:top="792"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6680" w:type="dxa"/>
            <w:vAlign w:val="bottom"/>
            <w:gridSpan w:val="6"/>
          </w:tcPr>
          <w:p>
            <w:pPr>
              <w:jc w:val="center"/>
              <w:ind w:right="380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20"/>
                <w:szCs w:val="20"/>
                <w:b w:val="1"/>
                <w:bCs w:val="1"/>
                <w:color w:val="auto"/>
                <w:w w:val="91"/>
              </w:rPr>
              <w:t>Table of Information</w:t>
            </w:r>
          </w:p>
        </w:tc>
        <w:tc>
          <w:tcPr>
            <w:tcW w:w="4080" w:type="dxa"/>
            <w:vAlign w:val="bottom"/>
          </w:tcPr>
          <w:p>
            <w:pPr>
              <w:spacing w:after="0"/>
              <w:rPr>
                <w:sz w:val="24"/>
                <w:szCs w:val="24"/>
                <w:color w:val="auto"/>
              </w:rPr>
            </w:pPr>
          </w:p>
        </w:tc>
      </w:tr>
      <w:tr>
        <w:trPr>
          <w:trHeight w:val="588"/>
        </w:trPr>
        <w:tc>
          <w:tcPr>
            <w:tcW w:w="37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top w:val="single" w:sz="8" w:color="auto"/>
              <w:bottom w:val="single" w:sz="8" w:color="C0C0C0"/>
            </w:tcBorders>
          </w:tcPr>
          <w:p>
            <w:pPr>
              <w:spacing w:after="0"/>
              <w:rPr>
                <w:sz w:val="24"/>
                <w:szCs w:val="24"/>
                <w:color w:val="auto"/>
              </w:rPr>
            </w:pPr>
          </w:p>
        </w:tc>
        <w:tc>
          <w:tcPr>
            <w:tcW w:w="12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080" w:type="dxa"/>
            <w:vAlign w:val="bottom"/>
            <w:tcBorders>
              <w:bottom w:val="single" w:sz="8" w:color="C0C0C0"/>
            </w:tcBorders>
          </w:tcPr>
          <w:p>
            <w:pPr>
              <w:spacing w:after="0"/>
              <w:rPr>
                <w:sz w:val="24"/>
                <w:szCs w:val="24"/>
                <w:color w:val="auto"/>
              </w:rPr>
            </w:pPr>
          </w:p>
        </w:tc>
      </w:tr>
      <w:tr>
        <w:trPr>
          <w:trHeight w:val="277"/>
        </w:trPr>
        <w:tc>
          <w:tcPr>
            <w:tcW w:w="37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Covered Life:</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ind w:left="60"/>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Certificate Number:</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33"/>
        </w:trPr>
        <w:tc>
          <w:tcPr>
            <w:tcW w:w="3780" w:type="dxa"/>
            <w:vAlign w:val="bottom"/>
            <w:tcBorders>
              <w:left w:val="single" w:sz="8" w:color="C0C0C0"/>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4"/>
              </w:rPr>
              <w:t>[NAME OF TRUST BANK, as Directed Trustee of the Vita Salaried</w:t>
            </w:r>
          </w:p>
        </w:tc>
      </w:tr>
      <w:tr>
        <w:trPr>
          <w:trHeight w:val="273"/>
        </w:trPr>
        <w:tc>
          <w:tcPr>
            <w:tcW w:w="3780" w:type="dxa"/>
            <w:vAlign w:val="bottom"/>
            <w:tcBorders>
              <w:left w:val="single" w:sz="8" w:color="C0C0C0"/>
              <w:bottom w:val="single" w:sz="8" w:color="C0C0C0"/>
            </w:tcBorders>
          </w:tcPr>
          <w:p>
            <w:pPr>
              <w:ind w:left="20"/>
              <w:spacing w:after="0" w:line="274"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28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right w:val="single" w:sz="8" w:color="C0C0C0"/>
            </w:tcBorders>
          </w:tcPr>
          <w:p>
            <w:pPr>
              <w:spacing w:after="0"/>
              <w:rPr>
                <w:sz w:val="23"/>
                <w:szCs w:val="23"/>
                <w:color w:val="auto"/>
              </w:rPr>
            </w:pPr>
          </w:p>
        </w:tc>
        <w:tc>
          <w:tcPr>
            <w:tcW w:w="562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Retirement Trust, a New York trust]</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Salaried Retirement Plan]</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Group Annuity Contract Number:</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[Article P of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54"/>
        </w:trPr>
        <w:tc>
          <w:tcPr>
            <w:tcW w:w="3780" w:type="dxa"/>
            <w:vAlign w:val="bottom"/>
            <w:tcBorders>
              <w:left w:val="single" w:sz="8" w:color="C0C0C0"/>
            </w:tcBorders>
          </w:tcPr>
          <w:p>
            <w:pPr>
              <w:ind w:left="280"/>
              <w:spacing w:after="0"/>
              <w:rPr>
                <w:sz w:val="20"/>
                <w:szCs w:val="20"/>
                <w:color w:val="auto"/>
              </w:rPr>
            </w:pPr>
            <w:r>
              <w:rPr>
                <w:rFonts w:ascii="Arial" w:cs="Arial" w:eastAsia="Arial" w:hAnsi="Arial"/>
                <w:sz w:val="20"/>
                <w:szCs w:val="20"/>
                <w:i w:val="1"/>
                <w:iCs w:val="1"/>
                <w:color w:val="auto"/>
              </w:rPr>
              <w:t>Form of Annuity:</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Borders>
              <w:right w:val="single" w:sz="8" w:color="C0C0C0"/>
            </w:tcBorders>
          </w:tcPr>
          <w:p>
            <w:pPr>
              <w:spacing w:after="0"/>
              <w:rPr>
                <w:sz w:val="22"/>
                <w:szCs w:val="22"/>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Spousal Joint and Survivor Life Annuity</w:t>
            </w:r>
          </w:p>
        </w:tc>
      </w:tr>
      <w:tr>
        <w:trPr>
          <w:trHeight w:val="23"/>
        </w:trPr>
        <w:tc>
          <w:tcPr>
            <w:tcW w:w="3780" w:type="dxa"/>
            <w:vAlign w:val="bottom"/>
            <w:tcBorders>
              <w:left w:val="single" w:sz="8" w:color="C0C0C0"/>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500" w:type="dxa"/>
            <w:vAlign w:val="bottom"/>
            <w:tcBorders>
              <w:bottom w:val="single" w:sz="8" w:color="C0C0C0"/>
              <w:right w:val="single" w:sz="8" w:color="C0C0C0"/>
            </w:tcBorders>
          </w:tcPr>
          <w:p>
            <w:pPr>
              <w:spacing w:after="0"/>
              <w:rPr>
                <w:sz w:val="2"/>
                <w:szCs w:val="2"/>
                <w:color w:val="auto"/>
              </w:rPr>
            </w:pPr>
          </w:p>
        </w:tc>
        <w:tc>
          <w:tcPr>
            <w:tcW w:w="12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080" w:type="dxa"/>
            <w:vAlign w:val="bottom"/>
            <w:tcBorders>
              <w:bottom w:val="single" w:sz="8" w:color="C0C0C0"/>
              <w:right w:val="single" w:sz="8" w:color="C0C0C0"/>
            </w:tcBorders>
          </w:tcPr>
          <w:p>
            <w:pPr>
              <w:spacing w:after="0"/>
              <w:rPr>
                <w:sz w:val="2"/>
                <w:szCs w:val="2"/>
                <w:color w:val="auto"/>
              </w:rPr>
            </w:pP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33"/>
        </w:trPr>
        <w:tc>
          <w:tcPr>
            <w:tcW w:w="3780" w:type="dxa"/>
            <w:vAlign w:val="bottom"/>
            <w:tcBorders>
              <w:left w:val="single" w:sz="8" w:color="C0C0C0"/>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[Special Benefit Rider</w:t>
            </w:r>
          </w:p>
        </w:tc>
      </w:tr>
      <w:tr>
        <w:trPr>
          <w:trHeight w:val="230"/>
        </w:trPr>
        <w:tc>
          <w:tcPr>
            <w:tcW w:w="3780" w:type="dxa"/>
            <w:vAlign w:val="bottom"/>
            <w:tcBorders>
              <w:left w:val="single" w:sz="8" w:color="C0C0C0"/>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right w:val="single" w:sz="8" w:color="C0C0C0"/>
            </w:tcBorders>
          </w:tcPr>
          <w:p>
            <w:pPr>
              <w:spacing w:after="0"/>
              <w:rPr>
                <w:sz w:val="19"/>
                <w:szCs w:val="19"/>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Level Benefit Rider</w:t>
            </w:r>
          </w:p>
        </w:tc>
      </w:tr>
      <w:tr>
        <w:trPr>
          <w:trHeight w:val="230"/>
        </w:trPr>
        <w:tc>
          <w:tcPr>
            <w:tcW w:w="3780" w:type="dxa"/>
            <w:vAlign w:val="bottom"/>
            <w:tcBorders>
              <w:left w:val="single" w:sz="8" w:color="C0C0C0"/>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right w:val="single" w:sz="8" w:color="C0C0C0"/>
            </w:tcBorders>
          </w:tcPr>
          <w:p>
            <w:pPr>
              <w:spacing w:after="0"/>
              <w:rPr>
                <w:sz w:val="19"/>
                <w:szCs w:val="19"/>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Pop-Up Rider</w:t>
            </w:r>
          </w:p>
        </w:tc>
      </w:tr>
      <w:tr>
        <w:trPr>
          <w:trHeight w:val="230"/>
        </w:trPr>
        <w:tc>
          <w:tcPr>
            <w:tcW w:w="3780" w:type="dxa"/>
            <w:vAlign w:val="bottom"/>
            <w:tcBorders>
              <w:left w:val="single" w:sz="8" w:color="C0C0C0"/>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right w:val="single" w:sz="8" w:color="C0C0C0"/>
            </w:tcBorders>
          </w:tcPr>
          <w:p>
            <w:pPr>
              <w:spacing w:after="0"/>
              <w:rPr>
                <w:sz w:val="19"/>
                <w:szCs w:val="19"/>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Refund Death Benefit Rider</w:t>
            </w:r>
          </w:p>
        </w:tc>
      </w:tr>
      <w:tr>
        <w:trPr>
          <w:trHeight w:val="273"/>
        </w:trPr>
        <w:tc>
          <w:tcPr>
            <w:tcW w:w="3780" w:type="dxa"/>
            <w:vAlign w:val="bottom"/>
            <w:tcBorders>
              <w:left w:val="single" w:sz="8" w:color="C0C0C0"/>
              <w:bottom w:val="single" w:sz="8" w:color="C0C0C0"/>
            </w:tcBorders>
          </w:tcPr>
          <w:p>
            <w:pPr>
              <w:ind w:left="280"/>
              <w:spacing w:after="0"/>
              <w:rPr>
                <w:sz w:val="20"/>
                <w:szCs w:val="20"/>
                <w:color w:val="auto"/>
              </w:rPr>
            </w:pPr>
            <w:r>
              <w:rPr>
                <w:rFonts w:ascii="Arial" w:cs="Arial" w:eastAsia="Arial" w:hAnsi="Arial"/>
                <w:sz w:val="20"/>
                <w:szCs w:val="20"/>
                <w:i w:val="1"/>
                <w:iCs w:val="1"/>
                <w:color w:val="auto"/>
              </w:rPr>
              <w:t>Annuity Riders:</w:t>
            </w:r>
          </w:p>
        </w:tc>
        <w:tc>
          <w:tcPr>
            <w:tcW w:w="28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right w:val="single" w:sz="8" w:color="C0C0C0"/>
            </w:tcBorders>
          </w:tcPr>
          <w:p>
            <w:pPr>
              <w:spacing w:after="0"/>
              <w:rPr>
                <w:sz w:val="23"/>
                <w:szCs w:val="23"/>
                <w:color w:val="auto"/>
              </w:rPr>
            </w:pPr>
          </w:p>
        </w:tc>
        <w:tc>
          <w:tcPr>
            <w:tcW w:w="562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33"/>
        </w:trPr>
        <w:tc>
          <w:tcPr>
            <w:tcW w:w="3780" w:type="dxa"/>
            <w:vAlign w:val="bottom"/>
            <w:tcBorders>
              <w:left w:val="single" w:sz="8" w:color="C0C0C0"/>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[General Conversion Option</w:t>
            </w:r>
          </w:p>
        </w:tc>
      </w:tr>
      <w:tr>
        <w:trPr>
          <w:trHeight w:val="230"/>
        </w:trPr>
        <w:tc>
          <w:tcPr>
            <w:tcW w:w="3780" w:type="dxa"/>
            <w:vAlign w:val="bottom"/>
            <w:tcBorders>
              <w:left w:val="single" w:sz="8" w:color="C0C0C0"/>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right w:val="single" w:sz="8" w:color="C0C0C0"/>
            </w:tcBorders>
          </w:tcPr>
          <w:p>
            <w:pPr>
              <w:spacing w:after="0"/>
              <w:rPr>
                <w:sz w:val="19"/>
                <w:szCs w:val="19"/>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Disabled Age 55 Conversion Option</w:t>
            </w:r>
          </w:p>
        </w:tc>
      </w:tr>
      <w:tr>
        <w:trPr>
          <w:trHeight w:val="331"/>
        </w:trPr>
        <w:tc>
          <w:tcPr>
            <w:tcW w:w="3780" w:type="dxa"/>
            <w:vAlign w:val="bottom"/>
            <w:tcBorders>
              <w:left w:val="single" w:sz="8" w:color="C0C0C0"/>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C0C0C0"/>
            </w:tcBorders>
          </w:tcPr>
          <w:p>
            <w:pPr>
              <w:spacing w:after="0"/>
              <w:rPr>
                <w:sz w:val="24"/>
                <w:szCs w:val="24"/>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351"/>
        </w:trPr>
        <w:tc>
          <w:tcPr>
            <w:tcW w:w="3780" w:type="dxa"/>
            <w:vAlign w:val="bottom"/>
            <w:tcBorders>
              <w:left w:val="single" w:sz="8" w:color="C0C0C0"/>
            </w:tcBorders>
          </w:tcPr>
          <w:p>
            <w:pPr>
              <w:ind w:left="20"/>
              <w:spacing w:after="0"/>
              <w:rPr>
                <w:sz w:val="20"/>
                <w:szCs w:val="20"/>
                <w:color w:val="auto"/>
              </w:rPr>
            </w:pPr>
            <w:r>
              <w:rPr>
                <w:rFonts w:ascii="Arial" w:cs="Arial" w:eastAsia="Arial" w:hAnsi="Arial"/>
                <w:sz w:val="20"/>
                <w:szCs w:val="20"/>
                <w:i w:val="1"/>
                <w:iCs w:val="1"/>
                <w:color w:val="auto"/>
              </w:rPr>
              <w:t>Conversion Options: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C0C0C0"/>
            </w:tcBorders>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tcBorders>
              <w:right w:val="single" w:sz="8" w:color="C0C0C0"/>
            </w:tcBorders>
          </w:tcPr>
          <w:p>
            <w:pPr>
              <w:spacing w:after="0"/>
              <w:rPr>
                <w:sz w:val="24"/>
                <w:szCs w:val="24"/>
                <w:color w:val="auto"/>
              </w:rPr>
            </w:pPr>
          </w:p>
        </w:tc>
      </w:tr>
      <w:tr>
        <w:trPr>
          <w:trHeight w:val="23"/>
        </w:trPr>
        <w:tc>
          <w:tcPr>
            <w:tcW w:w="3780" w:type="dxa"/>
            <w:vAlign w:val="bottom"/>
            <w:tcBorders>
              <w:left w:val="single" w:sz="8" w:color="C0C0C0"/>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500" w:type="dxa"/>
            <w:vAlign w:val="bottom"/>
            <w:tcBorders>
              <w:bottom w:val="single" w:sz="8" w:color="C0C0C0"/>
              <w:right w:val="single" w:sz="8" w:color="C0C0C0"/>
            </w:tcBorders>
          </w:tcPr>
          <w:p>
            <w:pPr>
              <w:spacing w:after="0"/>
              <w:rPr>
                <w:sz w:val="2"/>
                <w:szCs w:val="2"/>
                <w:color w:val="auto"/>
              </w:rPr>
            </w:pPr>
          </w:p>
        </w:tc>
        <w:tc>
          <w:tcPr>
            <w:tcW w:w="12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080" w:type="dxa"/>
            <w:vAlign w:val="bottom"/>
            <w:tcBorders>
              <w:bottom w:val="single" w:sz="8" w:color="C0C0C0"/>
              <w:right w:val="single" w:sz="8" w:color="C0C0C0"/>
            </w:tcBorders>
          </w:tcPr>
          <w:p>
            <w:pPr>
              <w:spacing w:after="0"/>
              <w:rPr>
                <w:sz w:val="2"/>
                <w:szCs w:val="2"/>
                <w:color w:val="auto"/>
              </w:rPr>
            </w:pP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Commencement Date:</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304"/>
        </w:trPr>
        <w:tc>
          <w:tcPr>
            <w:tcW w:w="37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Covered Life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[See “Payment Terms” Provision ] </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304"/>
        </w:trPr>
        <w:tc>
          <w:tcPr>
            <w:tcW w:w="37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Pop-Up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[Contingent Life Name] </w:t>
            </w:r>
            <w:r>
              <w:rPr>
                <w:rFonts w:ascii="Arial" w:cs="Arial" w:eastAsia="Arial" w:hAnsi="Arial"/>
                <w:sz w:val="25"/>
                <w:szCs w:val="25"/>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7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w w:val="97"/>
              </w:rPr>
              <w:t>[</w:t>
            </w:r>
            <w:r>
              <w:rPr>
                <w:rFonts w:ascii="Arial" w:cs="Arial" w:eastAsia="Arial" w:hAnsi="Arial"/>
                <w:sz w:val="20"/>
                <w:szCs w:val="20"/>
                <w:i w:val="1"/>
                <w:iCs w:val="1"/>
                <w:color w:val="auto"/>
                <w:w w:val="97"/>
              </w:rPr>
              <w:t>Contingent Life's Sex and Date of Birth:</w:t>
            </w:r>
            <w:r>
              <w:rPr>
                <w:rFonts w:ascii="Arial" w:cs="Arial" w:eastAsia="Arial" w:hAnsi="Arial"/>
                <w:sz w:val="20"/>
                <w:szCs w:val="20"/>
                <w:color w:val="auto"/>
                <w:w w:val="97"/>
              </w:rPr>
              <w:t xml:space="preserve"> ] </w:t>
            </w:r>
            <w:r>
              <w:rPr>
                <w:rFonts w:ascii="Arial" w:cs="Arial" w:eastAsia="Arial" w:hAnsi="Arial"/>
                <w:sz w:val="25"/>
                <w:szCs w:val="25"/>
                <w:color w:val="auto"/>
                <w:w w:val="97"/>
                <w:vertAlign w:val="superscript"/>
              </w:rPr>
              <w:t>A</w:t>
            </w: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[Male/Female, Date</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780" w:type="dxa"/>
            <w:vAlign w:val="bottom"/>
            <w:tcBorders>
              <w:left w:val="single" w:sz="8" w:color="C0C0C0"/>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920"/>
          </w:cols>
          <w:pgMar w:left="740" w:top="585" w:right="239" w:bottom="1054" w:gutter="0" w:footer="0" w:header="0"/>
        </w:sectPr>
      </w:pPr>
    </w:p>
    <w:p>
      <w:pPr>
        <w:spacing w:after="0" w:line="2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Appendix 1.3 - 10</w:t>
      </w:r>
    </w:p>
    <w:p>
      <w:pPr>
        <w:sectPr>
          <w:pgSz w:w="11900" w:h="16838" w:orient="portrait"/>
          <w:cols w:equalWidth="0" w:num="1">
            <w:col w:w="10920"/>
          </w:cols>
          <w:pgMar w:left="740" w:top="585" w:right="239" w:bottom="1054" w:gutter="0" w:footer="0" w:header="0"/>
          <w:type w:val="continuous"/>
        </w:sectPr>
      </w:pPr>
    </w:p>
    <w:bookmarkStart w:id="206" w:name="page207"/>
    <w:bookmarkEnd w:id="206"/>
    <w:tbl>
      <w:tblPr>
        <w:tblLayout w:type="fixed"/>
        <w:tblInd w:w="510" w:type="dxa"/>
        <w:tblCellMar>
          <w:top w:w="0" w:type="dxa"/>
          <w:left w:w="0" w:type="dxa"/>
          <w:bottom w:w="0" w:type="dxa"/>
          <w:right w:w="0" w:type="dxa"/>
        </w:tblCellMar>
      </w:tblPr>
      <w:tr>
        <w:trPr>
          <w:trHeight w:val="297"/>
        </w:trPr>
        <w:tc>
          <w:tcPr>
            <w:tcW w:w="4840" w:type="dxa"/>
            <w:vAlign w:val="bottom"/>
            <w:tcBorders>
              <w:top w:val="single" w:sz="8" w:color="C0C0C0"/>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top w:val="single" w:sz="8" w:color="C0C0C0"/>
              <w:bottom w:val="single" w:sz="8" w:color="C0C0C0"/>
              <w:right w:val="single" w:sz="8" w:color="C0C0C0"/>
            </w:tcBorders>
          </w:tcPr>
          <w:p>
            <w:pPr>
              <w:spacing w:after="0"/>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Special Benefit Rider Eligibility</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[Yes/No]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Level Rider Eligibility</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[Yes/No]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Maximum Refund Death Benefit: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Beneficiary(ies):</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[Name(s)/As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 A Basic Benefit: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Contingent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w w:val="99"/>
              </w:rPr>
              <w:t>[</w:t>
            </w:r>
            <w:r>
              <w:rPr>
                <w:rFonts w:ascii="Arial" w:cs="Arial" w:eastAsia="Arial" w:hAnsi="Arial"/>
                <w:sz w:val="20"/>
                <w:szCs w:val="20"/>
                <w:i w:val="1"/>
                <w:iCs w:val="1"/>
                <w:color w:val="auto"/>
                <w:w w:val="99"/>
              </w:rPr>
              <w:t>Post 1985 Contingent Life Part B Primary Amount:</w:t>
            </w:r>
            <w:r>
              <w:rPr>
                <w:rFonts w:ascii="Arial" w:cs="Arial" w:eastAsia="Arial" w:hAnsi="Arial"/>
                <w:sz w:val="20"/>
                <w:szCs w:val="20"/>
                <w:color w:val="auto"/>
                <w:w w:val="99"/>
              </w:rPr>
              <w:t xml:space="preserve"> ] </w:t>
            </w:r>
            <w:r>
              <w:rPr>
                <w:rFonts w:ascii="Arial" w:cs="Arial" w:eastAsia="Arial" w:hAnsi="Arial"/>
                <w:sz w:val="25"/>
                <w:szCs w:val="25"/>
                <w:color w:val="auto"/>
                <w:w w:val="99"/>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Temporary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304"/>
        </w:trPr>
        <w:tc>
          <w:tcPr>
            <w:tcW w:w="4840" w:type="dxa"/>
            <w:vAlign w:val="bottom"/>
            <w:tcBorders>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Age 55 Pre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Age 55 Post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Special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77"/>
        </w:trPr>
        <w:tc>
          <w:tcPr>
            <w:tcW w:w="4840" w:type="dxa"/>
            <w:vAlign w:val="bottom"/>
            <w:tcBorders>
              <w:left w:val="single" w:sz="8" w:color="C0C0C0"/>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Level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Appendix 1.3 - 11</w:t>
      </w:r>
    </w:p>
    <w:p>
      <w:pPr>
        <w:sectPr>
          <w:pgSz w:w="11900" w:h="16838" w:orient="portrait"/>
          <w:cols w:equalWidth="0" w:num="1">
            <w:col w:w="10960"/>
          </w:cols>
          <w:pgMar w:left="240" w:top="714" w:right="69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and anyone else with an existing or future right to receive payments under this Annuity, but no Payee (other than the </w:t>
      </w:r>
      <w:r>
        <w:rPr>
          <w:rFonts w:ascii="Arial" w:cs="Arial" w:eastAsia="Arial" w:hAnsi="Arial"/>
          <w:sz w:val="18"/>
          <w:szCs w:val="18"/>
          <w:i w:val="1"/>
          <w:iCs w:val="1"/>
          <w:color w:val="auto"/>
        </w:rPr>
        <w:t>Covered Life</w:t>
      </w:r>
      <w:r>
        <w:rPr>
          <w:rFonts w:ascii="Arial" w:cs="Arial" w:eastAsia="Arial" w:hAnsi="Arial"/>
          <w:sz w:val="18"/>
          <w:szCs w:val="18"/>
          <w:color w:val="auto"/>
        </w:rPr>
        <w:t>)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00" w:lineRule="exact"/>
        <w:rPr>
          <w:sz w:val="20"/>
          <w:szCs w:val="20"/>
          <w:color w:val="auto"/>
        </w:rPr>
      </w:pPr>
    </w:p>
    <w:p>
      <w:pPr>
        <w:spacing w:after="0" w:line="24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“Spousal Joint and Survivor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Special Benefit Rider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Benefit Rider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Pop-Up Rider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Refund Death Benefit Rider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together with any of the following Option(s) if specified in the Table of Information: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General Conversion Option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Disabled Age 55 Conversion Option</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If the Table of Information specifies that you have a Conversion Option to cancel this Annuity Form, the following will apply. If you exercise the option, your rights under this Annuity Form are cancelled. Also, the rights of the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and any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“Covered Life Amount”.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pay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After you die, we may owe additional monthly payments. We will owe additional monthly payments if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(as specified in the Table of Information) is your spouse and is alive when you die. We will pay the first payment on the first day of the month following your death. We will pay subsequent monthly payments on the first day of each month. We will pay the last payment on the first day of the month in which such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dies. The amount of the payments will equal the </w:t>
      </w:r>
      <w:r>
        <w:rPr>
          <w:rFonts w:ascii="Arial" w:cs="Arial" w:eastAsia="Arial" w:hAnsi="Arial"/>
          <w:sz w:val="18"/>
          <w:szCs w:val="18"/>
          <w:i w:val="1"/>
          <w:iCs w:val="1"/>
          <w:color w:val="auto"/>
        </w:rPr>
        <w:t>Contingent Life Amount</w:t>
      </w:r>
      <w:r>
        <w:rPr>
          <w:rFonts w:ascii="Arial" w:cs="Arial" w:eastAsia="Arial" w:hAnsi="Arial"/>
          <w:sz w:val="18"/>
          <w:szCs w:val="18"/>
          <w:color w:val="auto"/>
        </w:rPr>
        <w:t>.</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If you have a Refund Death Benefit Rider, we may owe a Refund Death Benefit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After both you and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 we will determine if we owe such payment. The following explains how we will determine if a payment is owed by us under this rider.</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amount of the Refund Death Benefit, if any, will equal the Maximum Refund Death Benefit (as specified in the Table of Information) less the Pre 1985 Part B Primary Amounts and the Post 1985 Part B Primary Amounts (as specified in the Table of Information) paid by us after the Annuity Commencement Date to you, to your Contingent Life (or to any related alternate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1.3 - 12</w:t>
      </w:r>
    </w:p>
    <w:p>
      <w:pPr>
        <w:sectPr>
          <w:pgSz w:w="11900" w:h="16838" w:orient="portrait"/>
          <w:cols w:equalWidth="0" w:num="1">
            <w:col w:w="11420"/>
          </w:cols>
          <w:pgMar w:left="240" w:top="581"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payee, arising, for example, from a domestic relations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names, or values apply to your Spousal Joint and Survivor Life Annuity: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“Covered Life Amount” equals an amount that depends on whether you are younger or older than sixty-two years and one month (“62 + 1”).</w:t>
      </w:r>
    </w:p>
    <w:p>
      <w:pPr>
        <w:spacing w:after="0" w:line="225"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you are younger than 62+1, the Covered Life Amount equals the “</w:t>
      </w:r>
      <w:r>
        <w:rPr>
          <w:rFonts w:ascii="Arial" w:cs="Arial" w:eastAsia="Arial" w:hAnsi="Arial"/>
          <w:sz w:val="18"/>
          <w:szCs w:val="18"/>
          <w:i w:val="1"/>
          <w:iCs w:val="1"/>
          <w:color w:val="auto"/>
        </w:rPr>
        <w:t>Pre 62+1 Pension Amount</w:t>
      </w:r>
      <w:r>
        <w:rPr>
          <w:rFonts w:ascii="Arial" w:cs="Arial" w:eastAsia="Arial" w:hAnsi="Arial"/>
          <w:sz w:val="18"/>
          <w:szCs w:val="18"/>
          <w:color w:val="auto"/>
        </w:rPr>
        <w:t>” specified in the Table of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you are older than 62+1, the Covered Life Amount equals the “</w:t>
      </w:r>
      <w:r>
        <w:rPr>
          <w:rFonts w:ascii="Arial" w:cs="Arial" w:eastAsia="Arial" w:hAnsi="Arial"/>
          <w:sz w:val="18"/>
          <w:szCs w:val="18"/>
          <w:i w:val="1"/>
          <w:iCs w:val="1"/>
          <w:color w:val="auto"/>
        </w:rPr>
        <w:t>Post 62+1 Pension Amount</w:t>
      </w:r>
      <w:r>
        <w:rPr>
          <w:rFonts w:ascii="Arial" w:cs="Arial" w:eastAsia="Arial" w:hAnsi="Arial"/>
          <w:sz w:val="18"/>
          <w:szCs w:val="18"/>
          <w:color w:val="auto"/>
        </w:rPr>
        <w:t>” specified in the Table of Information.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you have a Special Benefit Rider, then the “Covered Life Amount” will be increased after your sixty-fifth (65th) birthday. The increase will start on first day of the month after your 65th birthday. If your 65th birthday falls on the first day of a month, the increase will start on that day. The amount of the increase will be the amount specified as the “</w:t>
      </w:r>
      <w:r>
        <w:rPr>
          <w:rFonts w:ascii="Arial" w:cs="Arial" w:eastAsia="Arial" w:hAnsi="Arial"/>
          <w:sz w:val="17"/>
          <w:szCs w:val="17"/>
          <w:i w:val="1"/>
          <w:iCs w:val="1"/>
          <w:color w:val="auto"/>
        </w:rPr>
        <w:t>Special Benefit Amount</w:t>
      </w:r>
      <w:r>
        <w:rPr>
          <w:rFonts w:ascii="Arial" w:cs="Arial" w:eastAsia="Arial" w:hAnsi="Arial"/>
          <w:sz w:val="17"/>
          <w:szCs w:val="17"/>
          <w:color w:val="auto"/>
        </w:rPr>
        <w:t xml:space="preserve">” in the Table of Information. During your lifetime, we do not owe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any benefits under the Special Benefit Rider. 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has a Special Benefit rider, we only owe the related payments after you die.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If you have a Level Benefit Rider, then the “Covered Life Amount” will be increased by Three Hundred Dollars ($300.000) after your sixty-fifth (65th) birthday. The increase will start on first day of the month after your 65th birthday. If your 65th birthday falls on the first day of a month, the increase will start on that day. During your lifetime, we do not owe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any benefits under the Level Benefit Rider. If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has a Level Benefit rider, we only owe the related payments after you die.</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If you have a Pop-Up Rider, and 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dies after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and before you die, then we will increase the “Covered Life Amount.” You must first provide us acceptable evidence that such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died. We will pay the increase starting in the month following the month of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's death. The amount of the increase will equal the </w:t>
      </w:r>
      <w:r>
        <w:rPr>
          <w:rFonts w:ascii="Arial" w:cs="Arial" w:eastAsia="Arial" w:hAnsi="Arial"/>
          <w:sz w:val="17"/>
          <w:szCs w:val="17"/>
          <w:i w:val="1"/>
          <w:iCs w:val="1"/>
          <w:color w:val="auto"/>
        </w:rPr>
        <w:t>Pop-Up Amount</w:t>
      </w:r>
      <w:r>
        <w:rPr>
          <w:rFonts w:ascii="Arial" w:cs="Arial" w:eastAsia="Arial" w:hAnsi="Arial"/>
          <w:sz w:val="17"/>
          <w:szCs w:val="17"/>
          <w:color w:val="auto"/>
        </w:rPr>
        <w:t xml:space="preserve"> specified for you in the Table of Information. If the age of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as shown on the Table of Information is misstated, then we will re-calculate the </w:t>
      </w:r>
      <w:r>
        <w:rPr>
          <w:rFonts w:ascii="Arial" w:cs="Arial" w:eastAsia="Arial" w:hAnsi="Arial"/>
          <w:sz w:val="17"/>
          <w:szCs w:val="17"/>
          <w:i w:val="1"/>
          <w:iCs w:val="1"/>
          <w:color w:val="auto"/>
        </w:rPr>
        <w:t>Pop-Up Amount</w:t>
      </w:r>
      <w:r>
        <w:rPr>
          <w:rFonts w:ascii="Arial" w:cs="Arial" w:eastAsia="Arial" w:hAnsi="Arial"/>
          <w:sz w:val="17"/>
          <w:szCs w:val="17"/>
          <w:color w:val="auto"/>
        </w:rPr>
        <w:t xml:space="preserve">. The corrected Pop-Up Amount will equal the </w:t>
      </w:r>
      <w:r>
        <w:rPr>
          <w:rFonts w:ascii="Arial" w:cs="Arial" w:eastAsia="Arial" w:hAnsi="Arial"/>
          <w:sz w:val="17"/>
          <w:szCs w:val="17"/>
          <w:i w:val="1"/>
          <w:iCs w:val="1"/>
          <w:color w:val="auto"/>
        </w:rPr>
        <w:t>Part A Basic Amount</w:t>
      </w:r>
      <w:r>
        <w:rPr>
          <w:rFonts w:ascii="Arial" w:cs="Arial" w:eastAsia="Arial" w:hAnsi="Arial"/>
          <w:sz w:val="17"/>
          <w:szCs w:val="17"/>
          <w:color w:val="auto"/>
        </w:rPr>
        <w:t xml:space="preserve"> specified for such person in the Table of Information multiplied by the General Pop-Up Increase Factor. The Spousal Joint and Survivor Life Annuity Pop-Up Increase Factor will be determined in accordance with the Contract.</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a portion of your Pre 62+1 Covered Life Amount is attributable to a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as specified in the Table of Information, then the following applies. You may be eligible to receive social security disability benefits from the Federal Government. In any month that you receive such benefits before you reach 62+1, we do not owe you such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and we may deduct any overpayments made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Amount</w:t>
      </w:r>
      <w:r>
        <w:rPr>
          <w:rFonts w:ascii="Arial" w:cs="Arial" w:eastAsia="Arial" w:hAnsi="Arial"/>
          <w:sz w:val="18"/>
          <w:szCs w:val="18"/>
          <w:color w:val="auto"/>
        </w:rPr>
        <w:t>” means an amount that is specified in the Table of Information.</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 xml:space="preserve">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has a Special Benefit Rider, then the “</w:t>
      </w:r>
      <w:r>
        <w:rPr>
          <w:rFonts w:ascii="Arial" w:cs="Arial" w:eastAsia="Arial" w:hAnsi="Arial"/>
          <w:sz w:val="17"/>
          <w:szCs w:val="17"/>
          <w:i w:val="1"/>
          <w:iCs w:val="1"/>
          <w:color w:val="auto"/>
        </w:rPr>
        <w:t>Contingent Life Amount</w:t>
      </w:r>
      <w:r>
        <w:rPr>
          <w:rFonts w:ascii="Arial" w:cs="Arial" w:eastAsia="Arial" w:hAnsi="Arial"/>
          <w:sz w:val="17"/>
          <w:szCs w:val="17"/>
          <w:color w:val="auto"/>
        </w:rPr>
        <w:t>” will be increased for payments owed after his or her sixty-fifth (65th) birthday. The increase will start on first day of the month after such 65th birthday. If such birthday falls on the first day of a month, the increase will start on that day. The amount of the increase will be the amount specified as the “</w:t>
      </w:r>
      <w:r>
        <w:rPr>
          <w:rFonts w:ascii="Arial" w:cs="Arial" w:eastAsia="Arial" w:hAnsi="Arial"/>
          <w:sz w:val="17"/>
          <w:szCs w:val="17"/>
          <w:i w:val="1"/>
          <w:iCs w:val="1"/>
          <w:color w:val="auto"/>
        </w:rPr>
        <w:t>Special Benefit Amount</w:t>
      </w:r>
      <w:r>
        <w:rPr>
          <w:rFonts w:ascii="Arial" w:cs="Arial" w:eastAsia="Arial" w:hAnsi="Arial"/>
          <w:sz w:val="17"/>
          <w:szCs w:val="17"/>
          <w:color w:val="auto"/>
        </w:rPr>
        <w:t>” in the Table of Information.</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If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has a Level Benefit Rider, then the “</w:t>
      </w:r>
      <w:r>
        <w:rPr>
          <w:rFonts w:ascii="Arial" w:cs="Arial" w:eastAsia="Arial" w:hAnsi="Arial"/>
          <w:sz w:val="18"/>
          <w:szCs w:val="18"/>
          <w:i w:val="1"/>
          <w:iCs w:val="1"/>
          <w:color w:val="auto"/>
        </w:rPr>
        <w:t>Contingent Life Amount</w:t>
      </w:r>
      <w:r>
        <w:rPr>
          <w:rFonts w:ascii="Arial" w:cs="Arial" w:eastAsia="Arial" w:hAnsi="Arial"/>
          <w:sz w:val="18"/>
          <w:szCs w:val="18"/>
          <w:color w:val="auto"/>
        </w:rPr>
        <w:t>” will be increased by Three Hundred Dollars ($300.000) for payments owed after his or her sixty-fifth (65th) birthday. The increase will start on first day of the month after such 65th birthday. If such birthday falls on the first day of a month, the increase will start on that day.</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Terms relating to Conversion Conditions</w:t>
      </w:r>
      <w:r>
        <w:rPr>
          <w:rFonts w:ascii="Arial" w:cs="Arial" w:eastAsia="Arial" w:hAnsi="Arial"/>
          <w:sz w:val="16"/>
          <w:szCs w:val="16"/>
          <w:color w:val="auto"/>
        </w:rPr>
        <w:t>. If no Conversion Options are identified for you on the Table of Information, then the following Conversion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do not apply to you. If the Table of Information shows that Conversion Options apply, then the following Conversion Conditions apply to you.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Conditions</w:t>
      </w:r>
      <w:r>
        <w:rPr>
          <w:rFonts w:ascii="Arial" w:cs="Arial" w:eastAsia="Arial" w:hAnsi="Arial"/>
          <w:sz w:val="18"/>
          <w:szCs w:val="18"/>
          <w:color w:val="auto"/>
        </w:rPr>
        <w:t>” means the following: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With respect to Disabled Age 55 Conversion Option,</w:t>
      </w:r>
    </w:p>
    <w:p>
      <w:pPr>
        <w:spacing w:after="0" w:line="225" w:lineRule="exact"/>
        <w:rPr>
          <w:sz w:val="20"/>
          <w:szCs w:val="20"/>
          <w:color w:val="auto"/>
        </w:rPr>
      </w:pPr>
    </w:p>
    <w:p>
      <w:pPr>
        <w:ind w:left="5060" w:right="2540" w:hanging="5052"/>
        <w:spacing w:after="0" w:line="559" w:lineRule="auto"/>
        <w:tabs>
          <w:tab w:leader="none" w:pos="30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means that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being “you” or “your”) is shown on the Table of Information as having a Appendix 1.3 - 13</w:t>
      </w:r>
    </w:p>
    <w:p>
      <w:pPr>
        <w:sectPr>
          <w:pgSz w:w="11900" w:h="16838" w:orient="portrait"/>
          <w:cols w:equalWidth="0" w:num="1">
            <w:col w:w="11400"/>
          </w:cols>
          <w:pgMar w:left="240" w:top="584" w:right="2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“Disabled Age 55” Conversion Option,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you demonstrate that your age is 55 years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(ii) With respect to the General Conversion Option,</w:t>
      </w:r>
    </w:p>
    <w:p>
      <w:pPr>
        <w:spacing w:after="0" w:line="225" w:lineRule="exact"/>
        <w:rPr>
          <w:sz w:val="20"/>
          <w:szCs w:val="20"/>
          <w:color w:val="auto"/>
        </w:rPr>
      </w:pPr>
    </w:p>
    <w:p>
      <w:pPr>
        <w:ind w:right="280" w:firstLine="8"/>
        <w:spacing w:after="0" w:line="277" w:lineRule="auto"/>
        <w:tabs>
          <w:tab w:leader="none" w:pos="2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means that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being “you” or “your”) is shown on the Table of Information as having a “General” Conversion Option, then you must demonstrate that you meet one of the following conditions before you can exercise the option:</w:t>
      </w:r>
    </w:p>
    <w:p>
      <w:pPr>
        <w:spacing w:after="0" w:line="170" w:lineRule="exact"/>
        <w:rPr>
          <w:rFonts w:ascii="Arial" w:cs="Arial" w:eastAsia="Arial" w:hAnsi="Arial"/>
          <w:sz w:val="18"/>
          <w:szCs w:val="18"/>
          <w:color w:val="auto"/>
        </w:rPr>
      </w:pPr>
    </w:p>
    <w:p>
      <w:pPr>
        <w:ind w:right="40" w:firstLine="8"/>
        <w:spacing w:after="0" w:line="259" w:lineRule="auto"/>
        <w:tabs>
          <w:tab w:leader="none" w:pos="28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your Annuity Form is the Spousal Joint and Survivor Life Annuity or the Contingent Joint and Survivor Life Annuity with your spouse as Contingent Life and if you became divorced after your Original Retirement Date (as specified on the Table of Information), then you can exercise the option if you comply with the following conditions. You must provide us with a qualified domestic relations order (QDRO) in a form acceptable to us. It must provide that such Contingent Life will not be entitled to any portion of the Contingent Life Amount when you die.</w:t>
      </w:r>
    </w:p>
    <w:p>
      <w:pPr>
        <w:spacing w:after="0" w:line="186" w:lineRule="exact"/>
        <w:rPr>
          <w:rFonts w:ascii="Arial" w:cs="Arial" w:eastAsia="Arial" w:hAnsi="Arial"/>
          <w:sz w:val="18"/>
          <w:szCs w:val="18"/>
          <w:color w:val="auto"/>
        </w:rPr>
      </w:pPr>
    </w:p>
    <w:p>
      <w:pPr>
        <w:jc w:val="both"/>
        <w:ind w:firstLine="8"/>
        <w:spacing w:after="0" w:line="286" w:lineRule="auto"/>
        <w:tabs>
          <w:tab w:leader="none" w:pos="28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if your Annuity Form is the Contingent Joint and Survivor Life Annuity, and if your Contingent Life is not your spouse, you can exercise this option only in the event of post retirement marriage or re-marriage. No waiver from your Contingent Life is required. If we request, you must provide us with satisfactory proof of the good health of the Contingent Life before the Contingent Life can be removed and a new spouse can be added.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Note that this option is limited to the situations described above. The following are examples of situations where you cannot exercise this option.</w:t>
      </w:r>
    </w:p>
    <w:p>
      <w:pPr>
        <w:spacing w:after="0" w:line="237" w:lineRule="exact"/>
        <w:rPr>
          <w:sz w:val="20"/>
          <w:szCs w:val="20"/>
          <w:color w:val="auto"/>
        </w:rPr>
      </w:pPr>
    </w:p>
    <w:p>
      <w:pPr>
        <w:ind w:right="80" w:firstLine="8"/>
        <w:spacing w:after="0" w:line="277" w:lineRule="auto"/>
        <w:tabs>
          <w:tab w:leader="none" w:pos="29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your Annuity Form is the Spousal Joint and Survivor Life Annuity and if you have not been divorced since your Original Retirement Date, you cannot exercise this option.</w:t>
      </w:r>
    </w:p>
    <w:p>
      <w:pPr>
        <w:spacing w:after="0" w:line="170" w:lineRule="exact"/>
        <w:rPr>
          <w:rFonts w:ascii="Arial" w:cs="Arial" w:eastAsia="Arial" w:hAnsi="Arial"/>
          <w:sz w:val="18"/>
          <w:szCs w:val="18"/>
          <w:color w:val="auto"/>
        </w:rPr>
      </w:pPr>
    </w:p>
    <w:p>
      <w:pPr>
        <w:ind w:right="120" w:firstLine="8"/>
        <w:spacing w:after="0" w:line="277" w:lineRule="auto"/>
        <w:tabs>
          <w:tab w:leader="none" w:pos="29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your Annuity Form is the Contingent Joint and Survivor Life Annuity, if your Contingent Life is your spouse, and if you have not been divorced since your Original Retirement Date, you cannot exercise this option.</w:t>
      </w:r>
    </w:p>
    <w:p>
      <w:pPr>
        <w:spacing w:after="0" w:line="3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Options</w:t>
      </w:r>
      <w:r>
        <w:rPr>
          <w:rFonts w:ascii="Arial" w:cs="Arial" w:eastAsia="Arial" w:hAnsi="Arial"/>
          <w:sz w:val="18"/>
          <w:szCs w:val="18"/>
          <w:color w:val="auto"/>
        </w:rPr>
        <w:t xml:space="preserve">” means, if the “Disabled Age 55 Conversion Option,” and/or the “General Conversion Option,” is specified in the Table of Information as applicable to you, and if such option is attached to an Annuity Form eligible for such option, the following options may convert the benefit from one Annuity Form to another Annuity Form. A Conversion Option cannot be exercised by a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or a </w:t>
      </w:r>
      <w:r>
        <w:rPr>
          <w:rFonts w:ascii="Arial" w:cs="Arial" w:eastAsia="Arial" w:hAnsi="Arial"/>
          <w:sz w:val="18"/>
          <w:szCs w:val="18"/>
          <w:i w:val="1"/>
          <w:iCs w:val="1"/>
          <w:color w:val="auto"/>
        </w:rPr>
        <w:t>Beneficiary</w:t>
      </w:r>
      <w:r>
        <w:rPr>
          <w:rFonts w:ascii="Arial" w:cs="Arial" w:eastAsia="Arial" w:hAnsi="Arial"/>
          <w:sz w:val="18"/>
          <w:szCs w:val="18"/>
          <w:color w:val="auto"/>
        </w:rPr>
        <w:t>.</w:t>
      </w:r>
    </w:p>
    <w:p>
      <w:pPr>
        <w:spacing w:after="0" w:line="39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(i)“Disabled Age 55 Conversion Option” means, if you are specified in the Table of Information as having a “Disabled Age 55” Conversion Option (because such person retired from the Plan under a disability retirement prior to age 55) and also as receiving a distribution of one of the following Annuity Forms: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Single Life Annuity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Spousal Joint and Survivor Annuity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such option is available to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(“you” or “your”).</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Single Life Annuity: If you elect this Annuity Form, the pre-62+1 Pension Amount payable to you will equal the sum of two numbers. The first number equals your Disability Age 55 Pre-62+1 Pension Amount (as specified in the Table of Information). The second number equals your Disability Temporary Annuity (if specified on the Table of Information) where there has been a denial of Social Security Disability benefits. Your post-62+1 Pension Amount will equal your Disability Age 55 Post 62+1 Pension Amount (as specified in the Table of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Spousal Joint and Survivor Life Annuity: If at the time of your disability, you were married and elected a Contingent Joint and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1.3 - 14</w:t>
      </w:r>
    </w:p>
    <w:p>
      <w:pPr>
        <w:sectPr>
          <w:pgSz w:w="11900" w:h="16838" w:orient="portrait"/>
          <w:cols w:equalWidth="0" w:num="1">
            <w:col w:w="11380"/>
          </w:cols>
          <w:pgMar w:left="240" w:top="585" w:right="279" w:bottom="1440" w:gutter="0" w:footer="0" w:header="0"/>
        </w:sectPr>
      </w:pPr>
    </w:p>
    <w:bookmarkStart w:id="210" w:name="page211"/>
    <w:bookmarkEnd w:id="210"/>
    <w:p>
      <w:pPr>
        <w:ind w:right="60"/>
        <w:spacing w:after="0" w:line="293" w:lineRule="auto"/>
        <w:rPr>
          <w:sz w:val="20"/>
          <w:szCs w:val="20"/>
          <w:color w:val="auto"/>
        </w:rPr>
      </w:pPr>
      <w:r>
        <w:rPr>
          <w:rFonts w:ascii="Arial" w:cs="Arial" w:eastAsia="Arial" w:hAnsi="Arial"/>
          <w:sz w:val="16"/>
          <w:szCs w:val="16"/>
          <w:color w:val="auto"/>
        </w:rPr>
        <w:t>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Table of Information). The second number is your Spousal Joint and Survivor Life Annuity Pop-Up Decrease Factor. The third number is any Disability Temporary Annuity specified for you on the Table of Information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 as determined in accordance with the Contract.</w:t>
      </w:r>
    </w:p>
    <w:p>
      <w:pPr>
        <w:spacing w:after="0" w:line="16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Table of Information or in our records: (1) 65% for an Original Retirement Date on/after October 1, 1999, (2) 60</w:t>
      </w:r>
    </w:p>
    <w:p>
      <w:pPr>
        <w:ind w:right="260" w:firstLine="8"/>
        <w:spacing w:after="0" w:line="261" w:lineRule="auto"/>
        <w:tabs>
          <w:tab w:leader="none" w:pos="19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 an Original Retirement Date on/after November 1, 1976 and prior to October 1, 1999 (3) 55% for an Original Retirement Date on/after September 1, 1964 and prior to November 1, 1976 and (4) 50 % for an Original Retirement Date prior to September 1, 1964.</w:t>
      </w:r>
    </w:p>
    <w:p>
      <w:pPr>
        <w:spacing w:after="0" w:line="184" w:lineRule="exact"/>
        <w:rPr>
          <w:sz w:val="20"/>
          <w:szCs w:val="20"/>
          <w:color w:val="auto"/>
        </w:rPr>
      </w:pPr>
    </w:p>
    <w:p>
      <w:pPr>
        <w:ind w:right="480" w:firstLine="8"/>
        <w:spacing w:after="0" w:line="277" w:lineRule="auto"/>
        <w:tabs>
          <w:tab w:leader="none" w:pos="26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“General Conversion Option” means, if you are shown in the Table of Information as having a “General” Conversion Option and also as receiving a distribution of one of the following Annuity 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Spousal Joint and Survivor Annuity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Contingent Joint and Survivor Life Annuity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such option is available to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(“you” or “your”).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option allows you to convert your Annuity Form into a Single Life Annuity Form. Before your option exercise can become effective, you must meet the applicable Conversion Conditions. You must also notify us using a form provided by us.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Once you exercise your option, we will not owe any money to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after you die. Instead, we will increase the Covered Life Amount payable to you. The amount of the increase will equal the </w:t>
      </w:r>
      <w:r>
        <w:rPr>
          <w:rFonts w:ascii="Arial" w:cs="Arial" w:eastAsia="Arial" w:hAnsi="Arial"/>
          <w:sz w:val="17"/>
          <w:szCs w:val="17"/>
          <w:i w:val="1"/>
          <w:iCs w:val="1"/>
          <w:color w:val="auto"/>
        </w:rPr>
        <w:t>Pop-Up Amount</w:t>
      </w:r>
      <w:r>
        <w:rPr>
          <w:rFonts w:ascii="Arial" w:cs="Arial" w:eastAsia="Arial" w:hAnsi="Arial"/>
          <w:sz w:val="17"/>
          <w:szCs w:val="17"/>
          <w:color w:val="auto"/>
        </w:rPr>
        <w:t xml:space="preserve"> in the Table of Information. If the Annuity Form is a Contingent Joint and Survivor Life Annuity, the amount of the increase will equal the result of multiplying two numbers. The first number is the </w:t>
      </w:r>
      <w:r>
        <w:rPr>
          <w:rFonts w:ascii="Arial" w:cs="Arial" w:eastAsia="Arial" w:hAnsi="Arial"/>
          <w:sz w:val="17"/>
          <w:szCs w:val="17"/>
          <w:i w:val="1"/>
          <w:iCs w:val="1"/>
          <w:color w:val="auto"/>
        </w:rPr>
        <w:t>Part A Basic Amount</w:t>
      </w:r>
      <w:r>
        <w:rPr>
          <w:rFonts w:ascii="Arial" w:cs="Arial" w:eastAsia="Arial" w:hAnsi="Arial"/>
          <w:sz w:val="17"/>
          <w:szCs w:val="17"/>
          <w:color w:val="auto"/>
        </w:rPr>
        <w:t xml:space="preserve"> specified for you in the Table of Information. The second number is the Continent Joint and Survivor Life Annuity Pop-Up Increase Factor determined under the Contract. We will start paying the increased amount on the first day of the month after the exercise of your option becomes effective.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make all payments in U.S. dollars. Payees may elect to receive payments either by check or by direct deposit to a bank or other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chosen by the Payee. Checks are mailed to the last known address for the Payee as shown on our records. Direct deposit may be selected only by using a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supplied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1.3 - 15</w:t>
      </w:r>
    </w:p>
    <w:p>
      <w:pPr>
        <w:sectPr>
          <w:pgSz w:w="11900" w:h="16838" w:orient="portrait"/>
          <w:cols w:equalWidth="0" w:num="1">
            <w:col w:w="11420"/>
          </w:cols>
          <w:pgMar w:left="240" w:top="584"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Group Annuity Contract Number (shown on the first page of this Certificate) on all notices and forms sent to 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Beneficiaries: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You may change Beneficiaries as described below. After you die,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may change Beneficiaries as described below. You may tell us on the Beneficiary Form to disregard Beneficiary changes made by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after your death. If you do not, we will honor those changes.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ind w:right="180"/>
        <w:spacing w:after="0" w:line="316" w:lineRule="auto"/>
        <w:rPr>
          <w:sz w:val="20"/>
          <w:szCs w:val="20"/>
          <w:color w:val="auto"/>
        </w:rPr>
      </w:pPr>
      <w:r>
        <w:rPr>
          <w:rFonts w:ascii="Arial" w:cs="Arial" w:eastAsia="Arial" w:hAnsi="Arial"/>
          <w:sz w:val="16"/>
          <w:szCs w:val="16"/>
          <w:color w:val="auto"/>
        </w:rPr>
        <w:t xml:space="preserve">Beneficiary selection and changes shall take effect on the date you (or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sign the change in Beneficiary form. However, no change shall be effective with respect to any action taken by us before we receive the change in Beneficiary form. Unless otherwise indicated on the Beneficiary designation or change form, the interest of any </w:t>
      </w:r>
      <w:r>
        <w:rPr>
          <w:rFonts w:ascii="Arial" w:cs="Arial" w:eastAsia="Arial" w:hAnsi="Arial"/>
          <w:sz w:val="16"/>
          <w:szCs w:val="16"/>
          <w:i w:val="1"/>
          <w:iCs w:val="1"/>
          <w:color w:val="auto"/>
        </w:rPr>
        <w:t>Beneficiary</w:t>
      </w:r>
      <w:r>
        <w:rPr>
          <w:rFonts w:ascii="Arial" w:cs="Arial" w:eastAsia="Arial" w:hAnsi="Arial"/>
          <w:sz w:val="16"/>
          <w:szCs w:val="16"/>
          <w:color w:val="auto"/>
        </w:rPr>
        <w:t xml:space="preserve"> who dies before you (or where applicable,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ceases altogether.] </w:t>
      </w:r>
      <w:r>
        <w:rPr>
          <w:rFonts w:ascii="Arial" w:cs="Arial" w:eastAsia="Arial" w:hAnsi="Arial"/>
          <w:sz w:val="22"/>
          <w:szCs w:val="22"/>
          <w:color w:val="auto"/>
          <w:vertAlign w:val="superscript"/>
        </w:rPr>
        <w:t>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For example, the form of annuity for a Payee may change. The percentage of your annuity payment that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1.3 - 16</w:t>
      </w:r>
    </w:p>
    <w:p>
      <w:pPr>
        <w:sectPr>
          <w:pgSz w:w="11900" w:h="16838" w:orient="portrait"/>
          <w:cols w:equalWidth="0" w:num="1">
            <w:col w:w="11420"/>
          </w:cols>
          <w:pgMar w:left="240" w:top="584" w:right="239" w:bottom="1440" w:gutter="0" w:footer="0" w:header="0"/>
        </w:sectPr>
      </w:pPr>
    </w:p>
    <w:bookmarkStart w:id="212" w:name="page213"/>
    <w:bookmarkEnd w:id="212"/>
    <w:p>
      <w:pPr>
        <w:jc w:val="both"/>
        <w:ind w:right="20"/>
        <w:spacing w:after="0" w:line="277" w:lineRule="auto"/>
        <w:rPr>
          <w:sz w:val="20"/>
          <w:szCs w:val="20"/>
          <w:color w:val="auto"/>
        </w:rPr>
      </w:pPr>
      <w:r>
        <w:rPr>
          <w:rFonts w:ascii="Arial" w:cs="Arial" w:eastAsia="Arial" w:hAnsi="Arial"/>
          <w:sz w:val="18"/>
          <w:szCs w:val="18"/>
          <w:color w:val="auto"/>
        </w:rPr>
        <w:t xml:space="preserve">payable to the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may change. Whether there is any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entitled to receive an annuity payment may change. All adjustments made pursuant to this section will be binding upon the Payee.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the above, after the Annuity Commencement Date, determinations by us under the Contract in connection with each of the following will reflect any corrections of date of birth or date of death of any Covered Life or Contingent Life (and of any Beneficiary, if applicable), provided to and verified by Prudential after the Annuity Commencement Date: (1) a conversion from one Annuity Form to another Annuity Form, (2) an increase in the Covered Life Amount based on attainment of a certain age and (3) a decrease in the Covered Life Amount based on attainment of a certain 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18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Contract constitutes the entire agreement between the </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and us solely with respect to the annuity payments owed to each payee under the Contract.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Payees have the right to receive the annuity payments set forth under this Certificate. Such right to annuity payments is enforceable by the Payees solely against Prudential and no other person including the Plan, Plan sponsor, </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or any affiliate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 Telephone Number: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1.3 - 17</w:t>
      </w:r>
    </w:p>
    <w:p>
      <w:pPr>
        <w:sectPr>
          <w:pgSz w:w="11900" w:h="16838" w:orient="portrait"/>
          <w:cols w:equalWidth="0" w:num="1">
            <w:col w:w="11420"/>
          </w:cols>
          <w:pgMar w:left="240" w:top="585" w:right="239" w:bottom="1440" w:gutter="0" w:footer="0" w:header="0"/>
        </w:sectPr>
      </w:pPr>
    </w:p>
    <w:bookmarkStart w:id="213" w:name="page214"/>
    <w:bookmarkEnd w:id="213"/>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[Deductions from Annuity Payments:</w:t>
      </w: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12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173" w:lineRule="exact"/>
        <w:rPr>
          <w:sz w:val="20"/>
          <w:szCs w:val="20"/>
          <w:color w:val="auto"/>
        </w:rPr>
      </w:pPr>
    </w:p>
    <w:tbl>
      <w:tblPr>
        <w:tblLayout w:type="fixed"/>
        <w:tblInd w:w="1710" w:type="dxa"/>
        <w:tblCellMar>
          <w:top w:w="0" w:type="dxa"/>
          <w:left w:w="0" w:type="dxa"/>
          <w:bottom w:w="0" w:type="dxa"/>
          <w:right w:w="0" w:type="dxa"/>
        </w:tblCellMar>
      </w:tblPr>
      <w:tr>
        <w:trPr>
          <w:trHeight w:val="256"/>
        </w:trPr>
        <w:tc>
          <w:tcPr>
            <w:tcW w:w="3520" w:type="dxa"/>
            <w:vAlign w:val="bottom"/>
          </w:tcPr>
          <w:p>
            <w:pPr>
              <w:spacing w:after="0"/>
              <w:rPr>
                <w:sz w:val="22"/>
                <w:szCs w:val="22"/>
                <w:color w:val="auto"/>
              </w:rPr>
            </w:pPr>
          </w:p>
        </w:tc>
        <w:tc>
          <w:tcPr>
            <w:tcW w:w="4540" w:type="dxa"/>
            <w:vAlign w:val="bottom"/>
            <w:gridSpan w:val="2"/>
          </w:tcPr>
          <w:p>
            <w:pPr>
              <w:ind w:left="140"/>
              <w:spacing w:after="0"/>
              <w:rPr>
                <w:sz w:val="20"/>
                <w:szCs w:val="20"/>
                <w:color w:val="auto"/>
              </w:rPr>
            </w:pPr>
            <w:r>
              <w:rPr>
                <w:rFonts w:ascii="Arial" w:cs="Arial" w:eastAsia="Arial" w:hAnsi="Arial"/>
                <w:sz w:val="20"/>
                <w:szCs w:val="20"/>
                <w:b w:val="1"/>
                <w:bCs w:val="1"/>
                <w:color w:val="auto"/>
              </w:rPr>
              <w:t>INDEX:</w:t>
            </w:r>
          </w:p>
        </w:tc>
      </w:tr>
      <w:tr>
        <w:trPr>
          <w:trHeight w:val="347"/>
        </w:trPr>
        <w:tc>
          <w:tcPr>
            <w:tcW w:w="3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Annuity Certificate Section:</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Page Number</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534"/>
        </w:trPr>
        <w:tc>
          <w:tcPr>
            <w:tcW w:w="3520" w:type="dxa"/>
            <w:vAlign w:val="bottom"/>
            <w:tcBorders>
              <w:left w:val="single" w:sz="8" w:color="auto"/>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Table of Information</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Prudential's Guarantee</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Definitions &amp; References</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Payment Terms</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Method of Payment</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Correspondence</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Beneficiaries</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Assignment</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Qualified Domestic Relations Orders</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Reliance Upon Affidavit or Other Evidence</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Misstatements</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Supplemental Information</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4"/>
              </w:rPr>
              <w:t>Certificate Errors and Replacement Certificate</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Entire Contract</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Rights of Payees</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Prudential Telephone Number</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Deductions from Annuity Payments</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Additional Details</w:t>
            </w:r>
          </w:p>
        </w:tc>
        <w:tc>
          <w:tcPr>
            <w:tcW w:w="134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r>
      <w:tr>
        <w:trPr>
          <w:trHeight w:val="27"/>
        </w:trPr>
        <w:tc>
          <w:tcPr>
            <w:tcW w:w="35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1.3 - 18</w:t>
      </w:r>
    </w:p>
    <w:p>
      <w:pPr>
        <w:sectPr>
          <w:pgSz w:w="11900" w:h="16838" w:orient="portrait"/>
          <w:cols w:equalWidth="0" w:num="1">
            <w:col w:w="11400"/>
          </w:cols>
          <w:pgMar w:left="240" w:top="584" w:right="25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51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6880" w:type="dxa"/>
            <w:vAlign w:val="bottom"/>
            <w:gridSpan w:val="6"/>
          </w:tcPr>
          <w:p>
            <w:pPr>
              <w:jc w:val="center"/>
              <w:ind w:right="360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20"/>
                <w:szCs w:val="20"/>
                <w:b w:val="1"/>
                <w:bCs w:val="1"/>
                <w:color w:val="auto"/>
                <w:w w:val="91"/>
              </w:rPr>
              <w:t>Table of Information</w:t>
            </w:r>
          </w:p>
        </w:tc>
        <w:tc>
          <w:tcPr>
            <w:tcW w:w="4080" w:type="dxa"/>
            <w:vAlign w:val="bottom"/>
          </w:tcPr>
          <w:p>
            <w:pPr>
              <w:spacing w:after="0"/>
              <w:rPr>
                <w:sz w:val="24"/>
                <w:szCs w:val="24"/>
                <w:color w:val="auto"/>
              </w:rPr>
            </w:pPr>
          </w:p>
        </w:tc>
      </w:tr>
      <w:tr>
        <w:trPr>
          <w:trHeight w:val="588"/>
        </w:trPr>
        <w:tc>
          <w:tcPr>
            <w:tcW w:w="358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top w:val="single" w:sz="8" w:color="auto"/>
              <w:bottom w:val="single" w:sz="8" w:color="C0C0C0"/>
            </w:tcBorders>
          </w:tcPr>
          <w:p>
            <w:pPr>
              <w:spacing w:after="0"/>
              <w:rPr>
                <w:sz w:val="24"/>
                <w:szCs w:val="24"/>
                <w:color w:val="auto"/>
              </w:rPr>
            </w:pPr>
          </w:p>
        </w:tc>
        <w:tc>
          <w:tcPr>
            <w:tcW w:w="12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080" w:type="dxa"/>
            <w:vAlign w:val="bottom"/>
            <w:tcBorders>
              <w:bottom w:val="single" w:sz="8" w:color="C0C0C0"/>
            </w:tcBorders>
          </w:tcPr>
          <w:p>
            <w:pPr>
              <w:spacing w:after="0"/>
              <w:rPr>
                <w:sz w:val="24"/>
                <w:szCs w:val="24"/>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Covered Life:</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Certificate Number:</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33"/>
        </w:trPr>
        <w:tc>
          <w:tcPr>
            <w:tcW w:w="3580" w:type="dxa"/>
            <w:vAlign w:val="bottom"/>
            <w:tcBorders>
              <w:left w:val="single" w:sz="8" w:color="C0C0C0"/>
            </w:tcBorders>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4"/>
              </w:rPr>
              <w:t>[NAME OF TRUST BANK, as Directed Trustee of the Vita Salaried</w:t>
            </w:r>
          </w:p>
        </w:tc>
      </w:tr>
      <w:tr>
        <w:trPr>
          <w:trHeight w:val="273"/>
        </w:trPr>
        <w:tc>
          <w:tcPr>
            <w:tcW w:w="3580" w:type="dxa"/>
            <w:vAlign w:val="bottom"/>
            <w:tcBorders>
              <w:left w:val="single" w:sz="8" w:color="C0C0C0"/>
              <w:bottom w:val="single" w:sz="8" w:color="C0C0C0"/>
            </w:tcBorders>
          </w:tcPr>
          <w:p>
            <w:pPr>
              <w:ind w:left="20"/>
              <w:spacing w:after="0" w:line="274"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right w:val="single" w:sz="8" w:color="C0C0C0"/>
            </w:tcBorders>
          </w:tcPr>
          <w:p>
            <w:pPr>
              <w:spacing w:after="0"/>
              <w:rPr>
                <w:sz w:val="23"/>
                <w:szCs w:val="23"/>
                <w:color w:val="auto"/>
              </w:rPr>
            </w:pPr>
          </w:p>
        </w:tc>
        <w:tc>
          <w:tcPr>
            <w:tcW w:w="562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Retirement Trust, a New York trust]</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Salaried Retirement Plan]</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Group Annuity Contract Number:</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[Article P of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54"/>
        </w:trPr>
        <w:tc>
          <w:tcPr>
            <w:tcW w:w="3580" w:type="dxa"/>
            <w:vAlign w:val="bottom"/>
            <w:tcBorders>
              <w:left w:val="single" w:sz="8" w:color="C0C0C0"/>
            </w:tcBorders>
          </w:tcPr>
          <w:p>
            <w:pPr>
              <w:ind w:left="20"/>
              <w:spacing w:after="0"/>
              <w:rPr>
                <w:sz w:val="20"/>
                <w:szCs w:val="20"/>
                <w:color w:val="auto"/>
              </w:rPr>
            </w:pPr>
            <w:r>
              <w:rPr>
                <w:rFonts w:ascii="Arial" w:cs="Arial" w:eastAsia="Arial" w:hAnsi="Arial"/>
                <w:sz w:val="20"/>
                <w:szCs w:val="20"/>
                <w:i w:val="1"/>
                <w:iCs w:val="1"/>
                <w:color w:val="auto"/>
              </w:rPr>
              <w:t>Form of Annuity:</w:t>
            </w: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Borders>
              <w:right w:val="single" w:sz="8" w:color="C0C0C0"/>
            </w:tcBorders>
          </w:tcPr>
          <w:p>
            <w:pPr>
              <w:spacing w:after="0"/>
              <w:rPr>
                <w:sz w:val="22"/>
                <w:szCs w:val="22"/>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Single Life and Period Certain Annuity</w:t>
            </w:r>
          </w:p>
        </w:tc>
      </w:tr>
      <w:tr>
        <w:trPr>
          <w:trHeight w:val="23"/>
        </w:trPr>
        <w:tc>
          <w:tcPr>
            <w:tcW w:w="3580" w:type="dxa"/>
            <w:vAlign w:val="bottom"/>
            <w:tcBorders>
              <w:left w:val="single" w:sz="8" w:color="C0C0C0"/>
              <w:bottom w:val="single" w:sz="8" w:color="C0C0C0"/>
            </w:tcBorders>
          </w:tcPr>
          <w:p>
            <w:pPr>
              <w:spacing w:after="0"/>
              <w:rPr>
                <w:sz w:val="2"/>
                <w:szCs w:val="2"/>
                <w:color w:val="auto"/>
              </w:rPr>
            </w:pPr>
          </w:p>
        </w:tc>
        <w:tc>
          <w:tcPr>
            <w:tcW w:w="48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500" w:type="dxa"/>
            <w:vAlign w:val="bottom"/>
            <w:tcBorders>
              <w:bottom w:val="single" w:sz="8" w:color="C0C0C0"/>
              <w:right w:val="single" w:sz="8" w:color="C0C0C0"/>
            </w:tcBorders>
          </w:tcPr>
          <w:p>
            <w:pPr>
              <w:spacing w:after="0"/>
              <w:rPr>
                <w:sz w:val="2"/>
                <w:szCs w:val="2"/>
                <w:color w:val="auto"/>
              </w:rPr>
            </w:pPr>
          </w:p>
        </w:tc>
        <w:tc>
          <w:tcPr>
            <w:tcW w:w="12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080" w:type="dxa"/>
            <w:vAlign w:val="bottom"/>
            <w:tcBorders>
              <w:bottom w:val="single" w:sz="8" w:color="C0C0C0"/>
              <w:right w:val="single" w:sz="8" w:color="C0C0C0"/>
            </w:tcBorders>
          </w:tcPr>
          <w:p>
            <w:pPr>
              <w:spacing w:after="0"/>
              <w:rPr>
                <w:sz w:val="2"/>
                <w:szCs w:val="2"/>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Commencement Date:</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318"/>
        </w:trPr>
        <w:tc>
          <w:tcPr>
            <w:tcW w:w="3580" w:type="dxa"/>
            <w:vAlign w:val="bottom"/>
            <w:tcBorders>
              <w:left w:val="single" w:sz="8" w:color="C0C0C0"/>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126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080" w:type="dxa"/>
            <w:vAlign w:val="bottom"/>
            <w:tcBorders>
              <w:bottom w:val="single" w:sz="8" w:color="C0C0C0"/>
              <w:right w:val="single" w:sz="8" w:color="C0C0C0"/>
            </w:tcBorders>
          </w:tcPr>
          <w:p>
            <w:pPr>
              <w:spacing w:after="0"/>
              <w:rPr>
                <w:sz w:val="24"/>
                <w:szCs w:val="24"/>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304"/>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Covered Life Amount:</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Guaranteed Number of Payments</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Beneficiary(ies):</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[Name(s)/As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1.3 - 19</w:t>
      </w:r>
    </w:p>
    <w:p>
      <w:pPr>
        <w:sectPr>
          <w:pgSz w:w="11900" w:h="16838" w:orient="portrait"/>
          <w:cols w:equalWidth="0" w:num="1">
            <w:col w:w="11420"/>
          </w:cols>
          <w:pgMar w:left="240" w:top="1017" w:right="239" w:bottom="144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This Certificate describes the monthly payments irrevocably guaranteed to you by The Prudential Insurance Company of America ("</w:t>
      </w:r>
      <w:r>
        <w:rPr>
          <w:rFonts w:ascii="Arial" w:cs="Arial" w:eastAsia="Arial" w:hAnsi="Arial"/>
          <w:sz w:val="16"/>
          <w:szCs w:val="16"/>
          <w:b w:val="1"/>
          <w:bCs w:val="1"/>
          <w:color w:val="auto"/>
        </w:rPr>
        <w:t>Prudential</w:t>
      </w:r>
      <w:r>
        <w:rPr>
          <w:rFonts w:ascii="Arial" w:cs="Arial" w:eastAsia="Arial" w:hAnsi="Arial"/>
          <w:sz w:val="16"/>
          <w:szCs w:val="16"/>
          <w:color w:val="auto"/>
        </w:rPr>
        <w:t>") under the Group Annuity Contract referred to above (the "</w:t>
      </w:r>
      <w:r>
        <w:rPr>
          <w:rFonts w:ascii="Arial" w:cs="Arial" w:eastAsia="Arial" w:hAnsi="Arial"/>
          <w:sz w:val="16"/>
          <w:szCs w:val="16"/>
          <w:b w:val="1"/>
          <w:bCs w:val="1"/>
          <w:color w:val="auto"/>
        </w:rPr>
        <w:t>Contract</w:t>
      </w:r>
      <w:r>
        <w:rPr>
          <w:rFonts w:ascii="Arial" w:cs="Arial" w:eastAsia="Arial" w:hAnsi="Arial"/>
          <w:sz w:val="16"/>
          <w:szCs w:val="16"/>
          <w:color w:val="auto"/>
        </w:rPr>
        <w:t>"). Prudential will make the payments owed by it under the Contract when those payments are due.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“Single Life and Period Certain Annuity,” is the Annuity Form having the payment terms specified in this Payment Terms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Payment Terms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w:t>
      </w:r>
      <w:r>
        <w:rPr>
          <w:rFonts w:ascii="Arial" w:cs="Arial" w:eastAsia="Arial" w:hAnsi="Arial"/>
          <w:sz w:val="18"/>
          <w:szCs w:val="18"/>
          <w:i w:val="1"/>
          <w:iCs w:val="1"/>
          <w:color w:val="auto"/>
        </w:rPr>
        <w:t>Covered Life Amount</w:t>
      </w:r>
      <w:r>
        <w:rPr>
          <w:rFonts w:ascii="Arial" w:cs="Arial" w:eastAsia="Arial" w:hAnsi="Arial"/>
          <w:sz w:val="18"/>
          <w:szCs w:val="18"/>
          <w:color w:val="auto"/>
        </w:rPr>
        <w:t xml:space="preserve">.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pay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will then compare the number of monthly payments we make to you after the </w:t>
      </w:r>
      <w:r>
        <w:rPr>
          <w:rFonts w:ascii="Arial" w:cs="Arial" w:eastAsia="Arial" w:hAnsi="Arial"/>
          <w:sz w:val="18"/>
          <w:szCs w:val="18"/>
          <w:i w:val="1"/>
          <w:iCs w:val="1"/>
          <w:color w:val="auto"/>
        </w:rPr>
        <w:t>Annuity Commencement Date</w:t>
      </w:r>
      <w:r>
        <w:rPr>
          <w:rFonts w:ascii="Arial" w:cs="Arial" w:eastAsia="Arial" w:hAnsi="Arial"/>
          <w:sz w:val="18"/>
          <w:szCs w:val="18"/>
          <w:color w:val="auto"/>
        </w:rPr>
        <w:t xml:space="preserve"> to the </w:t>
      </w:r>
      <w:r>
        <w:rPr>
          <w:rFonts w:ascii="Arial" w:cs="Arial" w:eastAsia="Arial" w:hAnsi="Arial"/>
          <w:sz w:val="18"/>
          <w:szCs w:val="18"/>
          <w:i w:val="1"/>
          <w:iCs w:val="1"/>
          <w:color w:val="auto"/>
        </w:rPr>
        <w:t>Guaranteed Number of Payments</w:t>
      </w:r>
      <w:r>
        <w:rPr>
          <w:rFonts w:ascii="Arial" w:cs="Arial" w:eastAsia="Arial" w:hAnsi="Arial"/>
          <w:sz w:val="18"/>
          <w:szCs w:val="18"/>
          <w:color w:val="auto"/>
        </w:rPr>
        <w:t xml:space="preserve"> specified for you in the Table of Information. If the number of monthly payments is less than such guaranteed number, we will pay make additional payments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These payments will stop when the total number of payments to you, plus the number of payments to the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equals the </w:t>
      </w:r>
      <w:r>
        <w:rPr>
          <w:rFonts w:ascii="Arial" w:cs="Arial" w:eastAsia="Arial" w:hAnsi="Arial"/>
          <w:sz w:val="18"/>
          <w:szCs w:val="18"/>
          <w:i w:val="1"/>
          <w:iCs w:val="1"/>
          <w:color w:val="auto"/>
        </w:rPr>
        <w:t>Guaranteed Number of Payments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means an amount that is specified in the Table of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1.3 - 20</w:t>
      </w:r>
    </w:p>
    <w:p>
      <w:pPr>
        <w:sectPr>
          <w:pgSz w:w="11900" w:h="16838" w:orient="portrait"/>
          <w:cols w:equalWidth="0" w:num="1">
            <w:col w:w="11420"/>
          </w:cols>
          <w:pgMar w:left="240" w:top="1013" w:right="239" w:bottom="1440" w:gutter="0" w:footer="0" w:header="0"/>
        </w:sectPr>
      </w:pPr>
    </w:p>
    <w:bookmarkStart w:id="216" w:name="page217"/>
    <w:bookmarkEnd w:id="216"/>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Beneficiaries as described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All adjustments made pursuant to this section will be binding upon the Payee.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1.3 - 21</w:t>
      </w:r>
    </w:p>
    <w:p>
      <w:pPr>
        <w:sectPr>
          <w:pgSz w:w="11900" w:h="16838" w:orient="portrait"/>
          <w:cols w:equalWidth="0" w:num="1">
            <w:col w:w="11420"/>
          </w:cols>
          <w:pgMar w:left="240" w:top="585" w:right="239" w:bottom="1440" w:gutter="0" w:footer="0" w:header="0"/>
        </w:sectPr>
      </w:pPr>
    </w:p>
    <w:bookmarkStart w:id="217" w:name="page218"/>
    <w:bookmarkEnd w:id="217"/>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[Deductions from Annuity Payments: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1.3 - 22</w:t>
      </w:r>
    </w:p>
    <w:p>
      <w:pPr>
        <w:sectPr>
          <w:pgSz w:w="11900" w:h="16838" w:orient="portrait"/>
          <w:cols w:equalWidth="0" w:num="1">
            <w:col w:w="11420"/>
          </w:cols>
          <w:pgMar w:left="240" w:top="801" w:right="239" w:bottom="1440" w:gutter="0" w:footer="0" w:header="0"/>
        </w:sectPr>
      </w:pPr>
    </w:p>
    <w:bookmarkStart w:id="218" w:name="page219"/>
    <w:bookmarkEnd w:id="218"/>
    <w:p>
      <w:pPr>
        <w:spacing w:after="0" w:line="272" w:lineRule="auto"/>
        <w:rPr>
          <w:sz w:val="20"/>
          <w:szCs w:val="20"/>
          <w:color w:val="auto"/>
        </w:rPr>
      </w:pPr>
      <w:r>
        <w:rPr>
          <w:rFonts w:ascii="Arial" w:cs="Arial" w:eastAsia="Arial" w:hAnsi="Arial"/>
          <w:sz w:val="18"/>
          <w:szCs w:val="18"/>
          <w:color w:val="auto"/>
        </w:rPr>
        <w:t xml:space="preserve">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5"/>
          <w:szCs w:val="25"/>
          <w:color w:val="auto"/>
          <w:vertAlign w:val="superscript"/>
        </w:rPr>
        <w:t>D</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389" w:lineRule="exact"/>
        <w:rPr>
          <w:sz w:val="20"/>
          <w:szCs w:val="20"/>
          <w:color w:val="auto"/>
        </w:rPr>
      </w:pPr>
    </w:p>
    <w:tbl>
      <w:tblPr>
        <w:tblLayout w:type="fixed"/>
        <w:tblInd w:w="1710" w:type="dxa"/>
        <w:tblCellMar>
          <w:top w:w="0" w:type="dxa"/>
          <w:left w:w="0" w:type="dxa"/>
          <w:bottom w:w="0" w:type="dxa"/>
          <w:right w:w="0" w:type="dxa"/>
        </w:tblCellMar>
      </w:tblPr>
      <w:tr>
        <w:trPr>
          <w:trHeight w:val="256"/>
        </w:trPr>
        <w:tc>
          <w:tcPr>
            <w:tcW w:w="4860" w:type="dxa"/>
            <w:vAlign w:val="bottom"/>
          </w:tcPr>
          <w:p>
            <w:pPr>
              <w:ind w:left="366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48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763"/>
        </w:trPr>
        <w:tc>
          <w:tcPr>
            <w:tcW w:w="486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Beneficiaries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Assignment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40"/>
          </w:cols>
          <w:pgMar w:left="240" w:top="59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Appendix 1.3 - 23</w:t>
      </w:r>
    </w:p>
    <w:p>
      <w:pPr>
        <w:sectPr>
          <w:pgSz w:w="11900" w:h="16838" w:orient="portrait"/>
          <w:cols w:equalWidth="0" w:num="1">
            <w:col w:w="11340"/>
          </w:cols>
          <w:pgMar w:left="240" w:top="598" w:right="319" w:bottom="1440" w:gutter="0" w:footer="0" w:header="0"/>
          <w:type w:val="continuous"/>
        </w:sectPr>
      </w:pPr>
    </w:p>
    <w:bookmarkStart w:id="219" w:name="page220"/>
    <w:bookmarkEnd w:id="219"/>
    <w:p>
      <w:pPr>
        <w:jc w:val="right"/>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51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6880" w:type="dxa"/>
            <w:vAlign w:val="bottom"/>
            <w:gridSpan w:val="6"/>
          </w:tcPr>
          <w:p>
            <w:pPr>
              <w:jc w:val="center"/>
              <w:ind w:right="360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20"/>
                <w:szCs w:val="20"/>
                <w:b w:val="1"/>
                <w:bCs w:val="1"/>
                <w:color w:val="auto"/>
                <w:w w:val="91"/>
              </w:rPr>
              <w:t>Table of Information</w:t>
            </w:r>
          </w:p>
        </w:tc>
        <w:tc>
          <w:tcPr>
            <w:tcW w:w="4080" w:type="dxa"/>
            <w:vAlign w:val="bottom"/>
          </w:tcPr>
          <w:p>
            <w:pPr>
              <w:spacing w:after="0"/>
              <w:rPr>
                <w:sz w:val="24"/>
                <w:szCs w:val="24"/>
                <w:color w:val="auto"/>
              </w:rPr>
            </w:pPr>
          </w:p>
        </w:tc>
      </w:tr>
      <w:tr>
        <w:trPr>
          <w:trHeight w:val="588"/>
        </w:trPr>
        <w:tc>
          <w:tcPr>
            <w:tcW w:w="358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top w:val="single" w:sz="8" w:color="auto"/>
              <w:bottom w:val="single" w:sz="8" w:color="C0C0C0"/>
            </w:tcBorders>
          </w:tcPr>
          <w:p>
            <w:pPr>
              <w:spacing w:after="0"/>
              <w:rPr>
                <w:sz w:val="24"/>
                <w:szCs w:val="24"/>
                <w:color w:val="auto"/>
              </w:rPr>
            </w:pPr>
          </w:p>
        </w:tc>
        <w:tc>
          <w:tcPr>
            <w:tcW w:w="12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080" w:type="dxa"/>
            <w:vAlign w:val="bottom"/>
            <w:tcBorders>
              <w:bottom w:val="single" w:sz="8" w:color="C0C0C0"/>
            </w:tcBorders>
          </w:tcPr>
          <w:p>
            <w:pPr>
              <w:spacing w:after="0"/>
              <w:rPr>
                <w:sz w:val="24"/>
                <w:szCs w:val="24"/>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Covered Life:</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Certificate Number:</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33"/>
        </w:trPr>
        <w:tc>
          <w:tcPr>
            <w:tcW w:w="3580" w:type="dxa"/>
            <w:vAlign w:val="bottom"/>
            <w:tcBorders>
              <w:left w:val="single" w:sz="8" w:color="C0C0C0"/>
            </w:tcBorders>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4"/>
              </w:rPr>
              <w:t>[NAME OF TRUST BANK, as Directed Trustee of the Vita Salaried</w:t>
            </w:r>
          </w:p>
        </w:tc>
      </w:tr>
      <w:tr>
        <w:trPr>
          <w:trHeight w:val="273"/>
        </w:trPr>
        <w:tc>
          <w:tcPr>
            <w:tcW w:w="3580" w:type="dxa"/>
            <w:vAlign w:val="bottom"/>
            <w:tcBorders>
              <w:left w:val="single" w:sz="8" w:color="C0C0C0"/>
              <w:bottom w:val="single" w:sz="8" w:color="C0C0C0"/>
            </w:tcBorders>
          </w:tcPr>
          <w:p>
            <w:pPr>
              <w:ind w:left="20"/>
              <w:spacing w:after="0" w:line="274"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right w:val="single" w:sz="8" w:color="C0C0C0"/>
            </w:tcBorders>
          </w:tcPr>
          <w:p>
            <w:pPr>
              <w:spacing w:after="0"/>
              <w:rPr>
                <w:sz w:val="23"/>
                <w:szCs w:val="23"/>
                <w:color w:val="auto"/>
              </w:rPr>
            </w:pPr>
          </w:p>
        </w:tc>
        <w:tc>
          <w:tcPr>
            <w:tcW w:w="562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Retirement Trust, a New York trust]</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Salaried Retirement Plan]</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Group Annuity Contract Number:</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[Article P of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54"/>
        </w:trPr>
        <w:tc>
          <w:tcPr>
            <w:tcW w:w="3580" w:type="dxa"/>
            <w:vAlign w:val="bottom"/>
            <w:tcBorders>
              <w:left w:val="single" w:sz="8" w:color="C0C0C0"/>
            </w:tcBorders>
          </w:tcPr>
          <w:p>
            <w:pPr>
              <w:ind w:left="20"/>
              <w:spacing w:after="0"/>
              <w:rPr>
                <w:sz w:val="20"/>
                <w:szCs w:val="20"/>
                <w:color w:val="auto"/>
              </w:rPr>
            </w:pPr>
            <w:r>
              <w:rPr>
                <w:rFonts w:ascii="Arial" w:cs="Arial" w:eastAsia="Arial" w:hAnsi="Arial"/>
                <w:sz w:val="20"/>
                <w:szCs w:val="20"/>
                <w:i w:val="1"/>
                <w:iCs w:val="1"/>
                <w:color w:val="auto"/>
              </w:rPr>
              <w:t>Form of Annuity:</w:t>
            </w: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Borders>
              <w:right w:val="single" w:sz="8" w:color="C0C0C0"/>
            </w:tcBorders>
          </w:tcPr>
          <w:p>
            <w:pPr>
              <w:spacing w:after="0"/>
              <w:rPr>
                <w:sz w:val="22"/>
                <w:szCs w:val="22"/>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Period Certain Annuity</w:t>
            </w:r>
          </w:p>
        </w:tc>
      </w:tr>
      <w:tr>
        <w:trPr>
          <w:trHeight w:val="23"/>
        </w:trPr>
        <w:tc>
          <w:tcPr>
            <w:tcW w:w="3580" w:type="dxa"/>
            <w:vAlign w:val="bottom"/>
            <w:tcBorders>
              <w:left w:val="single" w:sz="8" w:color="C0C0C0"/>
              <w:bottom w:val="single" w:sz="8" w:color="C0C0C0"/>
            </w:tcBorders>
          </w:tcPr>
          <w:p>
            <w:pPr>
              <w:spacing w:after="0"/>
              <w:rPr>
                <w:sz w:val="2"/>
                <w:szCs w:val="2"/>
                <w:color w:val="auto"/>
              </w:rPr>
            </w:pPr>
          </w:p>
        </w:tc>
        <w:tc>
          <w:tcPr>
            <w:tcW w:w="48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500" w:type="dxa"/>
            <w:vAlign w:val="bottom"/>
            <w:tcBorders>
              <w:bottom w:val="single" w:sz="8" w:color="C0C0C0"/>
              <w:right w:val="single" w:sz="8" w:color="C0C0C0"/>
            </w:tcBorders>
          </w:tcPr>
          <w:p>
            <w:pPr>
              <w:spacing w:after="0"/>
              <w:rPr>
                <w:sz w:val="2"/>
                <w:szCs w:val="2"/>
                <w:color w:val="auto"/>
              </w:rPr>
            </w:pPr>
          </w:p>
        </w:tc>
        <w:tc>
          <w:tcPr>
            <w:tcW w:w="12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080" w:type="dxa"/>
            <w:vAlign w:val="bottom"/>
            <w:tcBorders>
              <w:bottom w:val="single" w:sz="8" w:color="C0C0C0"/>
              <w:right w:val="single" w:sz="8" w:color="C0C0C0"/>
            </w:tcBorders>
          </w:tcPr>
          <w:p>
            <w:pPr>
              <w:spacing w:after="0"/>
              <w:rPr>
                <w:sz w:val="2"/>
                <w:szCs w:val="2"/>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Commencement Date:</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304"/>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Covered Life Amount:</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Guaranteed Number of Payments</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Beneficiary(ies):</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[Name(s)/As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This Certificate describes the monthly payments irrevocably guaranteed to you by The Prudential Insurance Company of America ("</w:t>
      </w:r>
      <w:r>
        <w:rPr>
          <w:rFonts w:ascii="Arial" w:cs="Arial" w:eastAsia="Arial" w:hAnsi="Arial"/>
          <w:sz w:val="16"/>
          <w:szCs w:val="16"/>
          <w:b w:val="1"/>
          <w:bCs w:val="1"/>
          <w:color w:val="auto"/>
        </w:rPr>
        <w:t>Prudential</w:t>
      </w:r>
      <w:r>
        <w:rPr>
          <w:rFonts w:ascii="Arial" w:cs="Arial" w:eastAsia="Arial" w:hAnsi="Arial"/>
          <w:sz w:val="16"/>
          <w:szCs w:val="16"/>
          <w:color w:val="auto"/>
        </w:rPr>
        <w:t>") under the Group Annuity Contract referred to above (the "</w:t>
      </w:r>
      <w:r>
        <w:rPr>
          <w:rFonts w:ascii="Arial" w:cs="Arial" w:eastAsia="Arial" w:hAnsi="Arial"/>
          <w:sz w:val="16"/>
          <w:szCs w:val="16"/>
          <w:b w:val="1"/>
          <w:bCs w:val="1"/>
          <w:color w:val="auto"/>
        </w:rPr>
        <w:t>Contract</w:t>
      </w:r>
      <w:r>
        <w:rPr>
          <w:rFonts w:ascii="Arial" w:cs="Arial" w:eastAsia="Arial" w:hAnsi="Arial"/>
          <w:sz w:val="16"/>
          <w:szCs w:val="16"/>
          <w:color w:val="auto"/>
        </w:rPr>
        <w:t>"). Prudential will make the payments owed by it under the Contract when those payments are due.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1.3 - 24</w:t>
      </w:r>
    </w:p>
    <w:p>
      <w:pPr>
        <w:sectPr>
          <w:pgSz w:w="11900" w:h="16838" w:orient="portrait"/>
          <w:cols w:equalWidth="0" w:num="1">
            <w:col w:w="11420"/>
          </w:cols>
          <w:pgMar w:left="240" w:top="1233" w:right="239" w:bottom="1440" w:gutter="0" w:footer="0" w:header="0"/>
        </w:sectPr>
      </w:pPr>
    </w:p>
    <w:bookmarkStart w:id="220" w:name="page221"/>
    <w:bookmarkEnd w:id="220"/>
    <w:p>
      <w:pPr>
        <w:jc w:val="both"/>
        <w:spacing w:after="0" w:line="286" w:lineRule="auto"/>
        <w:rPr>
          <w:sz w:val="20"/>
          <w:szCs w:val="20"/>
          <w:color w:val="auto"/>
        </w:rPr>
      </w:pPr>
      <w:r>
        <w:rPr>
          <w:rFonts w:ascii="Arial" w:cs="Arial" w:eastAsia="Arial" w:hAnsi="Arial"/>
          <w:sz w:val="17"/>
          <w:szCs w:val="17"/>
          <w:color w:val="auto"/>
        </w:rPr>
        <w:t>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7"/>
          <w:szCs w:val="17"/>
          <w:b w:val="1"/>
          <w:bCs w:val="1"/>
          <w:color w:val="auto"/>
        </w:rPr>
        <w:t>Representative</w:t>
      </w:r>
      <w:r>
        <w:rPr>
          <w:rFonts w:ascii="Arial" w:cs="Arial" w:eastAsia="Arial" w:hAnsi="Arial"/>
          <w:sz w:val="17"/>
          <w:szCs w:val="17"/>
          <w:color w:val="auto"/>
        </w:rPr>
        <w:t>” means, with respect to a Payee, an individual or entity that has been duly appointed in accordance with the Contract to represent the Payee, such as a guardian.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“Period Certain Annuity,” is the Annuity Form having the payment terms specified in this Payment Terms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We will make monthly payments to you equal to your </w:t>
      </w:r>
      <w:r>
        <w:rPr>
          <w:rFonts w:ascii="Arial" w:cs="Arial" w:eastAsia="Arial" w:hAnsi="Arial"/>
          <w:sz w:val="17"/>
          <w:szCs w:val="17"/>
          <w:i w:val="1"/>
          <w:iCs w:val="1"/>
          <w:color w:val="auto"/>
        </w:rPr>
        <w:t>Covered Life Amount</w:t>
      </w:r>
      <w:r>
        <w:rPr>
          <w:rFonts w:ascii="Arial" w:cs="Arial" w:eastAsia="Arial" w:hAnsi="Arial"/>
          <w:sz w:val="17"/>
          <w:szCs w:val="17"/>
          <w:color w:val="auto"/>
        </w:rPr>
        <w:t xml:space="preserve">. We owe the first monthly payment on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We will pay subsequent monthly payments on the first day of each month. The total number of monthly payments will equal the </w:t>
      </w:r>
      <w:r>
        <w:rPr>
          <w:rFonts w:ascii="Arial" w:cs="Arial" w:eastAsia="Arial" w:hAnsi="Arial"/>
          <w:sz w:val="17"/>
          <w:szCs w:val="17"/>
          <w:i w:val="1"/>
          <w:iCs w:val="1"/>
          <w:color w:val="auto"/>
        </w:rPr>
        <w:t>Guaranteed Number of Payments</w:t>
      </w:r>
      <w:r>
        <w:rPr>
          <w:rFonts w:ascii="Arial" w:cs="Arial" w:eastAsia="Arial" w:hAnsi="Arial"/>
          <w:sz w:val="17"/>
          <w:szCs w:val="17"/>
          <w:color w:val="auto"/>
        </w:rPr>
        <w:t xml:space="preserve"> specified for you in the Table of Information. Once such </w:t>
      </w:r>
      <w:r>
        <w:rPr>
          <w:rFonts w:ascii="Arial" w:cs="Arial" w:eastAsia="Arial" w:hAnsi="Arial"/>
          <w:sz w:val="17"/>
          <w:szCs w:val="17"/>
          <w:i w:val="1"/>
          <w:iCs w:val="1"/>
          <w:color w:val="auto"/>
        </w:rPr>
        <w:t>Guaranteed Number of Payments</w:t>
      </w:r>
      <w:r>
        <w:rPr>
          <w:rFonts w:ascii="Arial" w:cs="Arial" w:eastAsia="Arial" w:hAnsi="Arial"/>
          <w:sz w:val="17"/>
          <w:szCs w:val="17"/>
          <w:color w:val="auto"/>
        </w:rPr>
        <w:t xml:space="preserve"> has been paid, no further payments are due.</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If you die after the </w:t>
      </w:r>
      <w:r>
        <w:rPr>
          <w:rFonts w:ascii="Arial" w:cs="Arial" w:eastAsia="Arial" w:hAnsi="Arial"/>
          <w:sz w:val="18"/>
          <w:szCs w:val="18"/>
          <w:i w:val="1"/>
          <w:iCs w:val="1"/>
          <w:color w:val="auto"/>
        </w:rPr>
        <w:t>Annuity Commencement Date</w:t>
      </w:r>
      <w:r>
        <w:rPr>
          <w:rFonts w:ascii="Arial" w:cs="Arial" w:eastAsia="Arial" w:hAnsi="Arial"/>
          <w:sz w:val="18"/>
          <w:szCs w:val="18"/>
          <w:color w:val="auto"/>
        </w:rPr>
        <w:t xml:space="preserve">, we will determine the number of monthly payments we made to you after the </w:t>
      </w:r>
      <w:r>
        <w:rPr>
          <w:rFonts w:ascii="Arial" w:cs="Arial" w:eastAsia="Arial" w:hAnsi="Arial"/>
          <w:sz w:val="18"/>
          <w:szCs w:val="18"/>
          <w:i w:val="1"/>
          <w:iCs w:val="1"/>
          <w:color w:val="auto"/>
        </w:rPr>
        <w:t>Annuity Commencement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If the number payment made is less than such</w:t>
      </w:r>
      <w:r>
        <w:rPr>
          <w:rFonts w:ascii="Arial" w:cs="Arial" w:eastAsia="Arial" w:hAnsi="Arial"/>
          <w:sz w:val="18"/>
          <w:szCs w:val="18"/>
          <w:i w:val="1"/>
          <w:iCs w:val="1"/>
          <w:color w:val="auto"/>
        </w:rPr>
        <w:t xml:space="preserve"> Guaranteed Number of Payments</w:t>
      </w:r>
      <w:r>
        <w:rPr>
          <w:rFonts w:ascii="Arial" w:cs="Arial" w:eastAsia="Arial" w:hAnsi="Arial"/>
          <w:sz w:val="18"/>
          <w:szCs w:val="18"/>
          <w:color w:val="auto"/>
        </w:rPr>
        <w:t>, then we will pay the</w:t>
      </w:r>
      <w:r>
        <w:rPr>
          <w:rFonts w:ascii="Arial" w:cs="Arial" w:eastAsia="Arial" w:hAnsi="Arial"/>
          <w:sz w:val="18"/>
          <w:szCs w:val="18"/>
          <w:i w:val="1"/>
          <w:iCs w:val="1"/>
          <w:color w:val="auto"/>
        </w:rPr>
        <w:t xml:space="preserve"> Covered Life Amount </w:t>
      </w:r>
      <w:r>
        <w:rPr>
          <w:rFonts w:ascii="Arial" w:cs="Arial" w:eastAsia="Arial" w:hAnsi="Arial"/>
          <w:sz w:val="18"/>
          <w:szCs w:val="18"/>
          <w:color w:val="auto"/>
        </w:rPr>
        <w:t>to the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Beneficiary for your Annuity Form. These payments to such Beneficiary will stop when the total number of payments to you, plus the number of payments to the Beneficiary, equals the </w:t>
      </w:r>
      <w:r>
        <w:rPr>
          <w:rFonts w:ascii="Arial" w:cs="Arial" w:eastAsia="Arial" w:hAnsi="Arial"/>
          <w:sz w:val="18"/>
          <w:szCs w:val="18"/>
          <w:i w:val="1"/>
          <w:iCs w:val="1"/>
          <w:color w:val="auto"/>
        </w:rPr>
        <w:t>Guaranteed Number of Payments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means an amount that is specified in the Table of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Beneficiaries as described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1.3 - 25</w:t>
      </w:r>
    </w:p>
    <w:p>
      <w:pPr>
        <w:sectPr>
          <w:pgSz w:w="11900" w:h="16838" w:orient="portrait"/>
          <w:cols w:equalWidth="0" w:num="1">
            <w:col w:w="11420"/>
          </w:cols>
          <w:pgMar w:left="240" w:top="584"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a change of Beneficiaries.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All adjustments made pursuant to this section will be binding upon the Payee.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legally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1.3 - 26</w:t>
      </w:r>
    </w:p>
    <w:p>
      <w:pPr>
        <w:sectPr>
          <w:pgSz w:w="11900" w:h="16838" w:orient="portrait"/>
          <w:cols w:equalWidth="0" w:num="1">
            <w:col w:w="11420"/>
          </w:cols>
          <w:pgMar w:left="240" w:top="584"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Certificate by making payments to the Payee's Representative.</w:t>
      </w:r>
    </w:p>
    <w:p>
      <w:pPr>
        <w:spacing w:after="0" w:line="11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[Deductions from Annuity Payments:</w:t>
      </w:r>
    </w:p>
    <w:p>
      <w:pPr>
        <w:spacing w:after="0" w:line="24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contains a summary of certain important terms of the Contract. The Contract contains a more complete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1.3 - 27</w:t>
      </w:r>
    </w:p>
    <w:p>
      <w:pPr>
        <w:sectPr>
          <w:pgSz w:w="11900" w:h="16838" w:orient="portrait"/>
          <w:cols w:equalWidth="0" w:num="1">
            <w:col w:w="11420"/>
          </w:cols>
          <w:pgMar w:left="240" w:top="585" w:right="239" w:bottom="1440" w:gutter="0" w:footer="0" w:header="0"/>
        </w:sectPr>
      </w:pPr>
    </w:p>
    <w:bookmarkStart w:id="223" w:name="page224"/>
    <w:bookmarkEnd w:id="223"/>
    <w:p>
      <w:pPr>
        <w:spacing w:after="0" w:line="277" w:lineRule="auto"/>
        <w:rPr>
          <w:sz w:val="20"/>
          <w:szCs w:val="20"/>
          <w:color w:val="auto"/>
        </w:rPr>
      </w:pPr>
      <w:r>
        <w:rPr>
          <w:rFonts w:ascii="Arial" w:cs="Arial" w:eastAsia="Arial" w:hAnsi="Arial"/>
          <w:sz w:val="18"/>
          <w:szCs w:val="18"/>
          <w:color w:val="auto"/>
        </w:rPr>
        <w:t>description of your rights and Prudential's obligations. The Contract will control in the event of a conflict between the terms of this Certificate and the terms of the Contract.</w:t>
      </w:r>
    </w:p>
    <w:p>
      <w:pPr>
        <w:spacing w:after="0" w:line="38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389" w:lineRule="exact"/>
        <w:rPr>
          <w:sz w:val="20"/>
          <w:szCs w:val="20"/>
          <w:color w:val="auto"/>
        </w:rPr>
      </w:pPr>
    </w:p>
    <w:tbl>
      <w:tblPr>
        <w:tblLayout w:type="fixed"/>
        <w:tblInd w:w="1710" w:type="dxa"/>
        <w:tblCellMar>
          <w:top w:w="0" w:type="dxa"/>
          <w:left w:w="0" w:type="dxa"/>
          <w:bottom w:w="0" w:type="dxa"/>
          <w:right w:w="0" w:type="dxa"/>
        </w:tblCellMar>
      </w:tblPr>
      <w:tr>
        <w:trPr>
          <w:trHeight w:val="256"/>
        </w:trPr>
        <w:tc>
          <w:tcPr>
            <w:tcW w:w="4860" w:type="dxa"/>
            <w:vAlign w:val="bottom"/>
          </w:tcPr>
          <w:p>
            <w:pPr>
              <w:ind w:left="366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48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763"/>
        </w:trPr>
        <w:tc>
          <w:tcPr>
            <w:tcW w:w="486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Beneficiaries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Assignment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240" w:top="5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Appendix 1.3 - 28</w:t>
      </w:r>
    </w:p>
    <w:p>
      <w:pPr>
        <w:sectPr>
          <w:pgSz w:w="11900" w:h="16838" w:orient="portrait"/>
          <w:cols w:equalWidth="0" w:num="1">
            <w:col w:w="11260"/>
          </w:cols>
          <w:pgMar w:left="240" w:top="585" w:right="399" w:bottom="1440" w:gutter="0" w:footer="0" w:header="0"/>
          <w:type w:val="continuous"/>
        </w:sectPr>
      </w:pPr>
    </w:p>
    <w:bookmarkStart w:id="224" w:name="page225"/>
    <w:bookmarkEnd w:id="224"/>
    <w:p>
      <w:pPr>
        <w:jc w:val="right"/>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6880" w:type="dxa"/>
            <w:vAlign w:val="bottom"/>
            <w:gridSpan w:val="6"/>
          </w:tcPr>
          <w:p>
            <w:pPr>
              <w:jc w:val="center"/>
              <w:ind w:right="360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20"/>
                <w:szCs w:val="20"/>
                <w:b w:val="1"/>
                <w:bCs w:val="1"/>
                <w:color w:val="auto"/>
                <w:w w:val="91"/>
              </w:rPr>
              <w:t>Table of Information</w:t>
            </w:r>
          </w:p>
        </w:tc>
        <w:tc>
          <w:tcPr>
            <w:tcW w:w="4080" w:type="dxa"/>
            <w:vAlign w:val="bottom"/>
          </w:tcPr>
          <w:p>
            <w:pPr>
              <w:spacing w:after="0"/>
              <w:rPr>
                <w:sz w:val="24"/>
                <w:szCs w:val="24"/>
                <w:color w:val="auto"/>
              </w:rPr>
            </w:pPr>
          </w:p>
        </w:tc>
      </w:tr>
      <w:tr>
        <w:trPr>
          <w:trHeight w:val="588"/>
        </w:trPr>
        <w:tc>
          <w:tcPr>
            <w:tcW w:w="358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top w:val="single" w:sz="8" w:color="auto"/>
              <w:bottom w:val="single" w:sz="8" w:color="C0C0C0"/>
            </w:tcBorders>
          </w:tcPr>
          <w:p>
            <w:pPr>
              <w:spacing w:after="0"/>
              <w:rPr>
                <w:sz w:val="24"/>
                <w:szCs w:val="24"/>
                <w:color w:val="auto"/>
              </w:rPr>
            </w:pPr>
          </w:p>
        </w:tc>
        <w:tc>
          <w:tcPr>
            <w:tcW w:w="12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080" w:type="dxa"/>
            <w:vAlign w:val="bottom"/>
            <w:tcBorders>
              <w:bottom w:val="single" w:sz="8" w:color="C0C0C0"/>
            </w:tcBorders>
          </w:tcPr>
          <w:p>
            <w:pPr>
              <w:spacing w:after="0"/>
              <w:rPr>
                <w:sz w:val="24"/>
                <w:szCs w:val="24"/>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Covered Life:</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Certificate Number:</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33"/>
        </w:trPr>
        <w:tc>
          <w:tcPr>
            <w:tcW w:w="3580" w:type="dxa"/>
            <w:vAlign w:val="bottom"/>
            <w:tcBorders>
              <w:left w:val="single" w:sz="8" w:color="C0C0C0"/>
            </w:tcBorders>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4"/>
              </w:rPr>
              <w:t>[NAME OF TRUST BANK, as Directed Trustee of the Vita Salaried</w:t>
            </w:r>
          </w:p>
        </w:tc>
      </w:tr>
      <w:tr>
        <w:trPr>
          <w:trHeight w:val="273"/>
        </w:trPr>
        <w:tc>
          <w:tcPr>
            <w:tcW w:w="3580" w:type="dxa"/>
            <w:vAlign w:val="bottom"/>
            <w:tcBorders>
              <w:left w:val="single" w:sz="8" w:color="C0C0C0"/>
              <w:bottom w:val="single" w:sz="8" w:color="C0C0C0"/>
            </w:tcBorders>
          </w:tcPr>
          <w:p>
            <w:pPr>
              <w:ind w:left="20"/>
              <w:spacing w:after="0" w:line="274"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right w:val="single" w:sz="8" w:color="C0C0C0"/>
            </w:tcBorders>
          </w:tcPr>
          <w:p>
            <w:pPr>
              <w:spacing w:after="0"/>
              <w:rPr>
                <w:sz w:val="23"/>
                <w:szCs w:val="23"/>
                <w:color w:val="auto"/>
              </w:rPr>
            </w:pPr>
          </w:p>
        </w:tc>
        <w:tc>
          <w:tcPr>
            <w:tcW w:w="562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Retirement Trust, a New York trust]</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Salaried Retirement Plan]</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Group Annuity Contract Number:</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[Article P of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54"/>
        </w:trPr>
        <w:tc>
          <w:tcPr>
            <w:tcW w:w="3580" w:type="dxa"/>
            <w:vAlign w:val="bottom"/>
            <w:tcBorders>
              <w:left w:val="single" w:sz="8" w:color="C0C0C0"/>
            </w:tcBorders>
          </w:tcPr>
          <w:p>
            <w:pPr>
              <w:ind w:left="20"/>
              <w:spacing w:after="0"/>
              <w:rPr>
                <w:sz w:val="20"/>
                <w:szCs w:val="20"/>
                <w:color w:val="auto"/>
              </w:rPr>
            </w:pPr>
            <w:r>
              <w:rPr>
                <w:rFonts w:ascii="Arial" w:cs="Arial" w:eastAsia="Arial" w:hAnsi="Arial"/>
                <w:sz w:val="20"/>
                <w:szCs w:val="20"/>
                <w:i w:val="1"/>
                <w:iCs w:val="1"/>
                <w:color w:val="auto"/>
              </w:rPr>
              <w:t>Form of Annuity:</w:t>
            </w: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Borders>
              <w:right w:val="single" w:sz="8" w:color="C0C0C0"/>
            </w:tcBorders>
          </w:tcPr>
          <w:p>
            <w:pPr>
              <w:spacing w:after="0"/>
              <w:rPr>
                <w:sz w:val="22"/>
                <w:szCs w:val="22"/>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Window Single Life Annuity</w:t>
            </w:r>
          </w:p>
        </w:tc>
      </w:tr>
      <w:tr>
        <w:trPr>
          <w:trHeight w:val="23"/>
        </w:trPr>
        <w:tc>
          <w:tcPr>
            <w:tcW w:w="3580" w:type="dxa"/>
            <w:vAlign w:val="bottom"/>
            <w:tcBorders>
              <w:left w:val="single" w:sz="8" w:color="C0C0C0"/>
              <w:bottom w:val="single" w:sz="8" w:color="C0C0C0"/>
            </w:tcBorders>
          </w:tcPr>
          <w:p>
            <w:pPr>
              <w:spacing w:after="0"/>
              <w:rPr>
                <w:sz w:val="2"/>
                <w:szCs w:val="2"/>
                <w:color w:val="auto"/>
              </w:rPr>
            </w:pPr>
          </w:p>
        </w:tc>
        <w:tc>
          <w:tcPr>
            <w:tcW w:w="48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500" w:type="dxa"/>
            <w:vAlign w:val="bottom"/>
            <w:tcBorders>
              <w:bottom w:val="single" w:sz="8" w:color="C0C0C0"/>
              <w:right w:val="single" w:sz="8" w:color="C0C0C0"/>
            </w:tcBorders>
          </w:tcPr>
          <w:p>
            <w:pPr>
              <w:spacing w:after="0"/>
              <w:rPr>
                <w:sz w:val="2"/>
                <w:szCs w:val="2"/>
                <w:color w:val="auto"/>
              </w:rPr>
            </w:pPr>
          </w:p>
        </w:tc>
        <w:tc>
          <w:tcPr>
            <w:tcW w:w="12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080" w:type="dxa"/>
            <w:vAlign w:val="bottom"/>
            <w:tcBorders>
              <w:bottom w:val="single" w:sz="8" w:color="C0C0C0"/>
              <w:right w:val="single" w:sz="8" w:color="C0C0C0"/>
            </w:tcBorders>
          </w:tcPr>
          <w:p>
            <w:pPr>
              <w:spacing w:after="0"/>
              <w:rPr>
                <w:sz w:val="2"/>
                <w:szCs w:val="2"/>
                <w:color w:val="auto"/>
              </w:rPr>
            </w:pP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33"/>
        </w:trPr>
        <w:tc>
          <w:tcPr>
            <w:tcW w:w="3580" w:type="dxa"/>
            <w:vAlign w:val="bottom"/>
            <w:tcBorders>
              <w:left w:val="single" w:sz="8" w:color="C0C0C0"/>
            </w:tcBorders>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C0C0C0"/>
            </w:tcBorders>
          </w:tcPr>
          <w:p>
            <w:pPr>
              <w:spacing w:after="0"/>
              <w:rPr>
                <w:sz w:val="20"/>
                <w:szCs w:val="20"/>
                <w:color w:val="auto"/>
              </w:rPr>
            </w:pPr>
          </w:p>
        </w:tc>
        <w:tc>
          <w:tcPr>
            <w:tcW w:w="562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[Refund Death Benefit Rider</w:t>
            </w:r>
          </w:p>
        </w:tc>
      </w:tr>
      <w:tr>
        <w:trPr>
          <w:trHeight w:val="273"/>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Riders:</w:t>
            </w:r>
          </w:p>
        </w:tc>
        <w:tc>
          <w:tcPr>
            <w:tcW w:w="48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right w:val="single" w:sz="8" w:color="C0C0C0"/>
            </w:tcBorders>
          </w:tcPr>
          <w:p>
            <w:pPr>
              <w:spacing w:after="0"/>
              <w:rPr>
                <w:sz w:val="23"/>
                <w:szCs w:val="23"/>
                <w:color w:val="auto"/>
              </w:rPr>
            </w:pPr>
          </w:p>
        </w:tc>
        <w:tc>
          <w:tcPr>
            <w:tcW w:w="562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Annuity Commencement Date:</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304"/>
        </w:trPr>
        <w:tc>
          <w:tcPr>
            <w:tcW w:w="3580" w:type="dxa"/>
            <w:vAlign w:val="bottom"/>
            <w:tcBorders>
              <w:left w:val="single" w:sz="8" w:color="C0C0C0"/>
              <w:bottom w:val="single" w:sz="8" w:color="C0C0C0"/>
            </w:tcBorders>
          </w:tcPr>
          <w:p>
            <w:pPr>
              <w:ind w:left="20"/>
              <w:spacing w:after="0"/>
              <w:rPr>
                <w:sz w:val="20"/>
                <w:szCs w:val="20"/>
                <w:color w:val="auto"/>
              </w:rPr>
            </w:pPr>
            <w:r>
              <w:rPr>
                <w:rFonts w:ascii="Arial" w:cs="Arial" w:eastAsia="Arial" w:hAnsi="Arial"/>
                <w:sz w:val="20"/>
                <w:szCs w:val="20"/>
                <w:i w:val="1"/>
                <w:iCs w:val="1"/>
                <w:color w:val="auto"/>
              </w:rPr>
              <w:t>Covered Life Amount:</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Maximum Refund Death Benefit: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Beneficiary(ies):</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[Names(s)/As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 </w:t>
            </w:r>
            <w:r>
              <w:rPr>
                <w:rFonts w:ascii="Arial" w:cs="Arial" w:eastAsia="Arial" w:hAnsi="Arial"/>
                <w:sz w:val="25"/>
                <w:szCs w:val="25"/>
                <w:b w:val="1"/>
                <w:bCs w:val="1"/>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[Pre-1985 </w:t>
            </w:r>
            <w:r>
              <w:rPr>
                <w:rFonts w:ascii="Arial" w:cs="Arial" w:eastAsia="Arial" w:hAnsi="Arial"/>
                <w:sz w:val="20"/>
                <w:szCs w:val="20"/>
                <w:i w:val="1"/>
                <w:iCs w:val="1"/>
                <w:color w:val="auto"/>
              </w:rPr>
              <w:t>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3580" w:type="dxa"/>
            <w:vAlign w:val="bottom"/>
            <w:tcBorders>
              <w:left w:val="single" w:sz="8" w:color="C0C0C0"/>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right w:val="single" w:sz="8" w:color="C0C0C0"/>
            </w:tcBorders>
          </w:tcPr>
          <w:p>
            <w:pPr>
              <w:spacing w:after="0"/>
              <w:rPr>
                <w:sz w:val="22"/>
                <w:szCs w:val="22"/>
                <w:color w:val="auto"/>
              </w:rPr>
            </w:pPr>
          </w:p>
        </w:tc>
        <w:tc>
          <w:tcPr>
            <w:tcW w:w="12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right w:val="single" w:sz="8" w:color="C0C0C0"/>
            </w:tcBorders>
          </w:tcPr>
          <w:p>
            <w:pPr>
              <w:spacing w:after="0"/>
              <w:rPr>
                <w:sz w:val="22"/>
                <w:szCs w:val="22"/>
                <w:color w:val="auto"/>
              </w:rPr>
            </w:pPr>
          </w:p>
        </w:tc>
      </w:tr>
      <w:tr>
        <w:trPr>
          <w:trHeight w:val="277"/>
        </w:trPr>
        <w:tc>
          <w:tcPr>
            <w:tcW w:w="3580" w:type="dxa"/>
            <w:vAlign w:val="bottom"/>
            <w:tcBorders>
              <w:left w:val="single" w:sz="8" w:color="C0C0C0"/>
              <w:bottom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[Post-1985 </w:t>
            </w:r>
            <w:r>
              <w:rPr>
                <w:rFonts w:ascii="Arial" w:cs="Arial" w:eastAsia="Arial" w:hAnsi="Arial"/>
                <w:sz w:val="20"/>
                <w:szCs w:val="20"/>
                <w:i w:val="1"/>
                <w:iCs w:val="1"/>
                <w:color w:val="auto"/>
              </w:rPr>
              <w:t>Part B Primary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4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bl>
    <w:p>
      <w:pPr>
        <w:spacing w:after="0" w:line="200" w:lineRule="exact"/>
        <w:rPr>
          <w:sz w:val="20"/>
          <w:szCs w:val="20"/>
          <w:color w:val="auto"/>
        </w:rPr>
      </w:pPr>
    </w:p>
    <w:p>
      <w:pPr>
        <w:sectPr>
          <w:pgSz w:w="11900" w:h="16838" w:orient="portrait"/>
          <w:cols w:equalWidth="0" w:num="1">
            <w:col w:w="10920"/>
          </w:cols>
          <w:pgMar w:left="740" w:top="10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Appendix 1.3 - 29</w:t>
      </w:r>
    </w:p>
    <w:p>
      <w:pPr>
        <w:sectPr>
          <w:pgSz w:w="11900" w:h="16838" w:orient="portrait"/>
          <w:cols w:equalWidth="0" w:num="1">
            <w:col w:w="10920"/>
          </w:cols>
          <w:pgMar w:left="740" w:top="1017" w:right="239" w:bottom="1440" w:gutter="0" w:footer="0" w:header="0"/>
          <w:type w:val="continuous"/>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“Window Single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Refund Death Benefit Rider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Covered Life Amount.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pay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If you have a Refund Death Benefit Rider, we may owe a Refund Death Benefit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After you die, we will determine if we owe such payment. The following explains how we will determine if a payment is owed by us under this rider.</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amount of the Refund Death Benefit, if any, will equal the Maximum Refund Death Benefit (as specified in the Table of Information) less the Pre 1985 Part B Primary Amounts and the Post 1985 Part B Primary Amounts (as specified in the Table of Information) paid by us after the Annuity Commencement Date to you (or to any related alternate payee, arising, for example, from a domestic relations order).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means an amount that is specified in the Table of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1.3 - 30</w:t>
      </w:r>
    </w:p>
    <w:p>
      <w:pPr>
        <w:sectPr>
          <w:pgSz w:w="11900" w:h="16838" w:orient="portrait"/>
          <w:cols w:equalWidth="0" w:num="1">
            <w:col w:w="11420"/>
          </w:cols>
          <w:pgMar w:left="240" w:top="585"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Beneficiaries as described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1.3 - 31</w:t>
      </w:r>
    </w:p>
    <w:p>
      <w:pPr>
        <w:sectPr>
          <w:pgSz w:w="11900" w:h="16838" w:orient="portrait"/>
          <w:cols w:equalWidth="0" w:num="1">
            <w:col w:w="11420"/>
          </w:cols>
          <w:pgMar w:left="240" w:top="584" w:right="239" w:bottom="1440" w:gutter="0" w:footer="0" w:header="0"/>
        </w:sectPr>
      </w:pPr>
    </w:p>
    <w:bookmarkStart w:id="227" w:name="page228"/>
    <w:bookmarkEnd w:id="227"/>
    <w:p>
      <w:pPr>
        <w:jc w:val="both"/>
        <w:spacing w:after="0" w:line="286" w:lineRule="auto"/>
        <w:rPr>
          <w:sz w:val="20"/>
          <w:szCs w:val="20"/>
          <w:color w:val="auto"/>
        </w:rPr>
      </w:pPr>
      <w:r>
        <w:rPr>
          <w:rFonts w:ascii="Arial" w:cs="Arial" w:eastAsia="Arial" w:hAnsi="Arial"/>
          <w:sz w:val="17"/>
          <w:szCs w:val="17"/>
          <w:color w:val="auto"/>
        </w:rPr>
        <w:t>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changing the amount of annuity payments, the adjustments made pursuant to this section may change other important terms of payment. For example, the form of annuity for a Payee may change. All adjustments made pursuant to this section will be binding upon the Payee.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1.3 - 32</w:t>
      </w:r>
    </w:p>
    <w:p>
      <w:pPr>
        <w:sectPr>
          <w:pgSz w:w="11900" w:h="16838" w:orient="portrait"/>
          <w:cols w:equalWidth="0" w:num="1">
            <w:col w:w="11420"/>
          </w:cols>
          <w:pgMar w:left="240" w:top="585" w:right="239" w:bottom="1440" w:gutter="0" w:footer="0" w:header="0"/>
        </w:sectPr>
      </w:pPr>
    </w:p>
    <w:bookmarkStart w:id="228" w:name="page229"/>
    <w:bookmarkEnd w:id="228"/>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[Deductions from Annuity Payments:</w:t>
      </w: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INDEX:</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1.3 - 33</w:t>
      </w:r>
    </w:p>
    <w:p>
      <w:pPr>
        <w:sectPr>
          <w:pgSz w:w="11900" w:h="16838" w:orient="portrait"/>
          <w:cols w:equalWidth="0" w:num="1">
            <w:col w:w="11400"/>
          </w:cols>
          <w:pgMar w:left="240" w:top="1013" w:right="259" w:bottom="1440" w:gutter="0" w:footer="0" w:header="0"/>
        </w:sectPr>
      </w:pPr>
    </w:p>
    <w:bookmarkStart w:id="229" w:name="page230"/>
    <w:bookmarkEnd w:id="229"/>
    <w:tbl>
      <w:tblPr>
        <w:tblLayout w:type="fixed"/>
        <w:tblInd w:w="510" w:type="dxa"/>
        <w:tblCellMar>
          <w:top w:w="0" w:type="dxa"/>
          <w:left w:w="0" w:type="dxa"/>
          <w:bottom w:w="0" w:type="dxa"/>
          <w:right w:w="0" w:type="dxa"/>
        </w:tblCellMar>
      </w:tblPr>
      <w:tr>
        <w:trPr>
          <w:trHeight w:val="257"/>
        </w:trPr>
        <w:tc>
          <w:tcPr>
            <w:tcW w:w="4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Annuity Certificate Section:</w:t>
            </w:r>
          </w:p>
        </w:tc>
        <w:tc>
          <w:tcPr>
            <w:tcW w:w="32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Page Number</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345"/>
        </w:trPr>
        <w:tc>
          <w:tcPr>
            <w:tcW w:w="486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Beneficiaries</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Assignment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Newark, New Jersey</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u w:val="single" w:color="auto"/>
          <w:color w:val="auto"/>
        </w:rPr>
        <w:t>ANNUITY CERTIFICATE</w:t>
      </w:r>
    </w:p>
    <w:p>
      <w:pPr>
        <w:spacing w:after="0" w:line="216" w:lineRule="exact"/>
        <w:rPr>
          <w:sz w:val="20"/>
          <w:szCs w:val="20"/>
          <w:color w:val="auto"/>
        </w:rPr>
      </w:pPr>
    </w:p>
    <w:p>
      <w:pPr>
        <w:ind w:left="3640"/>
        <w:spacing w:after="0"/>
        <w:rPr>
          <w:sz w:val="20"/>
          <w:szCs w:val="20"/>
          <w:color w:val="auto"/>
        </w:rPr>
      </w:pPr>
      <w:r>
        <w:rPr>
          <w:rFonts w:ascii="Arial" w:cs="Arial" w:eastAsia="Arial" w:hAnsi="Arial"/>
          <w:sz w:val="20"/>
          <w:szCs w:val="20"/>
          <w:b w:val="1"/>
          <w:bCs w:val="1"/>
          <w:u w:val="single" w:color="auto"/>
          <w:color w:val="auto"/>
        </w:rPr>
        <w:t>Table of Information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Appendix 1.3 - 34</w:t>
      </w:r>
    </w:p>
    <w:p>
      <w:pPr>
        <w:sectPr>
          <w:pgSz w:w="11900" w:h="16838" w:orient="portrait"/>
          <w:cols w:equalWidth="0" w:num="1">
            <w:col w:w="10220"/>
          </w:cols>
          <w:pgMar w:left="1440" w:top="714" w:right="239" w:bottom="1440" w:gutter="0" w:footer="0" w:header="0"/>
        </w:sectPr>
      </w:pPr>
    </w:p>
    <w:bookmarkStart w:id="230" w:name="page231"/>
    <w:bookmarkEnd w:id="230"/>
    <w:tbl>
      <w:tblPr>
        <w:tblLayout w:type="fixed"/>
        <w:tblInd w:w="510" w:type="dxa"/>
        <w:tblCellMar>
          <w:top w:w="0" w:type="dxa"/>
          <w:left w:w="0" w:type="dxa"/>
          <w:bottom w:w="0" w:type="dxa"/>
          <w:right w:w="0" w:type="dxa"/>
        </w:tblCellMar>
      </w:tblPr>
      <w:tr>
        <w:trPr>
          <w:trHeight w:val="284"/>
        </w:trPr>
        <w:tc>
          <w:tcPr>
            <w:tcW w:w="4840" w:type="dxa"/>
            <w:vAlign w:val="bottom"/>
            <w:tcBorders>
              <w:top w:val="single" w:sz="8" w:color="C0C0C0"/>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i w:val="1"/>
                <w:iCs w:val="1"/>
                <w:color w:val="auto"/>
              </w:rPr>
              <w:t>Covered Life:</w:t>
            </w:r>
          </w:p>
        </w:tc>
        <w:tc>
          <w:tcPr>
            <w:tcW w:w="5620" w:type="dxa"/>
            <w:vAlign w:val="bottom"/>
            <w:tcBorders>
              <w:top w:val="single" w:sz="8" w:color="C0C0C0"/>
              <w:bottom w:val="single" w:sz="8" w:color="C0C0C0"/>
              <w:right w:val="single" w:sz="8" w:color="C0C0C0"/>
            </w:tcBorders>
          </w:tcPr>
          <w:p>
            <w:pPr>
              <w:spacing w:after="0" w:line="283" w:lineRule="exact"/>
              <w:rPr>
                <w:sz w:val="20"/>
                <w:szCs w:val="20"/>
                <w:color w:val="auto"/>
              </w:rPr>
            </w:pPr>
            <w:r>
              <w:rPr>
                <w:rFonts w:ascii="Arial" w:cs="Arial" w:eastAsia="Arial" w:hAnsi="Arial"/>
                <w:sz w:val="18"/>
                <w:szCs w:val="18"/>
                <w:color w:val="auto"/>
              </w:rPr>
              <w:t xml:space="preserve">[Covered Life Name] </w:t>
            </w:r>
            <w:r>
              <w:rPr>
                <w:rFonts w:ascii="Arial" w:cs="Arial" w:eastAsia="Arial" w:hAnsi="Arial"/>
                <w:sz w:val="25"/>
                <w:szCs w:val="25"/>
                <w:color w:val="auto"/>
                <w:vertAlign w:val="superscript"/>
              </w:rPr>
              <w:t>A</w:t>
            </w:r>
          </w:p>
        </w:tc>
      </w:tr>
      <w:tr>
        <w:trPr>
          <w:trHeight w:val="183"/>
        </w:trPr>
        <w:tc>
          <w:tcPr>
            <w:tcW w:w="4840" w:type="dxa"/>
            <w:vAlign w:val="bottom"/>
            <w:tcBorders>
              <w:left w:val="single" w:sz="8" w:color="C0C0C0"/>
              <w:bottom w:val="single" w:sz="8" w:color="C0C0C0"/>
              <w:right w:val="single" w:sz="8" w:color="C0C0C0"/>
            </w:tcBorders>
          </w:tcPr>
          <w:p>
            <w:pPr>
              <w:spacing w:after="0"/>
              <w:rPr>
                <w:sz w:val="15"/>
                <w:szCs w:val="15"/>
                <w:color w:val="auto"/>
              </w:rPr>
            </w:pPr>
          </w:p>
        </w:tc>
        <w:tc>
          <w:tcPr>
            <w:tcW w:w="5620" w:type="dxa"/>
            <w:vAlign w:val="bottom"/>
            <w:tcBorders>
              <w:bottom w:val="single" w:sz="8" w:color="C0C0C0"/>
              <w:right w:val="single" w:sz="8" w:color="C0C0C0"/>
            </w:tcBorders>
          </w:tcPr>
          <w:p>
            <w:pPr>
              <w:spacing w:after="0"/>
              <w:rPr>
                <w:sz w:val="15"/>
                <w:szCs w:val="15"/>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b w:val="1"/>
                <w:bCs w:val="1"/>
                <w:i w:val="1"/>
                <w:iCs w:val="1"/>
                <w:color w:val="auto"/>
              </w:rPr>
              <w:t>Covered Life's Sex and Date of Birth:</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 xml:space="preserve">[Male/Female, Date] </w:t>
            </w:r>
            <w:r>
              <w:rPr>
                <w:rFonts w:ascii="Arial" w:cs="Arial" w:eastAsia="Arial" w:hAnsi="Arial"/>
                <w:sz w:val="25"/>
                <w:szCs w:val="25"/>
                <w:color w:val="auto"/>
                <w:vertAlign w:val="superscript"/>
              </w:rPr>
              <w:t>A</w:t>
            </w:r>
          </w:p>
        </w:tc>
      </w:tr>
      <w:tr>
        <w:trPr>
          <w:trHeight w:val="156"/>
        </w:trPr>
        <w:tc>
          <w:tcPr>
            <w:tcW w:w="4840" w:type="dxa"/>
            <w:vAlign w:val="bottom"/>
            <w:tcBorders>
              <w:left w:val="single" w:sz="8" w:color="C0C0C0"/>
              <w:bottom w:val="single" w:sz="8" w:color="C0C0C0"/>
              <w:right w:val="single" w:sz="8" w:color="C0C0C0"/>
            </w:tcBorders>
          </w:tcPr>
          <w:p>
            <w:pPr>
              <w:spacing w:after="0"/>
              <w:rPr>
                <w:sz w:val="13"/>
                <w:szCs w:val="13"/>
                <w:color w:val="auto"/>
              </w:rPr>
            </w:pPr>
          </w:p>
        </w:tc>
        <w:tc>
          <w:tcPr>
            <w:tcW w:w="5620" w:type="dxa"/>
            <w:vAlign w:val="bottom"/>
            <w:tcBorders>
              <w:bottom w:val="single" w:sz="8" w:color="C0C0C0"/>
              <w:right w:val="single" w:sz="8" w:color="C0C0C0"/>
            </w:tcBorders>
          </w:tcPr>
          <w:p>
            <w:pPr>
              <w:spacing w:after="0"/>
              <w:rPr>
                <w:sz w:val="13"/>
                <w:szCs w:val="13"/>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i w:val="1"/>
                <w:iCs w:val="1"/>
                <w:color w:val="auto"/>
              </w:rPr>
              <w:t>Annuity Certificate Number:</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[Certificate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b w:val="1"/>
                <w:bCs w:val="1"/>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22"/>
        </w:trPr>
        <w:tc>
          <w:tcPr>
            <w:tcW w:w="4840" w:type="dxa"/>
            <w:vAlign w:val="bottom"/>
            <w:tcBorders>
              <w:left w:val="single" w:sz="8" w:color="C0C0C0"/>
              <w:right w:val="single" w:sz="8" w:color="C0C0C0"/>
            </w:tcBorders>
          </w:tcPr>
          <w:p>
            <w:pPr>
              <w:spacing w:after="0"/>
              <w:rPr>
                <w:sz w:val="19"/>
                <w:szCs w:val="19"/>
                <w:color w:val="auto"/>
              </w:rPr>
            </w:pPr>
          </w:p>
        </w:tc>
        <w:tc>
          <w:tcPr>
            <w:tcW w:w="5620" w:type="dxa"/>
            <w:vAlign w:val="bottom"/>
            <w:tcBorders>
              <w:right w:val="single" w:sz="8" w:color="C0C0C0"/>
            </w:tcBorders>
          </w:tcPr>
          <w:p>
            <w:pPr>
              <w:spacing w:after="0"/>
              <w:rPr>
                <w:sz w:val="20"/>
                <w:szCs w:val="20"/>
                <w:color w:val="auto"/>
              </w:rPr>
            </w:pPr>
            <w:r>
              <w:rPr>
                <w:rFonts w:ascii="Arial" w:cs="Arial" w:eastAsia="Arial" w:hAnsi="Arial"/>
                <w:sz w:val="18"/>
                <w:szCs w:val="18"/>
                <w:color w:val="auto"/>
              </w:rPr>
              <w:t>[NAME OF TRUST BANK, as Directed Trustee of the Vita Salaried</w:t>
            </w:r>
          </w:p>
        </w:tc>
      </w:tr>
      <w:tr>
        <w:trPr>
          <w:trHeight w:val="257"/>
        </w:trPr>
        <w:tc>
          <w:tcPr>
            <w:tcW w:w="4840" w:type="dxa"/>
            <w:vAlign w:val="bottom"/>
            <w:tcBorders>
              <w:left w:val="single" w:sz="8" w:color="C0C0C0"/>
              <w:bottom w:val="single" w:sz="8" w:color="C0C0C0"/>
              <w:right w:val="single" w:sz="8" w:color="C0C0C0"/>
            </w:tcBorders>
          </w:tcPr>
          <w:p>
            <w:pPr>
              <w:ind w:left="20"/>
              <w:spacing w:after="0" w:line="257"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57" w:lineRule="exact"/>
              <w:rPr>
                <w:sz w:val="20"/>
                <w:szCs w:val="20"/>
                <w:color w:val="auto"/>
              </w:rPr>
            </w:pPr>
            <w:r>
              <w:rPr>
                <w:rFonts w:ascii="Arial" w:cs="Arial" w:eastAsia="Arial" w:hAnsi="Arial"/>
                <w:sz w:val="18"/>
                <w:szCs w:val="18"/>
                <w:color w:val="auto"/>
              </w:rPr>
              <w:t>Retirement Trust, a New York trust]</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Plan:</w:t>
            </w:r>
            <w:r>
              <w:rPr>
                <w:rFonts w:ascii="Arial" w:cs="Arial" w:eastAsia="Arial" w:hAnsi="Arial"/>
                <w:sz w:val="18"/>
                <w:szCs w:val="18"/>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[Vita Salaried Retirement Plan]</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i w:val="1"/>
                <w:iCs w:val="1"/>
                <w:color w:val="auto"/>
              </w:rPr>
              <w:t>Group Annuity Contract Number:</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[Article P of GA-300</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b w:val="1"/>
                <w:bCs w:val="1"/>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37"/>
        </w:trPr>
        <w:tc>
          <w:tcPr>
            <w:tcW w:w="4840" w:type="dxa"/>
            <w:vAlign w:val="bottom"/>
            <w:tcBorders>
              <w:left w:val="single" w:sz="8" w:color="C0C0C0"/>
              <w:right w:val="single" w:sz="8" w:color="C0C0C0"/>
            </w:tcBorders>
          </w:tcPr>
          <w:p>
            <w:pPr>
              <w:ind w:left="20"/>
              <w:spacing w:after="0"/>
              <w:rPr>
                <w:sz w:val="20"/>
                <w:szCs w:val="20"/>
                <w:color w:val="auto"/>
              </w:rPr>
            </w:pPr>
            <w:r>
              <w:rPr>
                <w:rFonts w:ascii="Arial" w:cs="Arial" w:eastAsia="Arial" w:hAnsi="Arial"/>
                <w:sz w:val="18"/>
                <w:szCs w:val="18"/>
                <w:i w:val="1"/>
                <w:iCs w:val="1"/>
                <w:color w:val="auto"/>
              </w:rPr>
              <w:t>Form of Annuity:</w:t>
            </w:r>
          </w:p>
        </w:tc>
        <w:tc>
          <w:tcPr>
            <w:tcW w:w="5620" w:type="dxa"/>
            <w:vAlign w:val="bottom"/>
            <w:tcBorders>
              <w:right w:val="single" w:sz="8" w:color="C0C0C0"/>
            </w:tcBorders>
          </w:tcPr>
          <w:p>
            <w:pPr>
              <w:spacing w:after="0"/>
              <w:rPr>
                <w:sz w:val="20"/>
                <w:szCs w:val="20"/>
                <w:color w:val="auto"/>
              </w:rPr>
            </w:pPr>
            <w:r>
              <w:rPr>
                <w:rFonts w:ascii="Arial" w:cs="Arial" w:eastAsia="Arial" w:hAnsi="Arial"/>
                <w:sz w:val="18"/>
                <w:szCs w:val="18"/>
                <w:color w:val="auto"/>
              </w:rPr>
              <w:t>Window Spousal Contingent Joint and Survivor Life Annuity</w:t>
            </w:r>
          </w:p>
        </w:tc>
      </w:tr>
      <w:tr>
        <w:trPr>
          <w:trHeight w:val="27"/>
        </w:trPr>
        <w:tc>
          <w:tcPr>
            <w:tcW w:w="4840" w:type="dxa"/>
            <w:vAlign w:val="bottom"/>
            <w:tcBorders>
              <w:left w:val="single" w:sz="8" w:color="C0C0C0"/>
              <w:bottom w:val="single" w:sz="8" w:color="C0C0C0"/>
              <w:right w:val="single" w:sz="8" w:color="C0C0C0"/>
            </w:tcBorders>
          </w:tcPr>
          <w:p>
            <w:pPr>
              <w:spacing w:after="0"/>
              <w:rPr>
                <w:sz w:val="2"/>
                <w:szCs w:val="2"/>
                <w:color w:val="auto"/>
              </w:rPr>
            </w:pPr>
          </w:p>
        </w:tc>
        <w:tc>
          <w:tcPr>
            <w:tcW w:w="5620" w:type="dxa"/>
            <w:vAlign w:val="bottom"/>
            <w:tcBorders>
              <w:bottom w:val="single" w:sz="8" w:color="C0C0C0"/>
              <w:right w:val="single" w:sz="8" w:color="C0C0C0"/>
            </w:tcBorders>
          </w:tcPr>
          <w:p>
            <w:pPr>
              <w:spacing w:after="0"/>
              <w:rPr>
                <w:sz w:val="2"/>
                <w:szCs w:val="2"/>
                <w:color w:val="auto"/>
              </w:rPr>
            </w:pP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22"/>
        </w:trPr>
        <w:tc>
          <w:tcPr>
            <w:tcW w:w="4840" w:type="dxa"/>
            <w:vAlign w:val="bottom"/>
            <w:tcBorders>
              <w:left w:val="single" w:sz="8" w:color="C0C0C0"/>
              <w:right w:val="single" w:sz="8" w:color="C0C0C0"/>
            </w:tcBorders>
          </w:tcPr>
          <w:p>
            <w:pPr>
              <w:spacing w:after="0"/>
              <w:rPr>
                <w:sz w:val="19"/>
                <w:szCs w:val="19"/>
                <w:color w:val="auto"/>
              </w:rPr>
            </w:pPr>
          </w:p>
        </w:tc>
        <w:tc>
          <w:tcPr>
            <w:tcW w:w="5620" w:type="dxa"/>
            <w:vAlign w:val="bottom"/>
            <w:tcBorders>
              <w:right w:val="single" w:sz="8" w:color="C0C0C0"/>
            </w:tcBorders>
          </w:tcPr>
          <w:p>
            <w:pPr>
              <w:spacing w:after="0"/>
              <w:rPr>
                <w:sz w:val="20"/>
                <w:szCs w:val="20"/>
                <w:color w:val="auto"/>
              </w:rPr>
            </w:pPr>
            <w:r>
              <w:rPr>
                <w:rFonts w:ascii="Arial" w:cs="Arial" w:eastAsia="Arial" w:hAnsi="Arial"/>
                <w:sz w:val="18"/>
                <w:szCs w:val="18"/>
                <w:color w:val="auto"/>
              </w:rPr>
              <w:t>[Refund Death Benefit Rider</w:t>
            </w:r>
          </w:p>
        </w:tc>
      </w:tr>
      <w:tr>
        <w:trPr>
          <w:trHeight w:val="257"/>
        </w:trPr>
        <w:tc>
          <w:tcPr>
            <w:tcW w:w="4840" w:type="dxa"/>
            <w:vAlign w:val="bottom"/>
            <w:tcBorders>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i w:val="1"/>
                <w:iCs w:val="1"/>
                <w:color w:val="auto"/>
              </w:rPr>
              <w:t>Annuity Riders:</w:t>
            </w:r>
          </w:p>
        </w:tc>
        <w:tc>
          <w:tcPr>
            <w:tcW w:w="5620" w:type="dxa"/>
            <w:vAlign w:val="bottom"/>
            <w:tcBorders>
              <w:bottom w:val="single" w:sz="8" w:color="C0C0C0"/>
              <w:right w:val="single" w:sz="8" w:color="C0C0C0"/>
            </w:tcBorders>
          </w:tcPr>
          <w:p>
            <w:pPr>
              <w:spacing w:after="0" w:line="257" w:lineRule="exact"/>
              <w:rPr>
                <w:sz w:val="20"/>
                <w:szCs w:val="20"/>
                <w:color w:val="auto"/>
              </w:rPr>
            </w:pPr>
            <w:r>
              <w:rPr>
                <w:rFonts w:ascii="Arial" w:cs="Arial" w:eastAsia="Arial" w:hAnsi="Arial"/>
                <w:sz w:val="18"/>
                <w:szCs w:val="18"/>
                <w:color w:val="auto"/>
              </w:rPr>
              <w:t xml:space="preserve">None]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i w:val="1"/>
                <w:iCs w:val="1"/>
                <w:color w:val="auto"/>
              </w:rPr>
              <w:t>Annuity Commencement Date:</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b w:val="1"/>
                <w:bCs w:val="1"/>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Retirement Date:</w:t>
            </w:r>
            <w:r>
              <w:rPr>
                <w:rFonts w:ascii="Arial" w:cs="Arial" w:eastAsia="Arial" w:hAnsi="Arial"/>
                <w:sz w:val="18"/>
                <w:szCs w:val="18"/>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b w:val="1"/>
                <w:bCs w:val="1"/>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91"/>
        </w:trPr>
        <w:tc>
          <w:tcPr>
            <w:tcW w:w="4840" w:type="dxa"/>
            <w:vAlign w:val="bottom"/>
            <w:tcBorders>
              <w:left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18"/>
                <w:szCs w:val="18"/>
                <w:i w:val="1"/>
                <w:iCs w:val="1"/>
                <w:color w:val="auto"/>
              </w:rPr>
              <w:t>Covered Life Amount:</w:t>
            </w:r>
          </w:p>
        </w:tc>
        <w:tc>
          <w:tcPr>
            <w:tcW w:w="5620" w:type="dxa"/>
            <w:vAlign w:val="bottom"/>
            <w:tcBorders>
              <w:bottom w:val="single" w:sz="8" w:color="C0C0C0"/>
              <w:right w:val="single" w:sz="8" w:color="C0C0C0"/>
            </w:tcBorders>
          </w:tcPr>
          <w:p>
            <w:pPr>
              <w:spacing w:after="0"/>
              <w:rPr>
                <w:sz w:val="20"/>
                <w:szCs w:val="20"/>
                <w:color w:val="auto"/>
              </w:rPr>
            </w:pPr>
            <w:r>
              <w:rPr>
                <w:rFonts w:ascii="Arial" w:cs="Arial" w:eastAsia="Arial" w:hAnsi="Arial"/>
                <w:sz w:val="18"/>
                <w:szCs w:val="18"/>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 xml:space="preserve">[Contingent Life Name]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Life's Sex and Date of Birth:</w:t>
            </w:r>
            <w:r>
              <w:rPr>
                <w:rFonts w:ascii="Arial" w:cs="Arial" w:eastAsia="Arial" w:hAnsi="Arial"/>
                <w:sz w:val="18"/>
                <w:szCs w:val="18"/>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[Male/Female, Date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b w:val="1"/>
                <w:bCs w:val="1"/>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Amount: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Refund Death Benefit: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Beneficiary(ies):</w:t>
            </w:r>
            <w:r>
              <w:rPr>
                <w:rFonts w:ascii="Arial" w:cs="Arial" w:eastAsia="Arial" w:hAnsi="Arial"/>
                <w:sz w:val="18"/>
                <w:szCs w:val="18"/>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[Names(s)/As shown on Prudential's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18"/>
                <w:szCs w:val="18"/>
                <w:color w:val="auto"/>
              </w:rPr>
              <w:t xml:space="preserve"> [Share(s)] </w:t>
            </w:r>
            <w:r>
              <w:rPr>
                <w:rFonts w:ascii="Arial" w:cs="Arial" w:eastAsia="Arial" w:hAnsi="Arial"/>
                <w:sz w:val="25"/>
                <w:szCs w:val="25"/>
                <w:b w:val="1"/>
                <w:bCs w:val="1"/>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Pre-1985 Covered Life Part B Primary Amount:</w:t>
            </w:r>
            <w:r>
              <w:rPr>
                <w:rFonts w:ascii="Arial" w:cs="Arial" w:eastAsia="Arial" w:hAnsi="Arial"/>
                <w:sz w:val="18"/>
                <w:szCs w:val="18"/>
                <w:color w:val="auto"/>
              </w:rPr>
              <w:t xml:space="preserve"> ]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5"/>
                <w:szCs w:val="25"/>
                <w:color w:val="auto"/>
                <w:vertAlign w:val="superscript"/>
              </w:rPr>
              <w:t>A</w:t>
            </w:r>
          </w:p>
        </w:tc>
      </w:tr>
      <w:tr>
        <w:trPr>
          <w:trHeight w:val="264"/>
        </w:trPr>
        <w:tc>
          <w:tcPr>
            <w:tcW w:w="4840" w:type="dxa"/>
            <w:vAlign w:val="bottom"/>
            <w:tcBorders>
              <w:left w:val="single" w:sz="8" w:color="C0C0C0"/>
              <w:bottom w:val="single" w:sz="8" w:color="C0C0C0"/>
              <w:right w:val="single" w:sz="8" w:color="C0C0C0"/>
            </w:tcBorders>
          </w:tcPr>
          <w:p>
            <w:pPr>
              <w:spacing w:after="0"/>
              <w:rPr>
                <w:sz w:val="22"/>
                <w:szCs w:val="22"/>
                <w:color w:val="auto"/>
              </w:rPr>
            </w:pPr>
          </w:p>
        </w:tc>
        <w:tc>
          <w:tcPr>
            <w:tcW w:w="5620" w:type="dxa"/>
            <w:vAlign w:val="bottom"/>
            <w:tcBorders>
              <w:bottom w:val="single" w:sz="8" w:color="C0C0C0"/>
              <w:right w:val="single" w:sz="8" w:color="C0C0C0"/>
            </w:tcBorders>
          </w:tcPr>
          <w:p>
            <w:pPr>
              <w:spacing w:after="0"/>
              <w:rPr>
                <w:sz w:val="22"/>
                <w:szCs w:val="22"/>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Post-1985 Covered Life Part B Primary Amount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5"/>
                <w:szCs w:val="25"/>
                <w:color w:val="auto"/>
                <w:vertAlign w:val="superscript"/>
              </w:rPr>
              <w:t>A</w:t>
            </w:r>
          </w:p>
        </w:tc>
      </w:tr>
      <w:tr>
        <w:trPr>
          <w:trHeight w:val="372"/>
        </w:trPr>
        <w:tc>
          <w:tcPr>
            <w:tcW w:w="4840" w:type="dxa"/>
            <w:vAlign w:val="bottom"/>
            <w:tcBorders>
              <w:left w:val="single" w:sz="8" w:color="C0C0C0"/>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tcPr>
          <w:p>
            <w:pPr>
              <w:spacing w:after="0"/>
              <w:rPr>
                <w:sz w:val="24"/>
                <w:szCs w:val="24"/>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Pre-1985 Contingent Life Part B Primary Amount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5"/>
                <w:szCs w:val="25"/>
                <w:color w:val="auto"/>
                <w:vertAlign w:val="superscript"/>
              </w:rPr>
              <w:t>A</w:t>
            </w:r>
          </w:p>
        </w:tc>
      </w:tr>
      <w:tr>
        <w:trPr>
          <w:trHeight w:val="291"/>
        </w:trPr>
        <w:tc>
          <w:tcPr>
            <w:tcW w:w="4840" w:type="dxa"/>
            <w:vAlign w:val="bottom"/>
            <w:tcBorders>
              <w:left w:val="single" w:sz="8" w:color="C0C0C0"/>
              <w:bottom w:val="single" w:sz="8" w:color="C0C0C0"/>
              <w:right w:val="single" w:sz="8" w:color="C0C0C0"/>
            </w:tcBorders>
          </w:tcPr>
          <w:p>
            <w:pPr>
              <w:spacing w:after="0"/>
              <w:rPr>
                <w:sz w:val="24"/>
                <w:szCs w:val="24"/>
                <w:color w:val="auto"/>
              </w:rPr>
            </w:pPr>
          </w:p>
        </w:tc>
        <w:tc>
          <w:tcPr>
            <w:tcW w:w="5620" w:type="dxa"/>
            <w:vAlign w:val="bottom"/>
            <w:tcBorders>
              <w:bottom w:val="single" w:sz="8" w:color="C0C0C0"/>
              <w:right w:val="single" w:sz="8" w:color="C0C0C0"/>
            </w:tcBorders>
          </w:tcPr>
          <w:p>
            <w:pPr>
              <w:spacing w:after="0"/>
              <w:rPr>
                <w:sz w:val="24"/>
                <w:szCs w:val="24"/>
                <w:color w:val="auto"/>
              </w:rPr>
            </w:pPr>
          </w:p>
        </w:tc>
      </w:tr>
      <w:tr>
        <w:trPr>
          <w:trHeight w:val="264"/>
        </w:trPr>
        <w:tc>
          <w:tcPr>
            <w:tcW w:w="4840" w:type="dxa"/>
            <w:vAlign w:val="bottom"/>
            <w:tcBorders>
              <w:left w:val="single" w:sz="8" w:color="C0C0C0"/>
              <w:bottom w:val="single" w:sz="8" w:color="C0C0C0"/>
              <w:right w:val="single" w:sz="8" w:color="C0C0C0"/>
            </w:tcBorders>
          </w:tcPr>
          <w:p>
            <w:pPr>
              <w:ind w:left="20"/>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Post-1985 Contingent Life Part B Primary Amount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A</w:t>
            </w:r>
          </w:p>
        </w:tc>
        <w:tc>
          <w:tcPr>
            <w:tcW w:w="5620" w:type="dxa"/>
            <w:vAlign w:val="bottom"/>
            <w:tcBorders>
              <w:bottom w:val="single" w:sz="8" w:color="C0C0C0"/>
              <w:right w:val="single" w:sz="8" w:color="C0C0C0"/>
            </w:tcBorders>
          </w:tcPr>
          <w:p>
            <w:pPr>
              <w:spacing w:after="0" w:line="264" w:lineRule="exact"/>
              <w:rPr>
                <w:sz w:val="20"/>
                <w:szCs w:val="20"/>
                <w:color w:val="auto"/>
              </w:rPr>
            </w:pPr>
            <w:r>
              <w:rPr>
                <w:rFonts w:ascii="Arial" w:cs="Arial" w:eastAsia="Arial" w:hAnsi="Arial"/>
                <w:sz w:val="18"/>
                <w:szCs w:val="18"/>
                <w:color w:val="auto"/>
              </w:rPr>
              <w:t xml:space="preserve">[$XXX.XX] </w:t>
            </w:r>
            <w:r>
              <w:rPr>
                <w:rFonts w:ascii="Arial" w:cs="Arial" w:eastAsia="Arial" w:hAnsi="Arial"/>
                <w:sz w:val="25"/>
                <w:szCs w:val="25"/>
                <w:color w:val="auto"/>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pacing w:after="0" w:line="3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Certificate describes the monthly payments irrevocably guaranteed to you by The Prudential Insurance Company of America ("</w:t>
      </w:r>
      <w:r>
        <w:rPr>
          <w:rFonts w:ascii="Arial" w:cs="Arial" w:eastAsia="Arial" w:hAnsi="Arial"/>
          <w:sz w:val="18"/>
          <w:szCs w:val="18"/>
          <w:b w:val="1"/>
          <w:bCs w:val="1"/>
          <w:color w:val="auto"/>
        </w:rPr>
        <w:t>Prudential</w:t>
      </w:r>
      <w:r>
        <w:rPr>
          <w:rFonts w:ascii="Arial" w:cs="Arial" w:eastAsia="Arial" w:hAnsi="Arial"/>
          <w:sz w:val="18"/>
          <w:szCs w:val="18"/>
          <w:color w:val="auto"/>
        </w:rPr>
        <w:t>") under the Group Annuity Contract referred to above (the "</w:t>
      </w:r>
      <w:r>
        <w:rPr>
          <w:rFonts w:ascii="Arial" w:cs="Arial" w:eastAsia="Arial" w:hAnsi="Arial"/>
          <w:sz w:val="18"/>
          <w:szCs w:val="18"/>
          <w:b w:val="1"/>
          <w:bCs w:val="1"/>
          <w:color w:val="auto"/>
        </w:rPr>
        <w:t>Contract</w:t>
      </w:r>
      <w:r>
        <w:rPr>
          <w:rFonts w:ascii="Arial" w:cs="Arial" w:eastAsia="Arial" w:hAnsi="Arial"/>
          <w:sz w:val="18"/>
          <w:szCs w:val="18"/>
          <w:color w:val="auto"/>
        </w:rPr>
        <w:t>"). Prudential will make the</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Appendix 1.3 - 35</w:t>
      </w:r>
    </w:p>
    <w:p>
      <w:pPr>
        <w:sectPr>
          <w:pgSz w:w="11900" w:h="16838" w:orient="portrait"/>
          <w:cols w:equalWidth="0" w:num="1">
            <w:col w:w="11220"/>
          </w:cols>
          <w:pgMar w:left="240" w:top="714" w:right="439" w:bottom="1440" w:gutter="0" w:footer="0" w:header="0"/>
        </w:sectPr>
      </w:pPr>
    </w:p>
    <w:bookmarkStart w:id="231" w:name="page232"/>
    <w:bookmarkEnd w:id="231"/>
    <w:p>
      <w:pPr>
        <w:ind w:right="360"/>
        <w:spacing w:after="0" w:line="277" w:lineRule="auto"/>
        <w:rPr>
          <w:sz w:val="20"/>
          <w:szCs w:val="20"/>
          <w:color w:val="auto"/>
        </w:rPr>
      </w:pPr>
      <w:r>
        <w:rPr>
          <w:rFonts w:ascii="Arial" w:cs="Arial" w:eastAsia="Arial" w:hAnsi="Arial"/>
          <w:sz w:val="18"/>
          <w:szCs w:val="18"/>
          <w:color w:val="auto"/>
        </w:rPr>
        <w:t xml:space="preserve">payments owed by it under the Contract when those payments are due. We do not owe any payments to anyone under this Annuity Form if you have died before the </w:t>
      </w:r>
      <w:r>
        <w:rPr>
          <w:rFonts w:ascii="Arial" w:cs="Arial" w:eastAsia="Arial" w:hAnsi="Arial"/>
          <w:sz w:val="18"/>
          <w:szCs w:val="18"/>
          <w:i w:val="1"/>
          <w:iCs w:val="1"/>
          <w:color w:val="auto"/>
        </w:rPr>
        <w:t>Annuity Commencement Date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“Window Spousal Contingent Joint and Survivor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Refund Death Benefit Rider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Covered Life Amount.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pay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After you die, we may owe additional monthly payments. We will owe additional monthly payments if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(as specified in the Table of Information) is your spouse and is alive when you die. We will pay the first payment on the first day of the month following your death. We will pay subsequent monthly payments on the first day of each month. We will pay the last payment on the first day of the month in which such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dies. The amount of the payments will equal the </w:t>
      </w:r>
      <w:r>
        <w:rPr>
          <w:rFonts w:ascii="Arial" w:cs="Arial" w:eastAsia="Arial" w:hAnsi="Arial"/>
          <w:sz w:val="18"/>
          <w:szCs w:val="18"/>
          <w:i w:val="1"/>
          <w:iCs w:val="1"/>
          <w:color w:val="auto"/>
        </w:rPr>
        <w:t>Contingent Life Amount</w:t>
      </w:r>
      <w:r>
        <w:rPr>
          <w:rFonts w:ascii="Arial" w:cs="Arial" w:eastAsia="Arial" w:hAnsi="Arial"/>
          <w:sz w:val="18"/>
          <w:szCs w:val="18"/>
          <w:color w:val="auto"/>
        </w:rPr>
        <w:t>.</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If you have a Refund Death Benefit Rider, we may owe a Refund Death Benefit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After both you and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 we will determine if we owe such payment. The following explains how we will determine if a payment is owed by us under this rider.</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amount of the Refund Death Benefit, if any, will equal the Maximum Refund Death Benefit (as specified in the Table of Information) less the Pre 1985 Part B Primary Amounts and the Post 1985 Part B Primary Amounts (as specified in the Table of Information) paid by us after the Annuity Commencement Date to you, to your Contingent Life (or to any related alternate payee, arising, for example, from a domestic relations order).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means an amount that is specified in the Table of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Amount</w:t>
      </w:r>
      <w:r>
        <w:rPr>
          <w:rFonts w:ascii="Arial" w:cs="Arial" w:eastAsia="Arial" w:hAnsi="Arial"/>
          <w:sz w:val="18"/>
          <w:szCs w:val="18"/>
          <w:color w:val="auto"/>
        </w:rPr>
        <w:t>” means an amount that is specified in the Table of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make all payments in U.S. dollars. Payees may elect to receive payments either by check or by direct deposit to a bank or other financial institution chosen by the Payee. Checks are mailed to the last known address for the Payee as shown on our records. Direct deposit may be selected only by using a form supplied for such purpose.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1.3 - 36</w:t>
      </w:r>
    </w:p>
    <w:p>
      <w:pPr>
        <w:sectPr>
          <w:pgSz w:w="11900" w:h="16838" w:orient="portrait"/>
          <w:cols w:equalWidth="0" w:num="1">
            <w:col w:w="11420"/>
          </w:cols>
          <w:pgMar w:left="240" w:top="584"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may change Beneficiaries as described below. After you die, the Contingent Life may change Beneficiaries as described below. You may tell us on the Beneficiary Form to disregard Beneficiary changes made by the Contingent life after your death. If you do not, we will honor those changes.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Beneficiary selection and changes shall take effect on the date you (or your Contingent Life)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(or where applicable, your Contingent Life) ceases altogether.</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22"/>
          <w:szCs w:val="22"/>
          <w:color w:val="auto"/>
          <w:vertAlign w:val="superscript"/>
        </w:rPr>
        <w:t>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1.3 - 37</w:t>
      </w:r>
    </w:p>
    <w:p>
      <w:pPr>
        <w:sectPr>
          <w:pgSz w:w="11900" w:h="16838" w:orient="portrait"/>
          <w:cols w:equalWidth="0" w:num="1">
            <w:col w:w="11420"/>
          </w:cols>
          <w:pgMar w:left="240" w:top="584" w:right="239" w:bottom="1440" w:gutter="0" w:footer="0" w:header="0"/>
        </w:sectPr>
      </w:pPr>
    </w:p>
    <w:bookmarkStart w:id="233" w:name="page234"/>
    <w:bookmarkEnd w:id="233"/>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For example, the form of annuity for a Payee may change. The percentage of your annuity payment that is payable to the Contingent Life may change. Whether there is any Contingent Life entitled to receive an annuity payment may change. All adjustments made pursuant to this section will be binding upon the Payee.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1.3 - 38</w:t>
      </w:r>
    </w:p>
    <w:p>
      <w:pPr>
        <w:sectPr>
          <w:pgSz w:w="11900" w:h="16838" w:orient="portrait"/>
          <w:cols w:equalWidth="0" w:num="1">
            <w:col w:w="11420"/>
          </w:cols>
          <w:pgMar w:left="240" w:top="801" w:right="239" w:bottom="1440" w:gutter="0" w:footer="0" w:header="0"/>
        </w:sectPr>
      </w:pPr>
    </w:p>
    <w:bookmarkStart w:id="234" w:name="page235"/>
    <w:bookmarkEnd w:id="234"/>
    <w:p>
      <w:pPr>
        <w:jc w:val="center"/>
        <w:ind w:right="-39"/>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[Deductions from Annuity Payments:</w:t>
      </w: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INDEX:</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1.3 - 39</w:t>
      </w:r>
    </w:p>
    <w:p>
      <w:pPr>
        <w:sectPr>
          <w:pgSz w:w="11900" w:h="16838" w:orient="portrait"/>
          <w:cols w:equalWidth="0" w:num="1">
            <w:col w:w="11400"/>
          </w:cols>
          <w:pgMar w:left="240" w:top="580" w:right="259" w:bottom="1440" w:gutter="0" w:footer="0" w:header="0"/>
        </w:sectPr>
      </w:pPr>
    </w:p>
    <w:bookmarkStart w:id="235" w:name="page236"/>
    <w:bookmarkEnd w:id="235"/>
    <w:tbl>
      <w:tblPr>
        <w:tblLayout w:type="fixed"/>
        <w:tblInd w:w="510" w:type="dxa"/>
        <w:tblCellMar>
          <w:top w:w="0" w:type="dxa"/>
          <w:left w:w="0" w:type="dxa"/>
          <w:bottom w:w="0" w:type="dxa"/>
          <w:right w:w="0" w:type="dxa"/>
        </w:tblCellMar>
      </w:tblPr>
      <w:tr>
        <w:trPr>
          <w:trHeight w:val="274"/>
        </w:trPr>
        <w:tc>
          <w:tcPr>
            <w:tcW w:w="4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763"/>
        </w:trPr>
        <w:tc>
          <w:tcPr>
            <w:tcW w:w="486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Beneficiaries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Assignment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1.3 - 40</w:t>
      </w:r>
    </w:p>
    <w:p>
      <w:pPr>
        <w:sectPr>
          <w:pgSz w:w="11900" w:h="16838" w:orient="portrait"/>
          <w:cols w:equalWidth="0" w:num="1">
            <w:col w:w="9019"/>
          </w:cols>
          <w:pgMar w:left="1440" w:top="714" w:right="1440"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22"/>
          <w:szCs w:val="22"/>
          <w:b w:val="1"/>
          <w:bCs w:val="1"/>
          <w:u w:val="single" w:color="auto"/>
          <w:color w:val="auto"/>
        </w:rPr>
        <w:t>Appendix 2.1-A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MECHANICS FOR TRANSFER OF FINAL PLAN PORTFOLIO</w:t>
      </w:r>
    </w:p>
    <w:p>
      <w:pPr>
        <w:spacing w:after="0" w:line="202" w:lineRule="exact"/>
        <w:rPr>
          <w:sz w:val="20"/>
          <w:szCs w:val="20"/>
          <w:color w:val="auto"/>
        </w:rPr>
      </w:pPr>
    </w:p>
    <w:p>
      <w:pPr>
        <w:ind w:left="580" w:hanging="572"/>
        <w:spacing w:after="0"/>
        <w:tabs>
          <w:tab w:leader="none" w:pos="580" w:val="left"/>
        </w:tabs>
        <w:numPr>
          <w:ilvl w:val="0"/>
          <w:numId w:val="208"/>
        </w:numPr>
        <w:rPr>
          <w:rFonts w:ascii="Arial" w:cs="Arial" w:eastAsia="Arial" w:hAnsi="Arial"/>
          <w:sz w:val="22"/>
          <w:szCs w:val="22"/>
          <w:color w:val="auto"/>
        </w:rPr>
      </w:pPr>
      <w:r>
        <w:rPr>
          <w:rFonts w:ascii="Arial" w:cs="Arial" w:eastAsia="Arial" w:hAnsi="Arial"/>
          <w:sz w:val="22"/>
          <w:szCs w:val="22"/>
          <w:b w:val="1"/>
          <w:bCs w:val="1"/>
          <w:u w:val="single" w:color="auto"/>
          <w:color w:val="auto"/>
        </w:rPr>
        <w:t xml:space="preserve">Additional Requirements Regarding [ *** </w:t>
      </w:r>
      <w:r>
        <w:rPr>
          <w:rFonts w:ascii="Arial" w:cs="Arial" w:eastAsia="Arial" w:hAnsi="Arial"/>
          <w:sz w:val="23"/>
          <w:szCs w:val="23"/>
          <w:b w:val="1"/>
          <w:bCs w:val="1"/>
          <w:u w:val="single" w:color="auto"/>
          <w:color w:val="auto"/>
        </w:rPr>
        <w:t>]</w:t>
      </w:r>
    </w:p>
    <w:p>
      <w:pPr>
        <w:spacing w:after="0" w:line="228" w:lineRule="exact"/>
        <w:rPr>
          <w:sz w:val="20"/>
          <w:szCs w:val="20"/>
          <w:color w:val="auto"/>
        </w:rPr>
      </w:pPr>
    </w:p>
    <w:p>
      <w:pPr>
        <w:ind w:left="140" w:hanging="132"/>
        <w:spacing w:after="0"/>
        <w:tabs>
          <w:tab w:leader="none" w:pos="14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will be transferred pursuant to the [ *** </w:t>
      </w:r>
      <w:r>
        <w:rPr>
          <w:rFonts w:ascii="Arial" w:cs="Arial" w:eastAsia="Arial" w:hAnsi="Arial"/>
          <w:sz w:val="21"/>
          <w:szCs w:val="21"/>
          <w:color w:val="auto"/>
        </w:rPr>
        <w:t>]</w:t>
      </w:r>
      <w:r>
        <w:rPr>
          <w:rFonts w:ascii="Arial" w:cs="Arial" w:eastAsia="Arial" w:hAnsi="Arial"/>
          <w:sz w:val="20"/>
          <w:szCs w:val="20"/>
          <w:color w:val="auto"/>
        </w:rPr>
        <w:t xml:space="preserve"> in form reasonably satisfactory to the Parties, including satisfaction of clauses</w:t>
      </w:r>
    </w:p>
    <w:p>
      <w:pPr>
        <w:spacing w:after="0" w:line="5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(A)-(F) below.</w:t>
      </w:r>
    </w:p>
    <w:p>
      <w:pPr>
        <w:spacing w:after="0" w:line="200" w:lineRule="exact"/>
        <w:rPr>
          <w:sz w:val="20"/>
          <w:szCs w:val="20"/>
          <w:color w:val="auto"/>
        </w:rPr>
      </w:pPr>
    </w:p>
    <w:p>
      <w:pPr>
        <w:spacing w:after="0" w:line="239" w:lineRule="exact"/>
        <w:rPr>
          <w:sz w:val="20"/>
          <w:szCs w:val="20"/>
          <w:color w:val="auto"/>
        </w:rPr>
      </w:pPr>
    </w:p>
    <w:p>
      <w:pPr>
        <w:ind w:right="80"/>
        <w:spacing w:after="0" w:line="255" w:lineRule="auto"/>
        <w:rPr>
          <w:sz w:val="20"/>
          <w:szCs w:val="20"/>
          <w:color w:val="auto"/>
        </w:rPr>
      </w:pPr>
      <w:r>
        <w:rPr>
          <w:rFonts w:ascii="Arial" w:cs="Arial" w:eastAsia="Arial" w:hAnsi="Arial"/>
          <w:sz w:val="22"/>
          <w:szCs w:val="22"/>
          <w:color w:val="auto"/>
        </w:rPr>
        <w:t xml:space="preserve">Promptly following the Closing, the Insurer, and the Plan Trustee, as directed by the Independent Fiduciary, shall deliver joint notice to the applicable [ *** </w:t>
      </w:r>
      <w:r>
        <w:rPr>
          <w:rFonts w:ascii="Arial" w:cs="Arial" w:eastAsia="Arial" w:hAnsi="Arial"/>
          <w:sz w:val="23"/>
          <w:szCs w:val="23"/>
          <w:color w:val="auto"/>
        </w:rPr>
        <w:t>]</w:t>
      </w:r>
      <w:r>
        <w:rPr>
          <w:rFonts w:ascii="Arial" w:cs="Arial" w:eastAsia="Arial" w:hAnsi="Arial"/>
          <w:sz w:val="22"/>
          <w:szCs w:val="22"/>
          <w:color w:val="auto"/>
        </w:rPr>
        <w:t xml:space="preserve"> as applicable, of the actual transfer of each such [ *** </w:t>
      </w:r>
      <w:r>
        <w:rPr>
          <w:rFonts w:ascii="Arial" w:cs="Arial" w:eastAsia="Arial" w:hAnsi="Arial"/>
          <w:sz w:val="23"/>
          <w:szCs w:val="23"/>
          <w:color w:val="auto"/>
        </w:rPr>
        <w:t>]</w:t>
      </w:r>
      <w:r>
        <w:rPr>
          <w:rFonts w:ascii="Arial" w:cs="Arial" w:eastAsia="Arial" w:hAnsi="Arial"/>
          <w:sz w:val="22"/>
          <w:szCs w:val="22"/>
          <w:color w:val="auto"/>
        </w:rPr>
        <w:t xml:space="preserve"> including any such transfer by means of the transfer of one or more Newcos formed in accordance with </w:t>
      </w:r>
      <w:r>
        <w:rPr>
          <w:rFonts w:ascii="Arial" w:cs="Arial" w:eastAsia="Arial" w:hAnsi="Arial"/>
          <w:sz w:val="22"/>
          <w:szCs w:val="22"/>
          <w:u w:val="single" w:color="auto"/>
          <w:color w:val="auto"/>
        </w:rPr>
        <w:t>Section 6.13</w:t>
      </w:r>
      <w:r>
        <w:rPr>
          <w:rFonts w:ascii="Arial" w:cs="Arial" w:eastAsia="Arial" w:hAnsi="Arial"/>
          <w:sz w:val="22"/>
          <w:szCs w:val="22"/>
          <w:color w:val="auto"/>
        </w:rPr>
        <w:t xml:space="preserve"> of the Agreement to the Insurer, and that the Insurer is responsible for the Transferred Liabilities. The Insurer shall take all actions it deems reasonably necessary to prepare to [ *** </w:t>
      </w:r>
      <w:r>
        <w:rPr>
          <w:rFonts w:ascii="Arial" w:cs="Arial" w:eastAsia="Arial" w:hAnsi="Arial"/>
          <w:sz w:val="23"/>
          <w:szCs w:val="23"/>
          <w:color w:val="auto"/>
        </w:rPr>
        <w:t>]</w:t>
      </w:r>
      <w:r>
        <w:rPr>
          <w:rFonts w:ascii="Arial" w:cs="Arial" w:eastAsia="Arial" w:hAnsi="Arial"/>
          <w:sz w:val="22"/>
          <w:szCs w:val="22"/>
          <w:color w:val="auto"/>
        </w:rPr>
        <w:t xml:space="preserve"> if any, due following the Closing.</w:t>
      </w:r>
    </w:p>
    <w:p>
      <w:pPr>
        <w:spacing w:after="0" w:line="200" w:lineRule="exact"/>
        <w:rPr>
          <w:sz w:val="20"/>
          <w:szCs w:val="20"/>
          <w:color w:val="auto"/>
        </w:rPr>
      </w:pPr>
    </w:p>
    <w:p>
      <w:pPr>
        <w:spacing w:after="0" w:line="214"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For the avoidance of doubt, instruments of conveyance shall not expand or diminish any of the rights, obligations or remedies of the Parties under the DTFA.</w:t>
      </w:r>
    </w:p>
    <w:p>
      <w:pPr>
        <w:spacing w:after="0" w:line="373" w:lineRule="exact"/>
        <w:rPr>
          <w:sz w:val="20"/>
          <w:szCs w:val="20"/>
          <w:color w:val="auto"/>
        </w:rPr>
      </w:pPr>
    </w:p>
    <w:p>
      <w:pPr>
        <w:ind w:left="140" w:hanging="132"/>
        <w:spacing w:after="0"/>
        <w:tabs>
          <w:tab w:leader="none" w:pos="14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r>
        <w:rPr>
          <w:rFonts w:ascii="Arial" w:cs="Arial" w:eastAsia="Arial" w:hAnsi="Arial"/>
          <w:sz w:val="22"/>
          <w:szCs w:val="22"/>
          <w:color w:val="auto"/>
        </w:rPr>
        <w:t xml:space="preserve"> shall be an [ *** </w:t>
      </w:r>
      <w:r>
        <w:rPr>
          <w:rFonts w:ascii="Arial" w:cs="Arial" w:eastAsia="Arial" w:hAnsi="Arial"/>
          <w:sz w:val="23"/>
          <w:szCs w:val="23"/>
          <w:color w:val="auto"/>
        </w:rPr>
        <w:t>]</w:t>
      </w:r>
      <w:r>
        <w:rPr>
          <w:rFonts w:ascii="Arial" w:cs="Arial" w:eastAsia="Arial" w:hAnsi="Arial"/>
          <w:sz w:val="22"/>
          <w:szCs w:val="22"/>
          <w:color w:val="auto"/>
        </w:rPr>
        <w:t xml:space="preserve"> unless all of the following are met:</w:t>
      </w:r>
    </w:p>
    <w:p>
      <w:pPr>
        <w:spacing w:after="0" w:line="221" w:lineRule="exact"/>
        <w:rPr>
          <w:rFonts w:ascii="Arial" w:cs="Arial" w:eastAsia="Arial" w:hAnsi="Arial"/>
          <w:sz w:val="22"/>
          <w:szCs w:val="22"/>
          <w:color w:val="auto"/>
        </w:rPr>
      </w:pPr>
    </w:p>
    <w:p>
      <w:pPr>
        <w:ind w:left="1960" w:hanging="655"/>
        <w:spacing w:after="0"/>
        <w:tabs>
          <w:tab w:leader="none" w:pos="196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 xml:space="preserve">such [ *** </w:t>
      </w:r>
      <w:r>
        <w:rPr>
          <w:rFonts w:ascii="Arial" w:cs="Arial" w:eastAsia="Arial" w:hAnsi="Arial"/>
          <w:sz w:val="23"/>
          <w:szCs w:val="23"/>
          <w:color w:val="auto"/>
        </w:rPr>
        <w:t>]</w:t>
      </w:r>
      <w:r>
        <w:rPr>
          <w:rFonts w:ascii="Arial" w:cs="Arial" w:eastAsia="Arial" w:hAnsi="Arial"/>
          <w:sz w:val="22"/>
          <w:szCs w:val="22"/>
          <w:color w:val="auto"/>
        </w:rPr>
        <w:t xml:space="preserve"> is set forth on Exhibit C;</w:t>
      </w:r>
    </w:p>
    <w:p>
      <w:pPr>
        <w:spacing w:after="0" w:line="34" w:lineRule="exact"/>
        <w:rPr>
          <w:rFonts w:ascii="Arial" w:cs="Arial" w:eastAsia="Arial" w:hAnsi="Arial"/>
          <w:sz w:val="22"/>
          <w:szCs w:val="22"/>
          <w:color w:val="auto"/>
        </w:rPr>
      </w:pPr>
    </w:p>
    <w:p>
      <w:pPr>
        <w:ind w:left="1960" w:right="200" w:hanging="655"/>
        <w:spacing w:after="0" w:line="252" w:lineRule="auto"/>
        <w:tabs>
          <w:tab w:leader="none" w:pos="196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as of the Closing, the Plan Trustee shall have assigned, transferred and delivered (“</w:t>
      </w:r>
      <w:r>
        <w:rPr>
          <w:rFonts w:ascii="Arial" w:cs="Arial" w:eastAsia="Arial" w:hAnsi="Arial"/>
          <w:sz w:val="22"/>
          <w:szCs w:val="22"/>
          <w:u w:val="single" w:color="auto"/>
          <w:color w:val="auto"/>
        </w:rPr>
        <w:t>Transferred</w:t>
      </w:r>
      <w:r>
        <w:rPr>
          <w:rFonts w:ascii="Arial" w:cs="Arial" w:eastAsia="Arial" w:hAnsi="Arial"/>
          <w:sz w:val="22"/>
          <w:szCs w:val="22"/>
          <w:color w:val="auto"/>
        </w:rPr>
        <w:t xml:space="preserve">”) to the Insurer all rights, title and interests of the Plan Trust (with respect to the Plan) in, and all of the Transferred Liabilities relating to, [ *** </w:t>
      </w:r>
      <w:r>
        <w:rPr>
          <w:rFonts w:ascii="Arial" w:cs="Arial" w:eastAsia="Arial" w:hAnsi="Arial"/>
          <w:sz w:val="23"/>
          <w:szCs w:val="23"/>
          <w:color w:val="auto"/>
        </w:rPr>
        <w:t>]</w:t>
      </w:r>
      <w:r>
        <w:rPr>
          <w:rFonts w:ascii="Arial" w:cs="Arial" w:eastAsia="Arial" w:hAnsi="Arial"/>
          <w:sz w:val="22"/>
          <w:szCs w:val="22"/>
          <w:color w:val="auto"/>
        </w:rPr>
        <w:t xml:space="preserve"> as applicable;</w:t>
      </w:r>
    </w:p>
    <w:p>
      <w:pPr>
        <w:spacing w:after="0" w:line="1" w:lineRule="exact"/>
        <w:rPr>
          <w:rFonts w:ascii="Arial" w:cs="Arial" w:eastAsia="Arial" w:hAnsi="Arial"/>
          <w:sz w:val="22"/>
          <w:szCs w:val="22"/>
          <w:color w:val="auto"/>
        </w:rPr>
      </w:pPr>
    </w:p>
    <w:p>
      <w:pPr>
        <w:ind w:left="1960" w:hanging="655"/>
        <w:spacing w:after="0"/>
        <w:tabs>
          <w:tab w:leader="none" w:pos="196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the Transfer described in clause (B) above shall have been effected by the execution and delivery of the [ ***</w:t>
      </w:r>
    </w:p>
    <w:p>
      <w:pPr>
        <w:spacing w:after="0" w:line="45"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3"/>
          <w:szCs w:val="23"/>
          <w:color w:val="auto"/>
        </w:rPr>
        <w:t>]</w:t>
      </w:r>
      <w:r>
        <w:rPr>
          <w:rFonts w:ascii="Arial" w:cs="Arial" w:eastAsia="Arial" w:hAnsi="Arial"/>
          <w:sz w:val="21"/>
          <w:szCs w:val="21"/>
          <w:color w:val="auto"/>
        </w:rPr>
        <w:t>, as applicable, in a form reasonably acceptable to all parties;</w:t>
      </w:r>
    </w:p>
    <w:p>
      <w:pPr>
        <w:spacing w:after="0" w:line="11" w:lineRule="exact"/>
        <w:rPr>
          <w:rFonts w:ascii="Arial" w:cs="Arial" w:eastAsia="Arial" w:hAnsi="Arial"/>
          <w:sz w:val="19"/>
          <w:szCs w:val="19"/>
          <w:color w:val="auto"/>
        </w:rPr>
      </w:pPr>
    </w:p>
    <w:p>
      <w:pPr>
        <w:ind w:left="1960" w:right="160" w:hanging="655"/>
        <w:spacing w:after="0" w:line="247" w:lineRule="auto"/>
        <w:tabs>
          <w:tab w:leader="none" w:pos="196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 xml:space="preserve">all required consents relating to the transfer ([ *** </w:t>
      </w:r>
      <w:r>
        <w:rPr>
          <w:rFonts w:ascii="Arial" w:cs="Arial" w:eastAsia="Arial" w:hAnsi="Arial"/>
          <w:sz w:val="23"/>
          <w:szCs w:val="23"/>
          <w:color w:val="auto"/>
        </w:rPr>
        <w:t>]</w:t>
      </w:r>
      <w:r>
        <w:rPr>
          <w:rFonts w:ascii="Arial" w:cs="Arial" w:eastAsia="Arial" w:hAnsi="Arial"/>
          <w:sz w:val="22"/>
          <w:szCs w:val="22"/>
          <w:color w:val="auto"/>
        </w:rPr>
        <w:t xml:space="preserve">) of such [ *** </w:t>
      </w:r>
      <w:r>
        <w:rPr>
          <w:rFonts w:ascii="Arial" w:cs="Arial" w:eastAsia="Arial" w:hAnsi="Arial"/>
          <w:sz w:val="23"/>
          <w:szCs w:val="23"/>
          <w:color w:val="auto"/>
        </w:rPr>
        <w:t>]</w:t>
      </w:r>
      <w:r>
        <w:rPr>
          <w:rFonts w:ascii="Arial" w:cs="Arial" w:eastAsia="Arial" w:hAnsi="Arial"/>
          <w:sz w:val="22"/>
          <w:szCs w:val="22"/>
          <w:color w:val="auto"/>
        </w:rPr>
        <w:t xml:space="preserve"> have been obtained and are in a form reasonably acceptable to the Insurer and the Plan Trustee, and all required contracts and transfer documents relating to the Transfer of such [ *** </w:t>
      </w:r>
      <w:r>
        <w:rPr>
          <w:rFonts w:ascii="Arial" w:cs="Arial" w:eastAsia="Arial" w:hAnsi="Arial"/>
          <w:sz w:val="23"/>
          <w:szCs w:val="23"/>
          <w:color w:val="auto"/>
        </w:rPr>
        <w:t>]</w:t>
      </w:r>
      <w:r>
        <w:rPr>
          <w:rFonts w:ascii="Arial" w:cs="Arial" w:eastAsia="Arial" w:hAnsi="Arial"/>
          <w:sz w:val="22"/>
          <w:szCs w:val="22"/>
          <w:color w:val="auto"/>
        </w:rPr>
        <w:t xml:space="preserve"> have been executed by the required parties and are in a form reasonably acceptable to the parties thereto and such [ *** </w:t>
      </w:r>
      <w:r>
        <w:rPr>
          <w:rFonts w:ascii="Arial" w:cs="Arial" w:eastAsia="Arial" w:hAnsi="Arial"/>
          <w:sz w:val="23"/>
          <w:szCs w:val="23"/>
          <w:color w:val="auto"/>
        </w:rPr>
        <w:t>]</w:t>
      </w:r>
      <w:r>
        <w:rPr>
          <w:rFonts w:ascii="Arial" w:cs="Arial" w:eastAsia="Arial" w:hAnsi="Arial"/>
          <w:sz w:val="22"/>
          <w:szCs w:val="22"/>
          <w:color w:val="auto"/>
        </w:rPr>
        <w:t xml:space="preserve"> is not subject to any right of first refusal or similar right of any third party to purchase such [ *** </w:t>
      </w:r>
      <w:r>
        <w:rPr>
          <w:rFonts w:ascii="Arial" w:cs="Arial" w:eastAsia="Arial" w:hAnsi="Arial"/>
          <w:sz w:val="23"/>
          <w:szCs w:val="23"/>
          <w:color w:val="auto"/>
        </w:rPr>
        <w:t>]</w:t>
      </w:r>
      <w:r>
        <w:rPr>
          <w:rFonts w:ascii="Arial" w:cs="Arial" w:eastAsia="Arial" w:hAnsi="Arial"/>
          <w:sz w:val="22"/>
          <w:szCs w:val="22"/>
          <w:color w:val="auto"/>
        </w:rPr>
        <w:t xml:space="preserve"> arising out of the proposed transfer thereof (unless any such rights have been complied with);</w:t>
      </w:r>
    </w:p>
    <w:p>
      <w:pPr>
        <w:spacing w:after="0" w:line="5" w:lineRule="exact"/>
        <w:rPr>
          <w:rFonts w:ascii="Arial" w:cs="Arial" w:eastAsia="Arial" w:hAnsi="Arial"/>
          <w:sz w:val="22"/>
          <w:szCs w:val="22"/>
          <w:color w:val="auto"/>
        </w:rPr>
      </w:pPr>
    </w:p>
    <w:p>
      <w:pPr>
        <w:ind w:left="1960" w:hanging="655"/>
        <w:spacing w:after="0"/>
        <w:tabs>
          <w:tab w:leader="none" w:pos="1960" w:val="left"/>
        </w:tabs>
        <w:numPr>
          <w:ilvl w:val="1"/>
          <w:numId w:val="210"/>
        </w:numPr>
        <w:rPr>
          <w:rFonts w:ascii="Arial" w:cs="Arial" w:eastAsia="Arial" w:hAnsi="Arial"/>
          <w:sz w:val="20"/>
          <w:szCs w:val="20"/>
          <w:color w:val="auto"/>
        </w:rPr>
      </w:pPr>
      <w:r>
        <w:rPr>
          <w:rFonts w:ascii="Arial" w:cs="Arial" w:eastAsia="Arial" w:hAnsi="Arial"/>
          <w:sz w:val="20"/>
          <w:szCs w:val="20"/>
          <w:color w:val="auto"/>
        </w:rPr>
        <w:t xml:space="preserve">with respect to [ *** </w:t>
      </w:r>
      <w:r>
        <w:rPr>
          <w:rFonts w:ascii="Arial" w:cs="Arial" w:eastAsia="Arial" w:hAnsi="Arial"/>
          <w:sz w:val="21"/>
          <w:szCs w:val="21"/>
          <w:color w:val="auto"/>
        </w:rPr>
        <w:t>]</w:t>
      </w:r>
      <w:r>
        <w:rPr>
          <w:rFonts w:ascii="Arial" w:cs="Arial" w:eastAsia="Arial" w:hAnsi="Arial"/>
          <w:sz w:val="20"/>
          <w:szCs w:val="20"/>
          <w:color w:val="auto"/>
        </w:rPr>
        <w:t xml:space="preserve"> is transferred pursuant to [ *** </w:t>
      </w:r>
      <w:r>
        <w:rPr>
          <w:rFonts w:ascii="Arial" w:cs="Arial" w:eastAsia="Arial" w:hAnsi="Arial"/>
          <w:sz w:val="21"/>
          <w:szCs w:val="21"/>
          <w:color w:val="auto"/>
        </w:rPr>
        <w:t>]</w:t>
      </w:r>
      <w:r>
        <w:rPr>
          <w:rFonts w:ascii="Arial" w:cs="Arial" w:eastAsia="Arial" w:hAnsi="Arial"/>
          <w:sz w:val="20"/>
          <w:szCs w:val="20"/>
          <w:color w:val="auto"/>
        </w:rPr>
        <w:t xml:space="preserve"> from the Plan to the Insurer and not by means of [</w:t>
      </w:r>
    </w:p>
    <w:p>
      <w:pPr>
        <w:spacing w:after="0" w:line="34" w:lineRule="exact"/>
        <w:rPr>
          <w:rFonts w:ascii="Arial" w:cs="Arial" w:eastAsia="Arial" w:hAnsi="Arial"/>
          <w:sz w:val="20"/>
          <w:szCs w:val="20"/>
          <w:color w:val="auto"/>
        </w:rPr>
      </w:pPr>
    </w:p>
    <w:p>
      <w:pPr>
        <w:ind w:left="2340" w:hanging="387"/>
        <w:spacing w:after="0"/>
        <w:tabs>
          <w:tab w:leader="none" w:pos="2340" w:val="left"/>
        </w:tabs>
        <w:numPr>
          <w:ilvl w:val="2"/>
          <w:numId w:val="210"/>
        </w:numPr>
        <w:rPr>
          <w:rFonts w:ascii="Arial" w:cs="Arial" w:eastAsia="Arial" w:hAnsi="Arial"/>
          <w:sz w:val="22"/>
          <w:szCs w:val="22"/>
          <w:color w:val="auto"/>
        </w:rPr>
      </w:pPr>
      <w:r>
        <w:rPr>
          <w:rFonts w:ascii="Arial" w:cs="Arial" w:eastAsia="Arial" w:hAnsi="Arial"/>
          <w:sz w:val="23"/>
          <w:szCs w:val="23"/>
          <w:color w:val="auto"/>
        </w:rPr>
        <w:t>]</w:t>
      </w:r>
      <w:r>
        <w:rPr>
          <w:rFonts w:ascii="Arial" w:cs="Arial" w:eastAsia="Arial" w:hAnsi="Arial"/>
          <w:sz w:val="21"/>
          <w:szCs w:val="21"/>
          <w:color w:val="auto"/>
        </w:rPr>
        <w:t>;</w:t>
      </w:r>
    </w:p>
    <w:p>
      <w:pPr>
        <w:spacing w:after="0" w:line="5" w:lineRule="exact"/>
        <w:rPr>
          <w:rFonts w:ascii="Arial" w:cs="Arial" w:eastAsia="Arial" w:hAnsi="Arial"/>
          <w:sz w:val="22"/>
          <w:szCs w:val="22"/>
          <w:color w:val="auto"/>
        </w:rPr>
      </w:pPr>
    </w:p>
    <w:p>
      <w:pPr>
        <w:ind w:left="1960" w:right="200" w:hanging="655"/>
        <w:spacing w:after="0" w:line="254" w:lineRule="auto"/>
        <w:tabs>
          <w:tab w:leader="none" w:pos="196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if an asset is a Newco, it must meet the requirements of Section 6.13, and the assets contained therein must satisfy each of items A through F above.</w:t>
      </w:r>
    </w:p>
    <w:p>
      <w:pPr>
        <w:spacing w:after="0" w:line="218" w:lineRule="exact"/>
        <w:rPr>
          <w:sz w:val="20"/>
          <w:szCs w:val="20"/>
          <w:color w:val="auto"/>
        </w:rPr>
      </w:pPr>
    </w:p>
    <w:p>
      <w:pPr>
        <w:ind w:left="580" w:hanging="572"/>
        <w:spacing w:after="0"/>
        <w:tabs>
          <w:tab w:leader="none" w:pos="580" w:val="left"/>
        </w:tabs>
        <w:numPr>
          <w:ilvl w:val="0"/>
          <w:numId w:val="211"/>
        </w:numPr>
        <w:rPr>
          <w:rFonts w:ascii="Arial" w:cs="Arial" w:eastAsia="Arial" w:hAnsi="Arial"/>
          <w:sz w:val="22"/>
          <w:szCs w:val="22"/>
          <w:color w:val="auto"/>
        </w:rPr>
      </w:pPr>
      <w:r>
        <w:rPr>
          <w:rFonts w:ascii="Arial" w:cs="Arial" w:eastAsia="Arial" w:hAnsi="Arial"/>
          <w:sz w:val="22"/>
          <w:szCs w:val="22"/>
          <w:b w:val="1"/>
          <w:bCs w:val="1"/>
          <w:u w:val="single" w:color="auto"/>
          <w:color w:val="auto"/>
        </w:rPr>
        <w:t>Requirements Regarding Contract 300 Portfolio P</w:t>
      </w:r>
    </w:p>
    <w:p>
      <w:pPr>
        <w:spacing w:after="0" w:line="226"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At the Closing, the Insurer will deliver an acknowledgement that Contract 300 Portfolio P remains in the Guaranteed Separate Account.</w:t>
      </w:r>
    </w:p>
    <w:p>
      <w:pPr>
        <w:spacing w:after="0" w:line="169" w:lineRule="exact"/>
        <w:rPr>
          <w:sz w:val="20"/>
          <w:szCs w:val="20"/>
          <w:color w:val="auto"/>
        </w:rPr>
      </w:pPr>
    </w:p>
    <w:p>
      <w:pPr>
        <w:ind w:left="580" w:hanging="572"/>
        <w:spacing w:after="0"/>
        <w:tabs>
          <w:tab w:leader="none" w:pos="580" w:val="left"/>
        </w:tabs>
        <w:numPr>
          <w:ilvl w:val="0"/>
          <w:numId w:val="212"/>
        </w:numPr>
        <w:rPr>
          <w:rFonts w:ascii="Arial" w:cs="Arial" w:eastAsia="Arial" w:hAnsi="Arial"/>
          <w:sz w:val="22"/>
          <w:szCs w:val="22"/>
          <w:color w:val="auto"/>
        </w:rPr>
      </w:pPr>
      <w:r>
        <w:rPr>
          <w:rFonts w:ascii="Arial" w:cs="Arial" w:eastAsia="Arial" w:hAnsi="Arial"/>
          <w:sz w:val="22"/>
          <w:szCs w:val="22"/>
          <w:b w:val="1"/>
          <w:bCs w:val="1"/>
          <w:u w:val="single" w:color="auto"/>
          <w:color w:val="auto"/>
        </w:rPr>
        <w:t>All Assets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2.1A - 1</w:t>
      </w:r>
    </w:p>
    <w:p>
      <w:pPr>
        <w:sectPr>
          <w:pgSz w:w="11900" w:h="16838" w:orient="portrait"/>
          <w:cols w:equalWidth="0" w:num="1">
            <w:col w:w="11400"/>
          </w:cols>
          <w:pgMar w:left="240" w:top="801" w:right="259" w:bottom="1440" w:gutter="0" w:footer="0" w:header="0"/>
        </w:sectPr>
      </w:pPr>
    </w:p>
    <w:bookmarkStart w:id="237" w:name="page238"/>
    <w:bookmarkEnd w:id="237"/>
    <w:p>
      <w:pPr>
        <w:spacing w:after="0"/>
        <w:rPr>
          <w:sz w:val="20"/>
          <w:szCs w:val="20"/>
          <w:color w:val="auto"/>
        </w:rPr>
      </w:pPr>
      <w:r>
        <w:rPr>
          <w:rFonts w:ascii="Arial" w:cs="Arial" w:eastAsia="Arial" w:hAnsi="Arial"/>
          <w:sz w:val="19"/>
          <w:szCs w:val="19"/>
          <w:color w:val="auto"/>
        </w:rPr>
        <w:t>The Independent Fiduciary shall direct each Plan Trustee to transfer to the Insurer the Transferred Assets (other than the assets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Contract 300 Portfolio P) by issuing such direction to each Plan Trustee in the following form:</w:t>
      </w: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Appendix 2.1A - 2</w:t>
      </w:r>
    </w:p>
    <w:p>
      <w:pPr>
        <w:sectPr>
          <w:pgSz w:w="11900" w:h="16838" w:orient="portrait"/>
          <w:cols w:equalWidth="0" w:num="1">
            <w:col w:w="11160"/>
          </w:cols>
          <w:pgMar w:left="240" w:top="807" w:right="499" w:bottom="1440" w:gutter="0" w:footer="0" w:header="0"/>
        </w:sectPr>
      </w:pPr>
    </w:p>
    <w:bookmarkStart w:id="238" w:name="page239"/>
    <w:bookmarkEnd w:id="238"/>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TRUSTEE DIRECTION - STATE STREET</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General Motors Retirement Program for Salaried Employees (the “Pension Plan”)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341" w:lineRule="exact"/>
        <w:rPr>
          <w:sz w:val="20"/>
          <w:szCs w:val="20"/>
          <w:color w:val="auto"/>
        </w:rPr>
      </w:pPr>
    </w:p>
    <w:p>
      <w:pPr>
        <w:ind w:firstLine="648"/>
        <w:spacing w:after="0" w:line="548" w:lineRule="auto"/>
        <w:rPr>
          <w:sz w:val="20"/>
          <w:szCs w:val="20"/>
          <w:color w:val="auto"/>
        </w:rPr>
      </w:pPr>
      <w:r>
        <w:rPr>
          <w:rFonts w:ascii="Arial" w:cs="Arial" w:eastAsia="Arial" w:hAnsi="Arial"/>
          <w:sz w:val="19"/>
          <w:szCs w:val="19"/>
          <w:color w:val="auto"/>
        </w:rPr>
        <w:t>State Street Bank and Trust Company (the “Trustee”) is a directed trustee of the General Motors Salaried Employes Pension Trust (the “Trust”), established as part of the Pension Plan, dated __________, 2012 (the “Trust Agreement”). Capitalized terms</w:t>
      </w:r>
    </w:p>
    <w:p>
      <w:pPr>
        <w:spacing w:after="0" w:line="2" w:lineRule="exact"/>
        <w:rPr>
          <w:sz w:val="20"/>
          <w:szCs w:val="20"/>
          <w:color w:val="auto"/>
        </w:rPr>
      </w:pPr>
    </w:p>
    <w:p>
      <w:pPr>
        <w:ind w:right="20"/>
        <w:spacing w:after="0" w:line="474" w:lineRule="auto"/>
        <w:rPr>
          <w:sz w:val="20"/>
          <w:szCs w:val="20"/>
          <w:color w:val="auto"/>
        </w:rPr>
      </w:pPr>
      <w:r>
        <w:rPr>
          <w:rFonts w:ascii="Arial" w:cs="Arial" w:eastAsia="Arial" w:hAnsi="Arial"/>
          <w:sz w:val="22"/>
          <w:szCs w:val="22"/>
          <w:color w:val="auto"/>
        </w:rPr>
        <w:t>used, but not defined herein, have the meaning set forth in the Definitive Transaction Framework Agreement, dated as of May 30, 2012, by and among The Prudential Insurance Company of America, a New Jersey life insurance company (the “</w:t>
      </w:r>
      <w:r>
        <w:rPr>
          <w:rFonts w:ascii="Arial" w:cs="Arial" w:eastAsia="Arial" w:hAnsi="Arial"/>
          <w:sz w:val="22"/>
          <w:szCs w:val="22"/>
          <w:u w:val="single" w:color="auto"/>
          <w:color w:val="auto"/>
        </w:rPr>
        <w:t>Insurer</w:t>
      </w:r>
      <w:r>
        <w:rPr>
          <w:rFonts w:ascii="Arial" w:cs="Arial" w:eastAsia="Arial" w:hAnsi="Arial"/>
          <w:sz w:val="22"/>
          <w:szCs w:val="22"/>
          <w:color w:val="auto"/>
        </w:rPr>
        <w:t>”), Prudential Financial, Inc., a New Jersey corporation (“</w:t>
      </w:r>
      <w:r>
        <w:rPr>
          <w:rFonts w:ascii="Arial" w:cs="Arial" w:eastAsia="Arial" w:hAnsi="Arial"/>
          <w:sz w:val="22"/>
          <w:szCs w:val="22"/>
          <w:u w:val="single" w:color="auto"/>
          <w:color w:val="auto"/>
        </w:rPr>
        <w:t>Insurer Parent</w:t>
      </w:r>
      <w:r>
        <w:rPr>
          <w:rFonts w:ascii="Arial" w:cs="Arial" w:eastAsia="Arial" w:hAnsi="Arial"/>
          <w:sz w:val="22"/>
          <w:szCs w:val="22"/>
          <w:color w:val="auto"/>
        </w:rPr>
        <w:t>”), General Motors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acting in a non-fiduciary capacity as the sponsor of the General Motors Retirement Program for Salaried Employees (the “</w:t>
      </w:r>
      <w:r>
        <w:rPr>
          <w:rFonts w:ascii="Arial" w:cs="Arial" w:eastAsia="Arial" w:hAnsi="Arial"/>
          <w:sz w:val="22"/>
          <w:szCs w:val="22"/>
          <w:u w:val="single" w:color="auto"/>
          <w:color w:val="auto"/>
        </w:rPr>
        <w:t>Plan</w:t>
      </w:r>
      <w:r>
        <w:rPr>
          <w:rFonts w:ascii="Arial" w:cs="Arial" w:eastAsia="Arial" w:hAnsi="Arial"/>
          <w:sz w:val="22"/>
          <w:szCs w:val="22"/>
          <w:color w:val="auto"/>
        </w:rPr>
        <w:t>”), and State Street Bank and Trust Company the independent fiduciary of the Plan (the “</w:t>
      </w:r>
      <w:r>
        <w:rPr>
          <w:rFonts w:ascii="Arial" w:cs="Arial" w:eastAsia="Arial" w:hAnsi="Arial"/>
          <w:sz w:val="22"/>
          <w:szCs w:val="22"/>
          <w:u w:val="single" w:color="auto"/>
          <w:color w:val="auto"/>
        </w:rPr>
        <w:t>Independent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Fiduciary</w:t>
      </w:r>
      <w:r>
        <w:rPr>
          <w:rFonts w:ascii="Arial" w:cs="Arial" w:eastAsia="Arial" w:hAnsi="Arial"/>
          <w:sz w:val="22"/>
          <w:szCs w:val="22"/>
          <w:color w:val="auto"/>
        </w:rPr>
        <w:t>”).</w:t>
      </w:r>
    </w:p>
    <w:p>
      <w:pPr>
        <w:spacing w:after="0" w:line="1" w:lineRule="exact"/>
        <w:rPr>
          <w:sz w:val="20"/>
          <w:szCs w:val="20"/>
          <w:color w:val="auto"/>
        </w:rPr>
      </w:pPr>
    </w:p>
    <w:p>
      <w:pPr>
        <w:ind w:right="40" w:firstLine="648"/>
        <w:spacing w:after="0" w:line="503" w:lineRule="auto"/>
        <w:rPr>
          <w:sz w:val="20"/>
          <w:szCs w:val="20"/>
          <w:color w:val="auto"/>
        </w:rPr>
      </w:pPr>
      <w:r>
        <w:rPr>
          <w:rFonts w:ascii="Arial" w:cs="Arial" w:eastAsia="Arial" w:hAnsi="Arial"/>
          <w:sz w:val="21"/>
          <w:szCs w:val="21"/>
          <w:color w:val="auto"/>
        </w:rPr>
        <w:t>The undersigned has been duly appointed as Investment Manager under Section ___ of the Trust Agreement with respect to the selection of an insurance company to provide terminal annuities in connection with General Motors' termination of the Pension Plan, and directing the trustees of the Trust in connection with the purchase of such terminal annuities including the execution of terminal group annuity contracts and the transfer of assets from the Trust to the insurance company selected by the Investment Manager in consideration of the group annuity contract and related matters. General Motors has terminated the Pension Plan pursuant to a resolution dated _________, 2012.</w:t>
      </w:r>
    </w:p>
    <w:p>
      <w:pPr>
        <w:spacing w:after="0" w:line="191" w:lineRule="exact"/>
        <w:rPr>
          <w:sz w:val="20"/>
          <w:szCs w:val="20"/>
          <w:color w:val="auto"/>
        </w:rPr>
      </w:pPr>
    </w:p>
    <w:p>
      <w:pPr>
        <w:ind w:right="180" w:firstLine="648"/>
        <w:spacing w:after="0" w:line="583" w:lineRule="auto"/>
        <w:rPr>
          <w:sz w:val="20"/>
          <w:szCs w:val="20"/>
          <w:color w:val="auto"/>
        </w:rPr>
      </w:pPr>
      <w:r>
        <w:rPr>
          <w:rFonts w:ascii="Arial" w:cs="Arial" w:eastAsia="Arial" w:hAnsi="Arial"/>
          <w:sz w:val="19"/>
          <w:szCs w:val="19"/>
          <w:color w:val="auto"/>
        </w:rPr>
        <w:t>The undersigned hereby directs you, not individually, but as Trustee on behalf of the Trust to (i) execute and deliver the Group Annuity Contract with the Insurer, (ii) transfer to the Insurer in consideration of the Group Annuity Contract, the assets set</w:t>
      </w:r>
    </w:p>
    <w:p>
      <w:pPr>
        <w:spacing w:after="0" w:line="1" w:lineRule="exact"/>
        <w:rPr>
          <w:sz w:val="20"/>
          <w:szCs w:val="20"/>
          <w:color w:val="auto"/>
        </w:rPr>
      </w:pPr>
    </w:p>
    <w:p>
      <w:pPr>
        <w:ind w:right="340"/>
        <w:spacing w:after="0" w:line="539" w:lineRule="auto"/>
        <w:rPr>
          <w:sz w:val="20"/>
          <w:szCs w:val="20"/>
          <w:color w:val="auto"/>
        </w:rPr>
      </w:pPr>
      <w:r>
        <w:rPr>
          <w:rFonts w:ascii="Arial" w:cs="Arial" w:eastAsia="Arial" w:hAnsi="Arial"/>
          <w:sz w:val="22"/>
          <w:szCs w:val="22"/>
          <w:color w:val="auto"/>
        </w:rPr>
        <w:t xml:space="preserve">forth on the Transferred Asset Schedule (excluding [ *** </w:t>
      </w:r>
      <w:r>
        <w:rPr>
          <w:rFonts w:ascii="Arial" w:cs="Arial" w:eastAsia="Arial" w:hAnsi="Arial"/>
          <w:sz w:val="23"/>
          <w:szCs w:val="23"/>
          <w:color w:val="auto"/>
        </w:rPr>
        <w:t>]</w:t>
      </w:r>
      <w:r>
        <w:rPr>
          <w:rFonts w:ascii="Arial" w:cs="Arial" w:eastAsia="Arial" w:hAnsi="Arial"/>
          <w:sz w:val="22"/>
          <w:szCs w:val="22"/>
          <w:color w:val="auto"/>
        </w:rPr>
        <w:t xml:space="preserve"> or Newcos), including taking all actions reasonable and necessary to effectuate such transfer and (iii) execute the [ *** ], if any, specified by the undersigned.</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2.1A - 3</w:t>
      </w:r>
    </w:p>
    <w:p>
      <w:pPr>
        <w:sectPr>
          <w:pgSz w:w="11900" w:h="16838" w:orient="portrait"/>
          <w:cols w:equalWidth="0" w:num="1">
            <w:col w:w="11380"/>
          </w:cols>
          <w:pgMar w:left="240" w:top="801" w:right="279" w:bottom="1440" w:gutter="0" w:footer="0" w:header="0"/>
        </w:sectPr>
      </w:pPr>
    </w:p>
    <w:bookmarkStart w:id="239" w:name="page240"/>
    <w:bookmarkEnd w:id="239"/>
    <w:p>
      <w:pPr>
        <w:ind w:left="660"/>
        <w:spacing w:after="0"/>
        <w:rPr>
          <w:sz w:val="20"/>
          <w:szCs w:val="20"/>
          <w:color w:val="auto"/>
        </w:rPr>
      </w:pPr>
      <w:r>
        <w:rPr>
          <w:rFonts w:ascii="Arial" w:cs="Arial" w:eastAsia="Arial" w:hAnsi="Arial"/>
          <w:sz w:val="21"/>
          <w:szCs w:val="21"/>
          <w:color w:val="auto"/>
        </w:rPr>
        <w:t>In connection herewith, the undersigned represents and warrants to the Trustee for the benefit of the Trust that:</w:t>
      </w:r>
    </w:p>
    <w:p>
      <w:pPr>
        <w:spacing w:after="0" w:line="258" w:lineRule="exact"/>
        <w:rPr>
          <w:sz w:val="20"/>
          <w:szCs w:val="20"/>
          <w:color w:val="auto"/>
        </w:rPr>
      </w:pPr>
    </w:p>
    <w:p>
      <w:pPr>
        <w:ind w:left="1300" w:right="100" w:hanging="644"/>
        <w:spacing w:after="0" w:line="548" w:lineRule="auto"/>
        <w:tabs>
          <w:tab w:leader="none" w:pos="130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undersigned is an Investment Manger within the meaning of 3(38) of the Employee Retirement Income Security Act of 1974, as amended, and is acting in such capacity in issuing the direction set forth in this letter;</w:t>
      </w:r>
    </w:p>
    <w:p>
      <w:pPr>
        <w:spacing w:after="0" w:line="1" w:lineRule="exact"/>
        <w:rPr>
          <w:rFonts w:ascii="Arial" w:cs="Arial" w:eastAsia="Arial" w:hAnsi="Arial"/>
          <w:sz w:val="19"/>
          <w:szCs w:val="19"/>
          <w:color w:val="auto"/>
        </w:rPr>
      </w:pPr>
    </w:p>
    <w:p>
      <w:pPr>
        <w:ind w:left="1300" w:right="180" w:hanging="644"/>
        <w:spacing w:after="0" w:line="548" w:lineRule="auto"/>
        <w:tabs>
          <w:tab w:leader="none" w:pos="130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undersigned has determined that the execution of the Group Annuity Contract and transferring the assets on the Transferred Asset Schedule satisfies ERISA, and applicable guidance, including, Interpretive Bulletin 95-1;</w:t>
      </w:r>
    </w:p>
    <w:p>
      <w:pPr>
        <w:spacing w:after="0" w:line="1" w:lineRule="exact"/>
        <w:rPr>
          <w:rFonts w:ascii="Arial" w:cs="Arial" w:eastAsia="Arial" w:hAnsi="Arial"/>
          <w:sz w:val="19"/>
          <w:szCs w:val="19"/>
          <w:color w:val="auto"/>
        </w:rPr>
      </w:pPr>
    </w:p>
    <w:p>
      <w:pPr>
        <w:ind w:left="1300" w:right="200" w:hanging="644"/>
        <w:spacing w:after="0" w:line="496" w:lineRule="auto"/>
        <w:tabs>
          <w:tab w:leader="none" w:pos="130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the Group Annuity Contract is in proper legal form for execution by you, not individually, but as Trustee on behalf of the Trust without review or inquiry upon direction of the undersigned Investment Manger; and</w:t>
      </w:r>
    </w:p>
    <w:p>
      <w:pPr>
        <w:spacing w:after="0" w:line="1" w:lineRule="exact"/>
        <w:rPr>
          <w:rFonts w:ascii="Arial" w:cs="Arial" w:eastAsia="Arial" w:hAnsi="Arial"/>
          <w:sz w:val="21"/>
          <w:szCs w:val="21"/>
          <w:color w:val="auto"/>
        </w:rPr>
      </w:pPr>
    </w:p>
    <w:p>
      <w:pPr>
        <w:ind w:left="1300" w:right="280" w:hanging="644"/>
        <w:spacing w:after="0" w:line="494" w:lineRule="auto"/>
        <w:tabs>
          <w:tab w:leader="none" w:pos="13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officer signing this letter is duly authorized to execute and deliver this direction on behalf of State Street Bank and Trust Company.</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TRUSTEE DIRECTION - JP MORGAN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General Motors Retirement Program for Salaried Employees (the “Pension Plan”)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341" w:lineRule="exact"/>
        <w:rPr>
          <w:sz w:val="20"/>
          <w:szCs w:val="20"/>
          <w:color w:val="auto"/>
        </w:rPr>
      </w:pPr>
    </w:p>
    <w:p>
      <w:pPr>
        <w:ind w:right="100" w:firstLine="648"/>
        <w:spacing w:after="0" w:line="548" w:lineRule="auto"/>
        <w:rPr>
          <w:sz w:val="20"/>
          <w:szCs w:val="20"/>
          <w:color w:val="auto"/>
        </w:rPr>
      </w:pPr>
      <w:r>
        <w:rPr>
          <w:rFonts w:ascii="Arial" w:cs="Arial" w:eastAsia="Arial" w:hAnsi="Arial"/>
          <w:sz w:val="19"/>
          <w:szCs w:val="19"/>
          <w:color w:val="auto"/>
        </w:rPr>
        <w:t>JP Morgan Chase Bank, National Association (the “Trustee”) is a directed trustee of [First Plaza Group Trust] [White Plaza Group Trust] (the “Trust”), a group trust in which certain assets attributable to the Pension Plan are held, dated __________, 2012</w:t>
      </w:r>
    </w:p>
    <w:p>
      <w:pPr>
        <w:spacing w:after="0" w:line="2" w:lineRule="exact"/>
        <w:rPr>
          <w:sz w:val="20"/>
          <w:szCs w:val="20"/>
          <w:color w:val="auto"/>
        </w:rPr>
      </w:pPr>
    </w:p>
    <w:p>
      <w:pPr>
        <w:spacing w:after="0" w:line="480" w:lineRule="auto"/>
        <w:rPr>
          <w:sz w:val="20"/>
          <w:szCs w:val="20"/>
          <w:color w:val="auto"/>
        </w:rPr>
      </w:pPr>
      <w:r>
        <w:rPr>
          <w:rFonts w:ascii="Arial" w:cs="Arial" w:eastAsia="Arial" w:hAnsi="Arial"/>
          <w:sz w:val="22"/>
          <w:szCs w:val="22"/>
          <w:color w:val="auto"/>
        </w:rPr>
        <w:t>(the “Trust Agreement”). Capitalized terms used, but not defined herein, have the meaning set forth in the Definitive Transaction Framework Agreement, dated as of May 30, 2012, by and among The Prudential Insurance Company of America, a New Jersey life insurance company (the “</w:t>
      </w:r>
      <w:r>
        <w:rPr>
          <w:rFonts w:ascii="Arial" w:cs="Arial" w:eastAsia="Arial" w:hAnsi="Arial"/>
          <w:sz w:val="22"/>
          <w:szCs w:val="22"/>
          <w:u w:val="single" w:color="auto"/>
          <w:color w:val="auto"/>
        </w:rPr>
        <w:t>Insurer</w:t>
      </w:r>
      <w:r>
        <w:rPr>
          <w:rFonts w:ascii="Arial" w:cs="Arial" w:eastAsia="Arial" w:hAnsi="Arial"/>
          <w:sz w:val="22"/>
          <w:szCs w:val="22"/>
          <w:color w:val="auto"/>
        </w:rPr>
        <w:t>”), Prudential Financial, Inc., a New Jersey corporation (“</w:t>
      </w:r>
      <w:r>
        <w:rPr>
          <w:rFonts w:ascii="Arial" w:cs="Arial" w:eastAsia="Arial" w:hAnsi="Arial"/>
          <w:sz w:val="22"/>
          <w:szCs w:val="22"/>
          <w:u w:val="single" w:color="auto"/>
          <w:color w:val="auto"/>
        </w:rPr>
        <w:t>Insurer Parent</w:t>
      </w:r>
      <w:r>
        <w:rPr>
          <w:rFonts w:ascii="Arial" w:cs="Arial" w:eastAsia="Arial" w:hAnsi="Arial"/>
          <w:sz w:val="22"/>
          <w:szCs w:val="22"/>
          <w:color w:val="auto"/>
        </w:rPr>
        <w:t>”), General Motors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acting in a non-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2.1A - 4</w:t>
      </w:r>
    </w:p>
    <w:p>
      <w:pPr>
        <w:sectPr>
          <w:pgSz w:w="11900" w:h="16838" w:orient="portrait"/>
          <w:cols w:equalWidth="0" w:num="1">
            <w:col w:w="11420"/>
          </w:cols>
          <w:pgMar w:left="240" w:top="712" w:right="239" w:bottom="1440" w:gutter="0" w:footer="0" w:header="0"/>
        </w:sectPr>
      </w:pPr>
    </w:p>
    <w:bookmarkStart w:id="240" w:name="page241"/>
    <w:bookmarkEnd w:id="240"/>
    <w:p>
      <w:pPr>
        <w:ind w:right="80"/>
        <w:spacing w:after="0" w:line="474" w:lineRule="auto"/>
        <w:rPr>
          <w:sz w:val="20"/>
          <w:szCs w:val="20"/>
          <w:color w:val="auto"/>
        </w:rPr>
      </w:pPr>
      <w:r>
        <w:rPr>
          <w:rFonts w:ascii="Arial" w:cs="Arial" w:eastAsia="Arial" w:hAnsi="Arial"/>
          <w:sz w:val="22"/>
          <w:szCs w:val="22"/>
          <w:color w:val="auto"/>
        </w:rPr>
        <w:t>fiduciary capacity as the sponsor of the General Motors Retirement Program for Salaried Employees (the “</w:t>
      </w:r>
      <w:r>
        <w:rPr>
          <w:rFonts w:ascii="Arial" w:cs="Arial" w:eastAsia="Arial" w:hAnsi="Arial"/>
          <w:sz w:val="22"/>
          <w:szCs w:val="22"/>
          <w:u w:val="single" w:color="auto"/>
          <w:color w:val="auto"/>
        </w:rPr>
        <w:t>Plan</w:t>
      </w:r>
      <w:r>
        <w:rPr>
          <w:rFonts w:ascii="Arial" w:cs="Arial" w:eastAsia="Arial" w:hAnsi="Arial"/>
          <w:sz w:val="22"/>
          <w:szCs w:val="22"/>
          <w:color w:val="auto"/>
        </w:rPr>
        <w:t>”), and State Street Bank and Trust Company the independent fiduciary of the Plan (the “</w:t>
      </w:r>
      <w:r>
        <w:rPr>
          <w:rFonts w:ascii="Arial" w:cs="Arial" w:eastAsia="Arial" w:hAnsi="Arial"/>
          <w:sz w:val="22"/>
          <w:szCs w:val="22"/>
          <w:u w:val="single" w:color="auto"/>
          <w:color w:val="auto"/>
        </w:rPr>
        <w:t>Independent Fiduciary</w:t>
      </w:r>
      <w:r>
        <w:rPr>
          <w:rFonts w:ascii="Arial" w:cs="Arial" w:eastAsia="Arial" w:hAnsi="Arial"/>
          <w:sz w:val="22"/>
          <w:szCs w:val="22"/>
          <w:color w:val="auto"/>
        </w:rPr>
        <w:t>”).</w:t>
      </w:r>
    </w:p>
    <w:p>
      <w:pPr>
        <w:ind w:firstLine="648"/>
        <w:spacing w:after="0" w:line="498" w:lineRule="auto"/>
        <w:rPr>
          <w:sz w:val="20"/>
          <w:szCs w:val="20"/>
          <w:color w:val="auto"/>
        </w:rPr>
      </w:pPr>
      <w:r>
        <w:rPr>
          <w:rFonts w:ascii="Arial" w:cs="Arial" w:eastAsia="Arial" w:hAnsi="Arial"/>
          <w:sz w:val="21"/>
          <w:szCs w:val="21"/>
          <w:color w:val="auto"/>
        </w:rPr>
        <w:t>The undersigned has been duly appointed as Investment Manager under Section ___ of the Trust Agreement with respect to the selection of an insurance company to provide terminal annuities in connection with General Motors' termination of the Pension Plan, and directing the trustees of the Trust in connection with the purchase of such terminal annuities including the execution of terminal group annuity contracts and the transfer of assets from the Trust to the insurance company selected by the Investment Manger in consideration of the group annuity contract and related matters. General Motors has terminated the Pension Plan pursuant to a resolution dated _________, 2012.</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undersigned hereby directs you, not individually, but as Trustee on behalf of the Trust to (i) transfer to the Insurer in</w:t>
      </w:r>
    </w:p>
    <w:p>
      <w:pPr>
        <w:spacing w:after="0" w:line="304" w:lineRule="exact"/>
        <w:rPr>
          <w:sz w:val="20"/>
          <w:szCs w:val="20"/>
          <w:color w:val="auto"/>
        </w:rPr>
      </w:pPr>
    </w:p>
    <w:p>
      <w:pPr>
        <w:ind w:right="220"/>
        <w:spacing w:after="0" w:line="498" w:lineRule="auto"/>
        <w:rPr>
          <w:sz w:val="20"/>
          <w:szCs w:val="20"/>
          <w:color w:val="auto"/>
        </w:rPr>
      </w:pPr>
      <w:r>
        <w:rPr>
          <w:rFonts w:ascii="Arial" w:cs="Arial" w:eastAsia="Arial" w:hAnsi="Arial"/>
          <w:sz w:val="22"/>
          <w:szCs w:val="22"/>
          <w:color w:val="auto"/>
        </w:rPr>
        <w:t xml:space="preserve">consideration of a Group Annuity Contract, the assets designated [ *** </w:t>
      </w:r>
      <w:r>
        <w:rPr>
          <w:rFonts w:ascii="Arial" w:cs="Arial" w:eastAsia="Arial" w:hAnsi="Arial"/>
          <w:sz w:val="23"/>
          <w:szCs w:val="23"/>
          <w:color w:val="auto"/>
        </w:rPr>
        <w:t>]</w:t>
      </w:r>
      <w:r>
        <w:rPr>
          <w:rFonts w:ascii="Arial" w:cs="Arial" w:eastAsia="Arial" w:hAnsi="Arial"/>
          <w:sz w:val="22"/>
          <w:szCs w:val="22"/>
          <w:color w:val="auto"/>
        </w:rPr>
        <w:t xml:space="preserve"> on the Transferred Asset Schedule (whether or not in a Newco), including taking all actions reasonable and necessary to effectuate such transfer and (ii) execute [ *** </w:t>
      </w:r>
      <w:r>
        <w:rPr>
          <w:rFonts w:ascii="Arial" w:cs="Arial" w:eastAsia="Arial" w:hAnsi="Arial"/>
          <w:sz w:val="23"/>
          <w:szCs w:val="23"/>
          <w:color w:val="auto"/>
        </w:rPr>
        <w:t>]</w:t>
      </w:r>
      <w:r>
        <w:rPr>
          <w:rFonts w:ascii="Arial" w:cs="Arial" w:eastAsia="Arial" w:hAnsi="Arial"/>
          <w:sz w:val="22"/>
          <w:szCs w:val="22"/>
          <w:color w:val="auto"/>
        </w:rPr>
        <w:t xml:space="preserve"> specified by the undersigned.</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connection herewith, the undersigned represents and warrants to the Trustee for the benefit of the Trust that:</w:t>
      </w:r>
    </w:p>
    <w:p>
      <w:pPr>
        <w:spacing w:after="0" w:line="258" w:lineRule="exact"/>
        <w:rPr>
          <w:sz w:val="20"/>
          <w:szCs w:val="20"/>
          <w:color w:val="auto"/>
        </w:rPr>
      </w:pPr>
    </w:p>
    <w:p>
      <w:pPr>
        <w:ind w:left="1300" w:right="20" w:hanging="644"/>
        <w:spacing w:after="0" w:line="548" w:lineRule="auto"/>
        <w:tabs>
          <w:tab w:leader="none" w:pos="130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undersigned is an Investment Manger within the meaning of 3(38) of the Employee Retirement Income Security Act of 1974, as amended, and is acting in such capacity in issuing the direction set forth in this letter;</w:t>
      </w:r>
    </w:p>
    <w:p>
      <w:pPr>
        <w:spacing w:after="0" w:line="1" w:lineRule="exact"/>
        <w:rPr>
          <w:rFonts w:ascii="Arial" w:cs="Arial" w:eastAsia="Arial" w:hAnsi="Arial"/>
          <w:sz w:val="19"/>
          <w:szCs w:val="19"/>
          <w:color w:val="auto"/>
        </w:rPr>
      </w:pPr>
    </w:p>
    <w:p>
      <w:pPr>
        <w:ind w:left="1300" w:right="100" w:hanging="644"/>
        <w:spacing w:after="0" w:line="548" w:lineRule="auto"/>
        <w:tabs>
          <w:tab w:leader="none" w:pos="130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undersigned has determined that the execution of the Group Annuity Contract and transferring the assets on the Transferred Asset Schedule satisfies ERISA, and applicable guidance, including Interpretive Bulletin 95-1; and</w:t>
      </w:r>
    </w:p>
    <w:p>
      <w:pPr>
        <w:spacing w:after="0" w:line="1" w:lineRule="exact"/>
        <w:rPr>
          <w:rFonts w:ascii="Arial" w:cs="Arial" w:eastAsia="Arial" w:hAnsi="Arial"/>
          <w:sz w:val="19"/>
          <w:szCs w:val="19"/>
          <w:color w:val="auto"/>
        </w:rPr>
      </w:pPr>
    </w:p>
    <w:p>
      <w:pPr>
        <w:ind w:left="1300" w:right="200" w:hanging="644"/>
        <w:spacing w:after="0" w:line="494" w:lineRule="auto"/>
        <w:tabs>
          <w:tab w:leader="none" w:pos="130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officer signing this letter is duly authorized to execute and deliver this direction on behalf of State Street Bank and Trust Company.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Appendix 2.1A - 5</w:t>
      </w:r>
    </w:p>
    <w:p>
      <w:pPr>
        <w:sectPr>
          <w:pgSz w:w="11900" w:h="16838" w:orient="portrait"/>
          <w:cols w:equalWidth="0" w:num="1">
            <w:col w:w="11340"/>
          </w:cols>
          <w:pgMar w:left="240" w:top="712" w:right="319" w:bottom="1440" w:gutter="0" w:footer="0" w:header="0"/>
        </w:sectPr>
      </w:pPr>
    </w:p>
    <w:bookmarkStart w:id="241" w:name="page242"/>
    <w:bookmarkEnd w:id="241"/>
    <w:p>
      <w:pPr>
        <w:jc w:val="center"/>
        <w:ind w:right="-20"/>
        <w:spacing w:after="0"/>
        <w:rPr>
          <w:sz w:val="20"/>
          <w:szCs w:val="20"/>
          <w:color w:val="auto"/>
        </w:rPr>
      </w:pPr>
      <w:r>
        <w:rPr>
          <w:rFonts w:ascii="Arial" w:cs="Arial" w:eastAsia="Arial" w:hAnsi="Arial"/>
          <w:sz w:val="22"/>
          <w:szCs w:val="22"/>
          <w:b w:val="1"/>
          <w:bCs w:val="1"/>
          <w:u w:val="single" w:color="auto"/>
          <w:color w:val="auto"/>
        </w:rPr>
        <w:t>Schedule 1 to Appendix 2.1-A</w:t>
      </w:r>
    </w:p>
    <w:p>
      <w:pPr>
        <w:spacing w:after="0" w:line="200" w:lineRule="exact"/>
        <w:rPr>
          <w:sz w:val="20"/>
          <w:szCs w:val="20"/>
          <w:color w:val="auto"/>
        </w:rPr>
      </w:pPr>
    </w:p>
    <w:p>
      <w:pPr>
        <w:spacing w:after="0" w:line="224" w:lineRule="exact"/>
        <w:rPr>
          <w:sz w:val="20"/>
          <w:szCs w:val="20"/>
          <w:color w:val="auto"/>
        </w:rPr>
      </w:pPr>
    </w:p>
    <w:p>
      <w:pPr>
        <w:jc w:val="center"/>
        <w:ind w:left="4280" w:right="2119" w:hanging="2143"/>
        <w:spacing w:after="0" w:line="487" w:lineRule="auto"/>
        <w:tabs>
          <w:tab w:leader="none" w:pos="2263"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REFERENCED IN APPENDIX 2.1-A(II)(A)</w:t>
      </w:r>
      <w:r>
        <w:rPr>
          <w:rFonts w:ascii="Arial" w:cs="Arial" w:eastAsia="Arial" w:hAnsi="Arial"/>
          <w:sz w:val="22"/>
          <w:szCs w:val="22"/>
          <w:color w:val="auto"/>
        </w:rPr>
        <w:t xml:space="preserve"> None</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Appendix 2.1A - 6</w:t>
      </w:r>
    </w:p>
    <w:p>
      <w:pPr>
        <w:sectPr>
          <w:pgSz w:w="11900" w:h="16838" w:orient="portrait"/>
          <w:cols w:equalWidth="0" w:num="1">
            <w:col w:w="9019"/>
          </w:cols>
          <w:pgMar w:left="1440" w:top="801" w:right="1440"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22"/>
          <w:szCs w:val="22"/>
          <w:b w:val="1"/>
          <w:bCs w:val="1"/>
          <w:u w:val="single" w:color="auto"/>
          <w:color w:val="auto"/>
        </w:rPr>
        <w:t>Appendix 2.1-B</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Final Plan Portfolio Transfer Instrument</w:t>
      </w:r>
    </w:p>
    <w:p>
      <w:pPr>
        <w:spacing w:after="0" w:line="200" w:lineRule="exact"/>
        <w:rPr>
          <w:sz w:val="20"/>
          <w:szCs w:val="20"/>
          <w:color w:val="auto"/>
        </w:rPr>
      </w:pPr>
    </w:p>
    <w:p>
      <w:pPr>
        <w:spacing w:after="0" w:line="242"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Appendix 2.1-B</w:t>
      </w:r>
      <w:r>
        <w:rPr>
          <w:rFonts w:ascii="Arial" w:cs="Arial" w:eastAsia="Arial" w:hAnsi="Arial"/>
          <w:sz w:val="22"/>
          <w:szCs w:val="22"/>
          <w:color w:val="auto"/>
        </w:rPr>
        <w:t xml:space="preserve"> sets forth (1) a form of Bill of Sale pursuant to which the Plan Trustee will transfer the Public Bonds to the Insurer on the Closing Date and (2) a Term Sheet containing the agreed upon terms and process by which the Plan will transfer the [ *** </w:t>
      </w:r>
      <w:r>
        <w:rPr>
          <w:rFonts w:ascii="Arial" w:cs="Arial" w:eastAsia="Arial" w:hAnsi="Arial"/>
          <w:sz w:val="23"/>
          <w:szCs w:val="23"/>
          <w:color w:val="auto"/>
        </w:rPr>
        <w:t>]</w:t>
      </w:r>
      <w:r>
        <w:rPr>
          <w:rFonts w:ascii="Arial" w:cs="Arial" w:eastAsia="Arial" w:hAnsi="Arial"/>
          <w:sz w:val="22"/>
          <w:szCs w:val="22"/>
          <w:color w:val="auto"/>
        </w:rPr>
        <w:t xml:space="preserve"> to the Insurer.</w:t>
      </w:r>
    </w:p>
    <w:p>
      <w:pPr>
        <w:spacing w:after="0" w:line="398"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22"/>
          <w:szCs w:val="22"/>
          <w:color w:val="auto"/>
        </w:rPr>
      </w:pPr>
      <w:r>
        <w:rPr>
          <w:rFonts w:ascii="Arial" w:cs="Arial" w:eastAsia="Arial" w:hAnsi="Arial"/>
          <w:sz w:val="22"/>
          <w:szCs w:val="22"/>
          <w:i w:val="1"/>
          <w:iCs w:val="1"/>
          <w:u w:val="single" w:color="auto"/>
          <w:color w:val="auto"/>
        </w:rPr>
        <w:t>Form of Bill of Sale to effect the transfer of all Public Bonds contained in the Final Plan Portfolio.</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left="4820"/>
        <w:spacing w:after="0"/>
        <w:rPr>
          <w:rFonts w:ascii="Arial" w:cs="Arial" w:eastAsia="Arial" w:hAnsi="Arial"/>
          <w:sz w:val="22"/>
          <w:szCs w:val="22"/>
          <w:color w:val="auto"/>
        </w:rPr>
      </w:pPr>
      <w:r>
        <w:rPr>
          <w:rFonts w:ascii="Arial" w:cs="Arial" w:eastAsia="Arial" w:hAnsi="Arial"/>
          <w:sz w:val="22"/>
          <w:szCs w:val="22"/>
          <w:b w:val="1"/>
          <w:bCs w:val="1"/>
          <w:color w:val="auto"/>
        </w:rPr>
        <w:t>Form of Bill of Sale</w:t>
      </w:r>
    </w:p>
    <w:p>
      <w:pPr>
        <w:spacing w:after="0" w:line="200" w:lineRule="exact"/>
        <w:rPr>
          <w:sz w:val="20"/>
          <w:szCs w:val="20"/>
          <w:color w:val="auto"/>
        </w:rPr>
      </w:pPr>
    </w:p>
    <w:p>
      <w:pPr>
        <w:spacing w:after="0" w:line="242" w:lineRule="exact"/>
        <w:rPr>
          <w:sz w:val="20"/>
          <w:szCs w:val="20"/>
          <w:color w:val="auto"/>
        </w:rPr>
      </w:pPr>
    </w:p>
    <w:p>
      <w:pPr>
        <w:ind w:right="260" w:firstLine="648"/>
        <w:spacing w:after="0" w:line="265" w:lineRule="auto"/>
        <w:rPr>
          <w:sz w:val="20"/>
          <w:szCs w:val="20"/>
          <w:color w:val="auto"/>
        </w:rPr>
      </w:pPr>
      <w:r>
        <w:rPr>
          <w:rFonts w:ascii="Arial" w:cs="Arial" w:eastAsia="Arial" w:hAnsi="Arial"/>
          <w:sz w:val="21"/>
          <w:szCs w:val="21"/>
          <w:color w:val="auto"/>
        </w:rPr>
        <w:t>This BILL OF SALE (this “</w:t>
      </w:r>
      <w:r>
        <w:rPr>
          <w:rFonts w:ascii="Arial" w:cs="Arial" w:eastAsia="Arial" w:hAnsi="Arial"/>
          <w:sz w:val="21"/>
          <w:szCs w:val="21"/>
          <w:u w:val="single" w:color="auto"/>
          <w:color w:val="auto"/>
        </w:rPr>
        <w:t>Bill of Sale</w:t>
      </w:r>
      <w:r>
        <w:rPr>
          <w:rFonts w:ascii="Arial" w:cs="Arial" w:eastAsia="Arial" w:hAnsi="Arial"/>
          <w:sz w:val="21"/>
          <w:szCs w:val="21"/>
          <w:color w:val="auto"/>
        </w:rPr>
        <w:t>”), dated as of [], 2012, with effect from 12:01 a.m. on [], 2012 Eastern time, is entered into by and among The Prudential Insurance Company of America, a life insurance company (the “</w:t>
      </w:r>
      <w:r>
        <w:rPr>
          <w:rFonts w:ascii="Arial" w:cs="Arial" w:eastAsia="Arial" w:hAnsi="Arial"/>
          <w:sz w:val="21"/>
          <w:szCs w:val="21"/>
          <w:u w:val="single" w:color="auto"/>
          <w:color w:val="auto"/>
        </w:rPr>
        <w:t>Insurer</w:t>
      </w:r>
      <w:r>
        <w:rPr>
          <w:rFonts w:ascii="Arial" w:cs="Arial" w:eastAsia="Arial" w:hAnsi="Arial"/>
          <w:sz w:val="21"/>
          <w:szCs w:val="21"/>
          <w:color w:val="auto"/>
        </w:rPr>
        <w:t>”), and State Street Bank and Trust Company, the Plan Trustee for the Trust (the “</w:t>
      </w:r>
      <w:r>
        <w:rPr>
          <w:rFonts w:ascii="Arial" w:cs="Arial" w:eastAsia="Arial" w:hAnsi="Arial"/>
          <w:sz w:val="21"/>
          <w:szCs w:val="21"/>
          <w:u w:val="single" w:color="auto"/>
          <w:color w:val="auto"/>
        </w:rPr>
        <w:t>Plan Trustee</w:t>
      </w:r>
      <w:r>
        <w:rPr>
          <w:rFonts w:ascii="Arial" w:cs="Arial" w:eastAsia="Arial" w:hAnsi="Arial"/>
          <w:sz w:val="21"/>
          <w:szCs w:val="21"/>
          <w:color w:val="auto"/>
        </w:rPr>
        <w:t>”). Capitalized terms used herein and not herein defined shall derive their meaning from Section 1.1 of the DTFA (as defined below).</w:t>
      </w:r>
    </w:p>
    <w:p>
      <w:pPr>
        <w:spacing w:after="0" w:line="392"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WHEREAS, the Insurer, Insurer Parent, the sponsor of the General Motors Retirement Program for Salaried Employees (the “</w:t>
      </w:r>
      <w:r>
        <w:rPr>
          <w:rFonts w:ascii="Arial" w:cs="Arial" w:eastAsia="Arial" w:hAnsi="Arial"/>
          <w:sz w:val="19"/>
          <w:szCs w:val="19"/>
          <w:u w:val="single" w:color="auto"/>
          <w:color w:val="auto"/>
        </w:rPr>
        <w:t>Plan</w:t>
      </w:r>
      <w:r>
        <w:rPr>
          <w:rFonts w:ascii="Arial" w:cs="Arial" w:eastAsia="Arial" w:hAnsi="Arial"/>
          <w:sz w:val="19"/>
          <w:szCs w:val="19"/>
          <w:color w:val="auto"/>
        </w:rPr>
        <w:t>”) and State Street Bank and Trust Company, the independent fiduciary of the Plan (the “</w:t>
      </w:r>
      <w:r>
        <w:rPr>
          <w:rFonts w:ascii="Arial" w:cs="Arial" w:eastAsia="Arial" w:hAnsi="Arial"/>
          <w:sz w:val="19"/>
          <w:szCs w:val="19"/>
          <w:u w:val="single" w:color="auto"/>
          <w:color w:val="auto"/>
        </w:rPr>
        <w:t>Independent Fiduciary</w:t>
      </w:r>
      <w:r>
        <w:rPr>
          <w:rFonts w:ascii="Arial" w:cs="Arial" w:eastAsia="Arial" w:hAnsi="Arial"/>
          <w:sz w:val="19"/>
          <w:szCs w:val="19"/>
          <w:color w:val="auto"/>
        </w:rPr>
        <w:t>”), have entered into a Definitive Transaction Framework Agreement, dated as of May 30, 2012 (the “</w:t>
      </w:r>
      <w:r>
        <w:rPr>
          <w:rFonts w:ascii="Arial" w:cs="Arial" w:eastAsia="Arial" w:hAnsi="Arial"/>
          <w:sz w:val="19"/>
          <w:szCs w:val="19"/>
          <w:u w:val="single" w:color="auto"/>
          <w:color w:val="auto"/>
        </w:rPr>
        <w:t>DTFA</w:t>
      </w:r>
      <w:r>
        <w:rPr>
          <w:rFonts w:ascii="Arial" w:cs="Arial" w:eastAsia="Arial" w:hAnsi="Arial"/>
          <w:sz w:val="19"/>
          <w:szCs w:val="19"/>
          <w:color w:val="auto"/>
        </w:rPr>
        <w:t>”), pursuant to which the Insurer has agreed to issue to the Plan Trustee the Group Annuity Contract in exchange for payment of the Final Premium Amount, which payment will be satisfied by the Plan Trustee's transfer of the Final Plan Portfolio to the Insurer; and</w:t>
      </w:r>
    </w:p>
    <w:p>
      <w:pPr>
        <w:spacing w:after="0" w:line="363" w:lineRule="exact"/>
        <w:rPr>
          <w:sz w:val="20"/>
          <w:szCs w:val="20"/>
          <w:color w:val="auto"/>
        </w:rPr>
      </w:pPr>
    </w:p>
    <w:p>
      <w:pPr>
        <w:ind w:right="240" w:firstLine="648"/>
        <w:spacing w:after="0" w:line="287" w:lineRule="auto"/>
        <w:rPr>
          <w:sz w:val="20"/>
          <w:szCs w:val="20"/>
          <w:color w:val="auto"/>
        </w:rPr>
      </w:pPr>
      <w:r>
        <w:rPr>
          <w:rFonts w:ascii="Arial" w:cs="Arial" w:eastAsia="Arial" w:hAnsi="Arial"/>
          <w:sz w:val="21"/>
          <w:szCs w:val="21"/>
          <w:color w:val="auto"/>
        </w:rPr>
        <w:t>WHEREAS, the Plan Trustee and the Insurer desire to execute this Bill of Sale to evidence the assignment and transfer of the Public Bonds that comprise a portion of the Final Plan Portfolio, from the Plan Trustee to the Insurer.</w:t>
      </w:r>
    </w:p>
    <w:p>
      <w:pPr>
        <w:spacing w:after="0" w:line="368"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NOW, THEREFORE, in consideration of the premises and the mutual covenants and promises contained herein and in the DTFA and Group Annuity Contract, and for other good and valuable consideration, the receipt and sufficiency of which are hereby acknowledged, the parties to this Bill of Sale agree as follows:</w:t>
      </w:r>
    </w:p>
    <w:p>
      <w:pPr>
        <w:spacing w:after="0" w:line="200" w:lineRule="exact"/>
        <w:rPr>
          <w:sz w:val="20"/>
          <w:szCs w:val="20"/>
          <w:color w:val="auto"/>
        </w:rPr>
      </w:pPr>
    </w:p>
    <w:p>
      <w:pPr>
        <w:spacing w:after="0" w:line="202" w:lineRule="exact"/>
        <w:rPr>
          <w:sz w:val="20"/>
          <w:szCs w:val="20"/>
          <w:color w:val="auto"/>
        </w:rPr>
      </w:pPr>
    </w:p>
    <w:p>
      <w:pPr>
        <w:ind w:right="280" w:firstLine="656"/>
        <w:spacing w:after="0" w:line="306" w:lineRule="auto"/>
        <w:tabs>
          <w:tab w:leader="none" w:pos="990"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Sale of Specified Assets</w:t>
      </w:r>
      <w:r>
        <w:rPr>
          <w:rFonts w:ascii="Arial" w:cs="Arial" w:eastAsia="Arial" w:hAnsi="Arial"/>
          <w:sz w:val="19"/>
          <w:szCs w:val="19"/>
          <w:color w:val="auto"/>
        </w:rPr>
        <w:t>. Effective as of 12:01 a.m. on [], 2012 Eastern time, the Plan Trustee hereby does assign, transfer and deliver (“</w:t>
      </w:r>
      <w:r>
        <w:rPr>
          <w:rFonts w:ascii="Arial" w:cs="Arial" w:eastAsia="Arial" w:hAnsi="Arial"/>
          <w:sz w:val="19"/>
          <w:szCs w:val="19"/>
          <w:u w:val="single" w:color="auto"/>
          <w:color w:val="auto"/>
        </w:rPr>
        <w:t>Transfer</w:t>
      </w:r>
      <w:r>
        <w:rPr>
          <w:rFonts w:ascii="Arial" w:cs="Arial" w:eastAsia="Arial" w:hAnsi="Arial"/>
          <w:sz w:val="19"/>
          <w:szCs w:val="19"/>
          <w:color w:val="auto"/>
        </w:rPr>
        <w:t>”), on behalf of the Plan, to the Insurer and its successors and permitted assigns all rights, title and</w:t>
      </w:r>
    </w:p>
    <w:p>
      <w:pPr>
        <w:spacing w:after="0" w:line="1" w:lineRule="exact"/>
        <w:rPr>
          <w:sz w:val="20"/>
          <w:szCs w:val="20"/>
          <w:color w:val="auto"/>
        </w:rPr>
      </w:pPr>
    </w:p>
    <w:p>
      <w:pPr>
        <w:ind w:right="520"/>
        <w:spacing w:after="0" w:line="278" w:lineRule="auto"/>
        <w:rPr>
          <w:sz w:val="20"/>
          <w:szCs w:val="20"/>
          <w:color w:val="auto"/>
        </w:rPr>
      </w:pPr>
      <w:r>
        <w:rPr>
          <w:rFonts w:ascii="Arial" w:cs="Arial" w:eastAsia="Arial" w:hAnsi="Arial"/>
          <w:sz w:val="22"/>
          <w:szCs w:val="22"/>
          <w:color w:val="auto"/>
        </w:rPr>
        <w:t xml:space="preserve">interests of the Plan Trust, in and to each of the securities set forth on Schedule 1 hereto Schedule 1 is the Transferred Asset Schedule, [ *** </w:t>
      </w:r>
      <w:r>
        <w:rPr>
          <w:rFonts w:ascii="Arial" w:cs="Arial" w:eastAsia="Arial" w:hAnsi="Arial"/>
          <w:sz w:val="23"/>
          <w:szCs w:val="23"/>
          <w:color w:val="auto"/>
        </w:rPr>
        <w:t>]</w:t>
      </w:r>
      <w:r>
        <w:rPr>
          <w:rFonts w:ascii="Arial" w:cs="Arial" w:eastAsia="Arial" w:hAnsi="Arial"/>
          <w:sz w:val="22"/>
          <w:szCs w:val="22"/>
          <w:color w:val="auto"/>
        </w:rPr>
        <w:t xml:space="preserve"> (collectively, the “</w:t>
      </w:r>
      <w:r>
        <w:rPr>
          <w:rFonts w:ascii="Arial" w:cs="Arial" w:eastAsia="Arial" w:hAnsi="Arial"/>
          <w:sz w:val="22"/>
          <w:szCs w:val="22"/>
          <w:u w:val="single" w:color="auto"/>
          <w:color w:val="auto"/>
        </w:rPr>
        <w:t>Specified Assets</w:t>
      </w:r>
      <w:r>
        <w:rPr>
          <w:rFonts w:ascii="Arial" w:cs="Arial" w:eastAsia="Arial" w:hAnsi="Arial"/>
          <w:sz w:val="22"/>
          <w:szCs w:val="22"/>
          <w:color w:val="auto"/>
        </w:rPr>
        <w:t>”) in accordance with Section 2.</w:t>
      </w:r>
    </w:p>
    <w:p>
      <w:pPr>
        <w:spacing w:after="0" w:line="382" w:lineRule="exact"/>
        <w:rPr>
          <w:sz w:val="20"/>
          <w:szCs w:val="20"/>
          <w:color w:val="auto"/>
        </w:rPr>
      </w:pPr>
    </w:p>
    <w:p>
      <w:pPr>
        <w:ind w:right="20" w:firstLine="656"/>
        <w:spacing w:after="0" w:line="276" w:lineRule="auto"/>
        <w:tabs>
          <w:tab w:leader="none" w:pos="990"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Separate Account</w:t>
      </w:r>
      <w:r>
        <w:rPr>
          <w:rFonts w:ascii="Arial" w:cs="Arial" w:eastAsia="Arial" w:hAnsi="Arial"/>
          <w:sz w:val="22"/>
          <w:szCs w:val="22"/>
          <w:color w:val="auto"/>
        </w:rPr>
        <w:t>. The Transfer of the Specified Assets as described in Section 1 shall be effected by the Transfer of the Specified Assets from the Plan to the Guaranteed Separate Account.</w:t>
      </w:r>
    </w:p>
    <w:p>
      <w:pPr>
        <w:spacing w:after="0" w:line="377" w:lineRule="exact"/>
        <w:rPr>
          <w:rFonts w:ascii="Arial" w:cs="Arial" w:eastAsia="Arial" w:hAnsi="Arial"/>
          <w:sz w:val="22"/>
          <w:szCs w:val="22"/>
          <w:color w:val="auto"/>
        </w:rPr>
      </w:pPr>
    </w:p>
    <w:p>
      <w:pPr>
        <w:ind w:right="520" w:firstLine="656"/>
        <w:spacing w:after="0" w:line="276" w:lineRule="auto"/>
        <w:tabs>
          <w:tab w:leader="none" w:pos="990"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Assumption of Liabilities</w:t>
      </w:r>
      <w:r>
        <w:rPr>
          <w:rFonts w:ascii="Arial" w:cs="Arial" w:eastAsia="Arial" w:hAnsi="Arial"/>
          <w:sz w:val="22"/>
          <w:szCs w:val="22"/>
          <w:color w:val="auto"/>
        </w:rPr>
        <w:t>. Effective as of 12:01 a.m. on [], 2012 Eastern time, the Insurer shall assume any and all Transferred Liabilities relating to the ownership of any Transferred Asset.</w:t>
      </w:r>
    </w:p>
    <w:p>
      <w:pPr>
        <w:spacing w:after="0" w:line="377" w:lineRule="exact"/>
        <w:rPr>
          <w:rFonts w:ascii="Arial" w:cs="Arial" w:eastAsia="Arial" w:hAnsi="Arial"/>
          <w:sz w:val="22"/>
          <w:szCs w:val="22"/>
          <w:color w:val="auto"/>
        </w:rPr>
      </w:pPr>
    </w:p>
    <w:p>
      <w:pPr>
        <w:ind w:right="260" w:firstLine="656"/>
        <w:spacing w:after="0" w:line="260" w:lineRule="auto"/>
        <w:tabs>
          <w:tab w:leader="none" w:pos="990"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Additional Actions</w:t>
      </w:r>
      <w:r>
        <w:rPr>
          <w:rFonts w:ascii="Arial" w:cs="Arial" w:eastAsia="Arial" w:hAnsi="Arial"/>
          <w:sz w:val="22"/>
          <w:szCs w:val="22"/>
          <w:color w:val="auto"/>
        </w:rPr>
        <w:t>. The Plan Trustee shall promptly give all notices that are required, under applicable Law and the terms of each Specified Asset, in connection with the sale, assignment and transfer of the Specified Assets. The Plan Trustee and the Insurer shall promptly execute, deliver, record</w:t>
      </w:r>
    </w:p>
    <w:p>
      <w:pPr>
        <w:sectPr>
          <w:pgSz w:w="11900" w:h="16838" w:orient="portrait"/>
          <w:cols w:equalWidth="0" w:num="1">
            <w:col w:w="11400"/>
          </w:cols>
          <w:pgMar w:left="240" w:top="801"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Appendix 2.1-B - 1</w:t>
      </w:r>
    </w:p>
    <w:p>
      <w:pPr>
        <w:sectPr>
          <w:pgSz w:w="11900" w:h="16838" w:orient="portrait"/>
          <w:cols w:equalWidth="0" w:num="1">
            <w:col w:w="11400"/>
          </w:cols>
          <w:pgMar w:left="240" w:top="801" w:right="259" w:bottom="1440" w:gutter="0" w:footer="0" w:header="0"/>
          <w:type w:val="continuous"/>
        </w:sectPr>
      </w:pPr>
    </w:p>
    <w:bookmarkStart w:id="243" w:name="page244"/>
    <w:bookmarkEnd w:id="243"/>
    <w:p>
      <w:pPr>
        <w:ind w:right="100"/>
        <w:spacing w:after="0" w:line="263" w:lineRule="auto"/>
        <w:rPr>
          <w:sz w:val="20"/>
          <w:szCs w:val="20"/>
          <w:color w:val="auto"/>
        </w:rPr>
      </w:pPr>
      <w:r>
        <w:rPr>
          <w:rFonts w:ascii="Arial" w:cs="Arial" w:eastAsia="Arial" w:hAnsi="Arial"/>
          <w:sz w:val="22"/>
          <w:szCs w:val="22"/>
          <w:color w:val="auto"/>
        </w:rPr>
        <w:t>or file any and all releases, affidavits, waivers, notices or other documents that any other party hereto may reasonably request in order to implement the Transfer of the Specified Assets to the Insurer.</w:t>
      </w:r>
    </w:p>
    <w:p>
      <w:pPr>
        <w:spacing w:after="0" w:line="391" w:lineRule="exact"/>
        <w:rPr>
          <w:sz w:val="20"/>
          <w:szCs w:val="20"/>
          <w:color w:val="auto"/>
        </w:rPr>
      </w:pPr>
    </w:p>
    <w:p>
      <w:pPr>
        <w:ind w:right="100" w:firstLine="656"/>
        <w:spacing w:after="0" w:line="276" w:lineRule="auto"/>
        <w:tabs>
          <w:tab w:leader="none" w:pos="990"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Sections 11.2, 11.3, 11.4, 11.6, 11.7, 11.8, 11.9, 11.10, 11.11 and 11.12 of the DTFA are incorporated hereby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377" w:lineRule="exact"/>
        <w:rPr>
          <w:rFonts w:ascii="Arial" w:cs="Arial" w:eastAsia="Arial" w:hAnsi="Arial"/>
          <w:sz w:val="22"/>
          <w:szCs w:val="22"/>
          <w:color w:val="auto"/>
        </w:rPr>
      </w:pPr>
    </w:p>
    <w:p>
      <w:pPr>
        <w:ind w:firstLine="656"/>
        <w:spacing w:after="0" w:line="301" w:lineRule="auto"/>
        <w:tabs>
          <w:tab w:leader="none" w:pos="990" w:val="left"/>
        </w:tabs>
        <w:numPr>
          <w:ilvl w:val="0"/>
          <w:numId w:val="219"/>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Article and Section headings used herein are for convenience and reference only, are not part of this Bill of Sale and shall not affect the construction of, or be taken into consideration in interpreting, this Bill of Sale.</w:t>
      </w:r>
    </w:p>
    <w:p>
      <w:pPr>
        <w:spacing w:after="0" w:line="353"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Appendix 2.1-B - 2</w:t>
      </w:r>
    </w:p>
    <w:p>
      <w:pPr>
        <w:sectPr>
          <w:pgSz w:w="11900" w:h="16838" w:orient="portrait"/>
          <w:cols w:equalWidth="0" w:num="1">
            <w:col w:w="11160"/>
          </w:cols>
          <w:pgMar w:left="240" w:top="807" w:right="499" w:bottom="1440" w:gutter="0" w:footer="0" w:header="0"/>
        </w:sectPr>
      </w:pPr>
    </w:p>
    <w:bookmarkStart w:id="244" w:name="page245"/>
    <w:bookmarkEnd w:id="244"/>
    <w:p>
      <w:pPr>
        <w:spacing w:after="0"/>
        <w:rPr>
          <w:sz w:val="20"/>
          <w:szCs w:val="20"/>
          <w:color w:val="auto"/>
        </w:rPr>
      </w:pPr>
      <w:r>
        <w:rPr>
          <w:rFonts w:ascii="Arial" w:cs="Arial" w:eastAsia="Arial" w:hAnsi="Arial"/>
          <w:sz w:val="19"/>
          <w:szCs w:val="19"/>
          <w:color w:val="auto"/>
        </w:rPr>
        <w:t>IN WITNESS WHEREOF, the parties have executed this Bill of Sale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State Street Bank and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The Prudential Insurance Company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559"/>
          </w:cols>
          <w:pgMar w:left="900" w:top="807" w:right="1440"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16"/>
          <w:szCs w:val="16"/>
          <w:color w:val="auto"/>
        </w:rPr>
        <w:t>Appendix 2.1-B - 3</w:t>
      </w:r>
    </w:p>
    <w:p>
      <w:pPr>
        <w:sectPr>
          <w:pgSz w:w="11900" w:h="16838" w:orient="portrait"/>
          <w:cols w:equalWidth="0" w:num="1">
            <w:col w:w="9019"/>
          </w:cols>
          <w:pgMar w:left="1440" w:top="801" w:right="1440" w:bottom="1440" w:gutter="0" w:footer="0" w:header="0"/>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21"/>
          <w:szCs w:val="21"/>
          <w:color w:val="auto"/>
        </w:rPr>
        <w:t>Schedule 1 is the Transferred Asset Schedule, [ ***</w:t>
      </w:r>
      <w:r>
        <w:rPr>
          <w:rFonts w:ascii="Arial" w:cs="Arial" w:eastAsia="Arial" w:hAnsi="Arial"/>
          <w:sz w:val="18"/>
          <w:szCs w:val="18"/>
          <w:color w:val="auto"/>
        </w:rPr>
        <w:t xml:space="preserve"> </w:t>
      </w:r>
      <w:r>
        <w:rPr>
          <w:rFonts w:ascii="Arial" w:cs="Arial" w:eastAsia="Arial" w:hAnsi="Arial"/>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3799"/>
        <w:spacing w:after="0"/>
        <w:rPr>
          <w:sz w:val="20"/>
          <w:szCs w:val="20"/>
          <w:color w:val="auto"/>
        </w:rPr>
      </w:pPr>
      <w:r>
        <w:rPr>
          <w:rFonts w:ascii="Arial" w:cs="Arial" w:eastAsia="Arial" w:hAnsi="Arial"/>
          <w:sz w:val="18"/>
          <w:szCs w:val="18"/>
          <w:color w:val="auto"/>
        </w:rPr>
        <w:t>Appendix 2.1-B - 4</w:t>
      </w:r>
    </w:p>
    <w:p>
      <w:pPr>
        <w:sectPr>
          <w:pgSz w:w="11900" w:h="16838" w:orient="portrait"/>
          <w:cols w:equalWidth="0" w:num="1">
            <w:col w:w="10219"/>
          </w:cols>
          <w:pgMar w:left="240" w:top="1440" w:right="1440"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22"/>
          <w:szCs w:val="22"/>
          <w:b w:val="1"/>
          <w:bCs w:val="1"/>
          <w:u w:val="single" w:color="auto"/>
          <w:color w:val="auto"/>
        </w:rPr>
        <w:t>Appendix 2.6</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ASSET VALUATION FORMULAS AND METHODS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Public Bonds</w:t>
      </w:r>
    </w:p>
    <w:p>
      <w:pPr>
        <w:spacing w:after="0" w:line="200" w:lineRule="exact"/>
        <w:rPr>
          <w:sz w:val="20"/>
          <w:szCs w:val="20"/>
          <w:color w:val="auto"/>
        </w:rPr>
      </w:pPr>
    </w:p>
    <w:p>
      <w:pPr>
        <w:spacing w:after="0" w:line="236" w:lineRule="exact"/>
        <w:rPr>
          <w:sz w:val="20"/>
          <w:szCs w:val="20"/>
          <w:color w:val="auto"/>
        </w:rPr>
      </w:pPr>
    </w:p>
    <w:p>
      <w:pPr>
        <w:ind w:right="100"/>
        <w:spacing w:after="0" w:line="271" w:lineRule="auto"/>
        <w:rPr>
          <w:sz w:val="20"/>
          <w:szCs w:val="20"/>
          <w:color w:val="auto"/>
        </w:rPr>
      </w:pPr>
      <w:r>
        <w:rPr>
          <w:rFonts w:ascii="Arial" w:cs="Arial" w:eastAsia="Arial" w:hAnsi="Arial"/>
          <w:sz w:val="21"/>
          <w:szCs w:val="21"/>
          <w:color w:val="auto"/>
        </w:rPr>
        <w:t xml:space="preserve">The Plan Investment Fiduciary will provide the value for each Public Bond, as of any date, in an amount equal to the fair market value as of such date of such Public Bond as indicated (i) by the primary pricing source set forth in Table 1 below that corresponds to the applicable asset class of such Public Bond, (ii) if such primary pricing source is not available or no fair market value is indicated by such primary pricing source for such Public Bond, by the secondary pricing source set forth in Table 1 below that corresponds to the applicable asset class of such Public Bond or (iii) if neither such primary nor secondary pricing source is available or no fair market value is indicated by either such source for such Public Bond, by the tertiary pricing source, if any, set forth in Table 1 below that corresponds to the applicable asset class of such Public Bond. For any pricing source, the mean price of the bid and offer quotations, or if such quotations are not provided by the pricing source, the mean price (as applicable, the “Mean Price”), as [ *** </w:t>
      </w:r>
      <w:r>
        <w:rPr>
          <w:rFonts w:ascii="Arial" w:cs="Arial" w:eastAsia="Arial" w:hAnsi="Arial"/>
          <w:sz w:val="22"/>
          <w:szCs w:val="22"/>
          <w:color w:val="auto"/>
        </w:rPr>
        <w:t>]</w:t>
      </w:r>
      <w:r>
        <w:rPr>
          <w:rFonts w:ascii="Arial" w:cs="Arial" w:eastAsia="Arial" w:hAnsi="Arial"/>
          <w:sz w:val="21"/>
          <w:szCs w:val="21"/>
          <w:color w:val="auto"/>
        </w:rPr>
        <w:t xml:space="preserve"> shall be used.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Table 1</w:t>
      </w:r>
    </w:p>
    <w:p>
      <w:pPr>
        <w:spacing w:after="0" w:line="343" w:lineRule="exact"/>
        <w:rPr>
          <w:sz w:val="20"/>
          <w:szCs w:val="20"/>
          <w:color w:val="auto"/>
        </w:rPr>
      </w:pPr>
    </w:p>
    <w:tbl>
      <w:tblPr>
        <w:tblLayout w:type="fixed"/>
        <w:tblInd w:w="470" w:type="dxa"/>
        <w:tblCellMar>
          <w:top w:w="0" w:type="dxa"/>
          <w:left w:w="0" w:type="dxa"/>
          <w:bottom w:w="0" w:type="dxa"/>
          <w:right w:w="0" w:type="dxa"/>
        </w:tblCellMar>
      </w:tblPr>
      <w:tr>
        <w:trPr>
          <w:trHeight w:val="257"/>
        </w:trPr>
        <w:tc>
          <w:tcPr>
            <w:tcW w:w="26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Asset Class</w:t>
            </w:r>
          </w:p>
        </w:tc>
        <w:tc>
          <w:tcPr>
            <w:tcW w:w="2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Pricing Source</w:t>
            </w:r>
          </w:p>
        </w:tc>
        <w:tc>
          <w:tcPr>
            <w:tcW w:w="2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Secondary Pricing Source</w:t>
            </w:r>
          </w:p>
        </w:tc>
        <w:tc>
          <w:tcPr>
            <w:tcW w:w="26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Tertiary Pricing Source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Treasuries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Agencies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Agency MBS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IG Corp</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HY</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 xml:space="preserve">If with respect to any Public Bond, as of any date, none of the primary pricing source, the secondary pricing source or the tertiary pricing source (if any) set forth in Table 1 above that corresponds to the applicable asset class of such Public Bond are available as of such date or no fair market value is indicated by any such source as of such date[ *** </w:t>
      </w:r>
      <w:r>
        <w:rPr>
          <w:rFonts w:ascii="Arial" w:cs="Arial" w:eastAsia="Arial" w:hAnsi="Arial"/>
          <w:sz w:val="23"/>
          <w:szCs w:val="23"/>
          <w:color w:val="auto"/>
        </w:rPr>
        <w:t>]</w:t>
      </w:r>
      <w:r>
        <w:rPr>
          <w:rFonts w:ascii="Arial" w:cs="Arial" w:eastAsia="Arial" w:hAnsi="Arial"/>
          <w:sz w:val="22"/>
          <w:szCs w:val="22"/>
          <w:color w:val="auto"/>
        </w:rPr>
        <w:t xml:space="preserve"> by each of three brokers set forth in Table 2 below that correspond to the applicable asset class of such Public Bond;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 *** </w:t>
      </w:r>
      <w:r>
        <w:rPr>
          <w:rFonts w:ascii="Arial" w:cs="Arial" w:eastAsia="Arial" w:hAnsi="Arial"/>
          <w:sz w:val="23"/>
          <w:szCs w:val="23"/>
          <w:color w:val="auto"/>
        </w:rPr>
        <w:t>]</w:t>
      </w:r>
      <w:r>
        <w:rPr>
          <w:rFonts w:ascii="Arial" w:cs="Arial" w:eastAsia="Arial" w:hAnsi="Arial"/>
          <w:sz w:val="22"/>
          <w:szCs w:val="22"/>
          <w:color w:val="auto"/>
        </w:rPr>
        <w:t xml:space="preserve"> will provide the value for each [ *** </w:t>
      </w:r>
      <w:r>
        <w:rPr>
          <w:rFonts w:ascii="Arial" w:cs="Arial" w:eastAsia="Arial" w:hAnsi="Arial"/>
          <w:sz w:val="23"/>
          <w:szCs w:val="23"/>
          <w:color w:val="auto"/>
        </w:rPr>
        <w:t>]</w:t>
      </w:r>
      <w:r>
        <w:rPr>
          <w:rFonts w:ascii="Arial" w:cs="Arial" w:eastAsia="Arial" w:hAnsi="Arial"/>
          <w:sz w:val="22"/>
          <w:szCs w:val="22"/>
          <w:color w:val="auto"/>
        </w:rPr>
        <w:t xml:space="preserve"> by such brokers.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Table 2</w:t>
      </w:r>
    </w:p>
    <w:p>
      <w:pPr>
        <w:spacing w:after="0" w:line="343" w:lineRule="exact"/>
        <w:rPr>
          <w:sz w:val="20"/>
          <w:szCs w:val="20"/>
          <w:color w:val="auto"/>
        </w:rPr>
      </w:pPr>
    </w:p>
    <w:tbl>
      <w:tblPr>
        <w:tblLayout w:type="fixed"/>
        <w:tblInd w:w="470" w:type="dxa"/>
        <w:tblCellMar>
          <w:top w:w="0" w:type="dxa"/>
          <w:left w:w="0" w:type="dxa"/>
          <w:bottom w:w="0" w:type="dxa"/>
          <w:right w:w="0" w:type="dxa"/>
        </w:tblCellMar>
      </w:tblPr>
      <w:tr>
        <w:trPr>
          <w:trHeight w:val="257"/>
        </w:trPr>
        <w:tc>
          <w:tcPr>
            <w:tcW w:w="26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Asset Class</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Brokers</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Treasuries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Agencies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Agency MBS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IG Corp</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93"/>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HY</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2.6 - 1</w:t>
      </w:r>
    </w:p>
    <w:p>
      <w:pPr>
        <w:sectPr>
          <w:pgSz w:w="11900" w:h="16838" w:orient="portrait"/>
          <w:cols w:equalWidth="0" w:num="1">
            <w:col w:w="11420"/>
          </w:cols>
          <w:pgMar w:left="240" w:top="801" w:right="239" w:bottom="1440" w:gutter="0" w:footer="0" w:header="0"/>
        </w:sectPr>
      </w:pPr>
    </w:p>
    <w:bookmarkStart w:id="248" w:name="page249"/>
    <w:bookmarkEnd w:id="248"/>
    <w:p>
      <w:pPr>
        <w:spacing w:after="0"/>
        <w:rPr>
          <w:sz w:val="20"/>
          <w:szCs w:val="20"/>
          <w:color w:val="auto"/>
        </w:rPr>
      </w:pPr>
      <w:r>
        <w:rPr>
          <w:rFonts w:ascii="Arial" w:cs="Arial" w:eastAsia="Arial" w:hAnsi="Arial"/>
          <w:sz w:val="20"/>
          <w:szCs w:val="20"/>
          <w:color w:val="auto"/>
        </w:rPr>
        <w:t xml:space="preserve">If, with respect to any Public Bond as of the date of the Preliminary Pre-Closing Asset Valuation or the Closing Date (i) [ *** </w:t>
      </w:r>
      <w:r>
        <w:rPr>
          <w:rFonts w:ascii="Arial" w:cs="Arial" w:eastAsia="Arial" w:hAnsi="Arial"/>
          <w:sz w:val="21"/>
          <w:szCs w:val="21"/>
          <w:color w:val="auto"/>
        </w:rPr>
        <w:t>]</w:t>
      </w:r>
      <w:r>
        <w:rPr>
          <w:rFonts w:ascii="Arial" w:cs="Arial" w:eastAsia="Arial" w:hAnsi="Arial"/>
          <w:sz w:val="20"/>
          <w:szCs w:val="20"/>
          <w:color w:val="auto"/>
        </w:rPr>
        <w:t xml:space="preserve"> (ii)</w:t>
      </w:r>
    </w:p>
    <w:p>
      <w:pPr>
        <w:spacing w:after="0" w:line="49" w:lineRule="exact"/>
        <w:rPr>
          <w:sz w:val="20"/>
          <w:szCs w:val="20"/>
          <w:color w:val="auto"/>
        </w:rPr>
      </w:pPr>
    </w:p>
    <w:p>
      <w:pPr>
        <w:ind w:left="140" w:hanging="132"/>
        <w:spacing w:after="0"/>
        <w:tabs>
          <w:tab w:leader="none" w:pos="14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r>
        <w:rPr>
          <w:rFonts w:ascii="Arial" w:cs="Arial" w:eastAsia="Arial" w:hAnsi="Arial"/>
          <w:sz w:val="22"/>
          <w:szCs w:val="22"/>
          <w:color w:val="auto"/>
        </w:rPr>
        <w:t xml:space="preserve"> then such Public Bond shall be [ *** </w:t>
      </w:r>
      <w:r>
        <w:rPr>
          <w:rFonts w:ascii="Arial" w:cs="Arial" w:eastAsia="Arial" w:hAnsi="Arial"/>
          <w:sz w:val="23"/>
          <w:szCs w:val="23"/>
          <w:color w:val="auto"/>
        </w:rPr>
        <w: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140" w:hanging="132"/>
        <w:spacing w:after="0"/>
        <w:tabs>
          <w:tab w:leader="none" w:pos="14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ind w:right="40"/>
        <w:spacing w:after="0" w:line="276" w:lineRule="auto"/>
        <w:rPr>
          <w:sz w:val="20"/>
          <w:szCs w:val="20"/>
          <w:color w:val="auto"/>
        </w:rPr>
      </w:pPr>
      <w:r>
        <w:rPr>
          <w:rFonts w:ascii="Arial" w:cs="Arial" w:eastAsia="Arial" w:hAnsi="Arial"/>
          <w:sz w:val="22"/>
          <w:szCs w:val="22"/>
          <w:color w:val="auto"/>
        </w:rPr>
        <w:t xml:space="preserve">The Plan Investment Fiduciary will provide the value for each [ *** </w:t>
      </w:r>
      <w:r>
        <w:rPr>
          <w:rFonts w:ascii="Arial" w:cs="Arial" w:eastAsia="Arial" w:hAnsi="Arial"/>
          <w:sz w:val="23"/>
          <w:szCs w:val="23"/>
          <w:color w:val="auto"/>
        </w:rPr>
        <w:t>]</w:t>
      </w:r>
      <w:r>
        <w:rPr>
          <w:rFonts w:ascii="Arial" w:cs="Arial" w:eastAsia="Arial" w:hAnsi="Arial"/>
          <w:sz w:val="22"/>
          <w:szCs w:val="22"/>
          <w:color w:val="auto"/>
        </w:rPr>
        <w:t xml:space="preserve"> as of any date, in an amount equal to the fair market value of such [ *** </w:t>
      </w:r>
      <w:r>
        <w:rPr>
          <w:rFonts w:ascii="Arial" w:cs="Arial" w:eastAsia="Arial" w:hAnsi="Arial"/>
          <w:sz w:val="23"/>
          <w:szCs w:val="23"/>
          <w:color w:val="auto"/>
        </w:rPr>
        <w:t>]</w:t>
      </w:r>
      <w:r>
        <w:rPr>
          <w:rFonts w:ascii="Arial" w:cs="Arial" w:eastAsia="Arial" w:hAnsi="Arial"/>
          <w:sz w:val="22"/>
          <w:szCs w:val="22"/>
          <w:color w:val="auto"/>
        </w:rPr>
        <w:t xml:space="preserve"> as of the close of Business on the date [ *** </w:t>
      </w:r>
      <w:r>
        <w:rPr>
          <w:rFonts w:ascii="Arial" w:cs="Arial" w:eastAsia="Arial" w:hAnsi="Arial"/>
          <w:sz w:val="23"/>
          <w:szCs w:val="23"/>
          <w:color w:val="auto"/>
        </w:rPr>
        <w:t>]</w:t>
      </w:r>
      <w:r>
        <w:rPr>
          <w:rFonts w:ascii="Arial" w:cs="Arial" w:eastAsia="Arial" w:hAnsi="Arial"/>
          <w:sz w:val="22"/>
          <w:szCs w:val="22"/>
          <w:color w:val="auto"/>
        </w:rPr>
        <w:t xml:space="preserve"> as indicated [ *** </w:t>
      </w:r>
      <w:r>
        <w:rPr>
          <w:rFonts w:ascii="Arial" w:cs="Arial" w:eastAsia="Arial" w:hAnsi="Arial"/>
          <w:sz w:val="23"/>
          <w:szCs w:val="23"/>
          <w:color w:val="auto"/>
        </w:rPr>
        <w:t>]</w:t>
      </w:r>
      <w:r>
        <w:rPr>
          <w:rFonts w:ascii="Arial" w:cs="Arial" w:eastAsia="Arial" w:hAnsi="Arial"/>
          <w:sz w:val="22"/>
          <w:szCs w:val="22"/>
          <w:color w:val="auto"/>
        </w:rPr>
        <w:t xml:space="preserve"> (ii) [ *** </w:t>
      </w:r>
      <w:r>
        <w:rPr>
          <w:rFonts w:ascii="Arial" w:cs="Arial" w:eastAsia="Arial" w:hAnsi="Arial"/>
          <w:sz w:val="23"/>
          <w:szCs w:val="23"/>
          <w:color w:val="auto"/>
        </w:rPr>
        <w:t>]</w:t>
      </w:r>
    </w:p>
    <w:p>
      <w:pPr>
        <w:spacing w:after="0" w:line="364" w:lineRule="exact"/>
        <w:rPr>
          <w:sz w:val="20"/>
          <w:szCs w:val="20"/>
          <w:color w:val="auto"/>
        </w:rPr>
      </w:pPr>
    </w:p>
    <w:p>
      <w:pPr>
        <w:ind w:right="40"/>
        <w:spacing w:after="0" w:line="291" w:lineRule="auto"/>
        <w:rPr>
          <w:sz w:val="20"/>
          <w:szCs w:val="20"/>
          <w:color w:val="auto"/>
        </w:rPr>
      </w:pPr>
      <w:r>
        <w:rPr>
          <w:rFonts w:ascii="Arial" w:cs="Arial" w:eastAsia="Arial" w:hAnsi="Arial"/>
          <w:sz w:val="20"/>
          <w:szCs w:val="20"/>
          <w:color w:val="auto"/>
        </w:rPr>
        <w:t xml:space="preserve">If with respect to any [ *** </w:t>
      </w:r>
      <w:r>
        <w:rPr>
          <w:rFonts w:ascii="Arial" w:cs="Arial" w:eastAsia="Arial" w:hAnsi="Arial"/>
          <w:sz w:val="21"/>
          <w:szCs w:val="21"/>
          <w:color w:val="auto"/>
        </w:rPr>
        <w:t>]</w:t>
      </w:r>
      <w:r>
        <w:rPr>
          <w:rFonts w:ascii="Arial" w:cs="Arial" w:eastAsia="Arial" w:hAnsi="Arial"/>
          <w:sz w:val="20"/>
          <w:szCs w:val="20"/>
          <w:color w:val="auto"/>
        </w:rPr>
        <w:t xml:space="preserve"> as of any date, neither [ *** </w:t>
      </w:r>
      <w:r>
        <w:rPr>
          <w:rFonts w:ascii="Arial" w:cs="Arial" w:eastAsia="Arial" w:hAnsi="Arial"/>
          <w:sz w:val="21"/>
          <w:szCs w:val="21"/>
          <w:color w:val="auto"/>
        </w:rPr>
        <w:t>]</w:t>
      </w:r>
      <w:r>
        <w:rPr>
          <w:rFonts w:ascii="Arial" w:cs="Arial" w:eastAsia="Arial" w:hAnsi="Arial"/>
          <w:sz w:val="20"/>
          <w:szCs w:val="20"/>
          <w:color w:val="auto"/>
        </w:rPr>
        <w:t xml:space="preserve"> are available as of the close of Business on the date prior to the date of determination or no fair market value is indicated by any such source as of that date, then the Plan Investment Fiduciary will provide the value for such [ *** </w:t>
      </w:r>
      <w:r>
        <w:rPr>
          <w:rFonts w:ascii="Arial" w:cs="Arial" w:eastAsia="Arial" w:hAnsi="Arial"/>
          <w:sz w:val="21"/>
          <w:szCs w:val="21"/>
          <w:color w:val="auto"/>
        </w:rPr>
        <w:t>]</w:t>
      </w:r>
      <w:r>
        <w:rPr>
          <w:rFonts w:ascii="Arial" w:cs="Arial" w:eastAsia="Arial" w:hAnsi="Arial"/>
          <w:sz w:val="20"/>
          <w:szCs w:val="20"/>
          <w:color w:val="auto"/>
        </w:rPr>
        <w:t xml:space="preserve"> in an amount equal to the mean of the bid and offer quotations as of the close of Business [ ***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 ***</w:t>
      </w:r>
      <w:r>
        <w:rPr>
          <w:rFonts w:ascii="Arial" w:cs="Arial" w:eastAsia="Arial" w:hAnsi="Arial"/>
          <w:sz w:val="20"/>
          <w:szCs w:val="20"/>
          <w:i w:val="1"/>
          <w:iCs w:val="1"/>
          <w:color w:val="auto"/>
        </w:rPr>
        <w:t xml:space="preserve"> </w:t>
      </w:r>
      <w:r>
        <w:rPr>
          <w:rFonts w:ascii="Arial" w:cs="Arial" w:eastAsia="Arial" w:hAnsi="Arial"/>
          <w:sz w:val="21"/>
          <w:szCs w:val="2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will provide the value for such [ ***</w:t>
      </w:r>
      <w:r>
        <w:rPr>
          <w:rFonts w:ascii="Arial" w:cs="Arial" w:eastAsia="Arial" w:hAnsi="Arial"/>
          <w:sz w:val="20"/>
          <w:szCs w:val="20"/>
          <w:i w:val="1"/>
          <w:iCs w:val="1"/>
          <w:color w:val="auto"/>
        </w:rPr>
        <w:t xml:space="preserve"> </w:t>
      </w:r>
      <w:r>
        <w:rPr>
          <w:rFonts w:ascii="Arial" w:cs="Arial" w:eastAsia="Arial" w:hAnsi="Arial"/>
          <w:sz w:val="21"/>
          <w:szCs w:val="2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in an amount equal to the mean of the bid and offer quotations [ ***</w:t>
      </w:r>
      <w:r>
        <w:rPr>
          <w:rFonts w:ascii="Arial" w:cs="Arial" w:eastAsia="Arial" w:hAnsi="Arial"/>
          <w:sz w:val="20"/>
          <w:szCs w:val="20"/>
          <w:i w:val="1"/>
          <w:iCs w:val="1"/>
          <w:color w:val="auto"/>
        </w:rPr>
        <w:t xml:space="preserve"> </w:t>
      </w:r>
      <w:r>
        <w:rPr>
          <w:rFonts w:ascii="Arial" w:cs="Arial" w:eastAsia="Arial" w:hAnsi="Arial"/>
          <w:sz w:val="21"/>
          <w:szCs w:val="21"/>
          <w:color w:val="auto"/>
        </w:rPr>
        <w:t>]</w:t>
      </w:r>
    </w:p>
    <w:p>
      <w:pPr>
        <w:spacing w:after="0" w:line="355" w:lineRule="exact"/>
        <w:rPr>
          <w:sz w:val="20"/>
          <w:szCs w:val="20"/>
          <w:color w:val="auto"/>
        </w:rPr>
      </w:pPr>
    </w:p>
    <w:p>
      <w:pPr>
        <w:spacing w:after="0" w:line="260" w:lineRule="auto"/>
        <w:rPr>
          <w:sz w:val="20"/>
          <w:szCs w:val="20"/>
          <w:color w:val="auto"/>
        </w:rPr>
      </w:pPr>
      <w:r>
        <w:rPr>
          <w:rFonts w:ascii="Arial" w:cs="Arial" w:eastAsia="Arial" w:hAnsi="Arial"/>
          <w:sz w:val="22"/>
          <w:szCs w:val="22"/>
          <w:color w:val="auto"/>
        </w:rPr>
        <w:t xml:space="preserve">If, with respect to any [ *** </w:t>
      </w:r>
      <w:r>
        <w:rPr>
          <w:rFonts w:ascii="Arial" w:cs="Arial" w:eastAsia="Arial" w:hAnsi="Arial"/>
          <w:sz w:val="23"/>
          <w:szCs w:val="23"/>
          <w:color w:val="auto"/>
        </w:rPr>
        <w:t>]</w:t>
      </w:r>
      <w:r>
        <w:rPr>
          <w:rFonts w:ascii="Arial" w:cs="Arial" w:eastAsia="Arial" w:hAnsi="Arial"/>
          <w:sz w:val="22"/>
          <w:szCs w:val="22"/>
          <w:color w:val="auto"/>
        </w:rPr>
        <w:t xml:space="preserve"> as of the date of the Preliminary Pre-Closing Asset Valuation or the Closing Date (i) [ *** </w:t>
      </w:r>
      <w:r>
        <w:rPr>
          <w:rFonts w:ascii="Arial" w:cs="Arial" w:eastAsia="Arial" w:hAnsi="Arial"/>
          <w:sz w:val="23"/>
          <w:szCs w:val="23"/>
          <w:color w:val="auto"/>
        </w:rPr>
        <w:t>]</w:t>
      </w:r>
      <w:r>
        <w:rPr>
          <w:rFonts w:ascii="Arial" w:cs="Arial" w:eastAsia="Arial" w:hAnsi="Arial"/>
          <w:sz w:val="22"/>
          <w:szCs w:val="22"/>
          <w:color w:val="auto"/>
        </w:rPr>
        <w:t xml:space="preserve"> or no fair market value is indicated by any such source as of that date and (ii) quotations are provided for a [ *** </w:t>
      </w:r>
      <w:r>
        <w:rPr>
          <w:rFonts w:ascii="Arial" w:cs="Arial" w:eastAsia="Arial" w:hAnsi="Arial"/>
          <w:sz w:val="23"/>
          <w:szCs w:val="23"/>
          <w:color w:val="auto"/>
        </w:rPr>
        <w:t>]</w:t>
      </w:r>
      <w:r>
        <w:rPr>
          <w:rFonts w:ascii="Arial" w:cs="Arial" w:eastAsia="Arial" w:hAnsi="Arial"/>
          <w:sz w:val="22"/>
          <w:szCs w:val="22"/>
          <w:color w:val="auto"/>
        </w:rPr>
        <w:t xml:space="preserve"> as of that date by [ *** </w:t>
      </w:r>
      <w:r>
        <w:rPr>
          <w:rFonts w:ascii="Arial" w:cs="Arial" w:eastAsia="Arial" w:hAnsi="Arial"/>
          <w:sz w:val="23"/>
          <w:szCs w:val="23"/>
          <w:color w:val="auto"/>
        </w:rPr>
        <w:t>]</w:t>
      </w:r>
      <w:r>
        <w:rPr>
          <w:rFonts w:ascii="Arial" w:cs="Arial" w:eastAsia="Arial" w:hAnsi="Arial"/>
          <w:sz w:val="22"/>
          <w:szCs w:val="22"/>
          <w:color w:val="auto"/>
        </w:rPr>
        <w:t xml:space="preserve"> then such [ *** </w:t>
      </w:r>
      <w:r>
        <w:rPr>
          <w:rFonts w:ascii="Arial" w:cs="Arial" w:eastAsia="Arial" w:hAnsi="Arial"/>
          <w:sz w:val="23"/>
          <w:szCs w:val="23"/>
          <w:color w:val="auto"/>
        </w:rPr>
        <w:t>]</w:t>
      </w:r>
      <w:r>
        <w:rPr>
          <w:rFonts w:ascii="Arial" w:cs="Arial" w:eastAsia="Arial" w:hAnsi="Arial"/>
          <w:sz w:val="22"/>
          <w:szCs w:val="22"/>
          <w:color w:val="auto"/>
        </w:rPr>
        <w:t xml:space="preserve"> shall be [ *** </w:t>
      </w:r>
      <w:r>
        <w:rPr>
          <w:rFonts w:ascii="Arial" w:cs="Arial" w:eastAsia="Arial" w:hAnsi="Arial"/>
          <w:sz w:val="23"/>
          <w:szCs w:val="23"/>
          <w:color w:val="auto"/>
        </w:rPr>
        <w:t>]</w:t>
      </w:r>
      <w:r>
        <w:rPr>
          <w:rFonts w:ascii="Arial" w:cs="Arial" w:eastAsia="Arial" w:hAnsi="Arial"/>
          <w:sz w:val="22"/>
          <w:szCs w:val="22"/>
          <w:color w:val="auto"/>
        </w:rPr>
        <w:t>.</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ind w:right="360" w:firstLine="656"/>
        <w:spacing w:after="0" w:line="282" w:lineRule="auto"/>
        <w:tabs>
          <w:tab w:leader="none" w:pos="774"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r>
        <w:rPr>
          <w:rFonts w:ascii="Arial" w:cs="Arial" w:eastAsia="Arial" w:hAnsi="Arial"/>
          <w:sz w:val="22"/>
          <w:szCs w:val="22"/>
          <w:color w:val="auto"/>
        </w:rPr>
        <w:t xml:space="preserve"> as of each applicable date of determination (each a [ *** </w:t>
      </w:r>
      <w:r>
        <w:rPr>
          <w:rFonts w:ascii="Arial" w:cs="Arial" w:eastAsia="Arial" w:hAnsi="Arial"/>
          <w:sz w:val="23"/>
          <w:szCs w:val="23"/>
          <w:color w:val="auto"/>
        </w:rPr>
        <w:t>]</w:t>
      </w:r>
      <w:r>
        <w:rPr>
          <w:rFonts w:ascii="Arial" w:cs="Arial" w:eastAsia="Arial" w:hAnsi="Arial"/>
          <w:sz w:val="22"/>
          <w:szCs w:val="22"/>
          <w:color w:val="auto"/>
        </w:rPr>
        <w:t>), will be determined in accordance with the following methodology:</w:t>
      </w:r>
    </w:p>
    <w:p>
      <w:pPr>
        <w:spacing w:after="0" w:line="364" w:lineRule="exact"/>
        <w:rPr>
          <w:sz w:val="20"/>
          <w:szCs w:val="20"/>
          <w:color w:val="auto"/>
        </w:rPr>
      </w:pPr>
    </w:p>
    <w:p>
      <w:pPr>
        <w:ind w:left="1000" w:hanging="344"/>
        <w:spacing w:after="0"/>
        <w:tabs>
          <w:tab w:leader="none" w:pos="10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r>
        <w:rPr>
          <w:rFonts w:ascii="Arial" w:cs="Arial" w:eastAsia="Arial" w:hAnsi="Arial"/>
          <w:sz w:val="22"/>
          <w:szCs w:val="22"/>
          <w:color w:val="auto"/>
        </w:rPr>
        <w:t xml:space="preserve"> shall [ *** </w:t>
      </w:r>
      <w:r>
        <w:rPr>
          <w:rFonts w:ascii="Arial" w:cs="Arial" w:eastAsia="Arial" w:hAnsi="Arial"/>
          <w:sz w:val="23"/>
          <w:szCs w:val="23"/>
          <w:color w:val="auto"/>
        </w:rPr>
        <w:t>]</w:t>
      </w:r>
      <w:r>
        <w:rPr>
          <w:rFonts w:ascii="Arial" w:cs="Arial" w:eastAsia="Arial" w:hAnsi="Arial"/>
          <w:sz w:val="22"/>
          <w:szCs w:val="22"/>
          <w:color w:val="auto"/>
        </w:rPr>
        <w:t xml:space="preserve"> based on:</w:t>
      </w: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(i) [ *** </w:t>
      </w:r>
      <w:r>
        <w:rPr>
          <w:rFonts w:ascii="Arial" w:cs="Arial" w:eastAsia="Arial" w:hAnsi="Arial"/>
          <w:sz w:val="23"/>
          <w:szCs w:val="23"/>
          <w:color w:val="auto"/>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38" w:lineRule="exact"/>
        <w:rPr>
          <w:sz w:val="20"/>
          <w:szCs w:val="20"/>
          <w:color w:val="auto"/>
        </w:rPr>
      </w:pPr>
    </w:p>
    <w:p>
      <w:pPr>
        <w:ind w:left="980" w:hanging="324"/>
        <w:spacing w:after="0"/>
        <w:tabs>
          <w:tab w:leader="none" w:pos="9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minus</w:t>
      </w: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1040" w:hanging="384"/>
        <w:spacing w:after="0"/>
        <w:tabs>
          <w:tab w:leader="none" w:pos="10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 purposes of calculating the foregoing, the applicable quarter ends and dates of determination will be as follows:</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Appendix 2.6 - 2</w:t>
      </w:r>
    </w:p>
    <w:p>
      <w:pPr>
        <w:sectPr>
          <w:pgSz w:w="11900" w:h="16838" w:orient="portrait"/>
          <w:cols w:equalWidth="0" w:num="1">
            <w:col w:w="11360"/>
          </w:cols>
          <w:pgMar w:left="240" w:top="789" w:right="299" w:bottom="1440" w:gutter="0" w:footer="0" w:header="0"/>
        </w:sectPr>
      </w:pPr>
    </w:p>
    <w:bookmarkStart w:id="249" w:name="page250"/>
    <w:bookmarkEnd w:id="249"/>
    <w:tbl>
      <w:tblPr>
        <w:tblLayout w:type="fixed"/>
        <w:tblInd w:w="810" w:type="dxa"/>
        <w:tblCellMar>
          <w:top w:w="0" w:type="dxa"/>
          <w:left w:w="0" w:type="dxa"/>
          <w:bottom w:w="0" w:type="dxa"/>
          <w:right w:w="0" w:type="dxa"/>
        </w:tblCellMar>
      </w:tblPr>
      <w:tr>
        <w:trPr>
          <w:trHeight w:val="529"/>
        </w:trPr>
        <w:tc>
          <w:tcPr>
            <w:tcW w:w="3380" w:type="dxa"/>
            <w:vAlign w:val="bottom"/>
            <w:tcBorders>
              <w:top w:val="single" w:sz="8" w:color="auto"/>
              <w:left w:val="single" w:sz="8" w:color="auto"/>
              <w:right w:val="single" w:sz="8" w:color="auto"/>
            </w:tcBorders>
          </w:tcPr>
          <w:p>
            <w:pPr>
              <w:spacing w:after="0"/>
              <w:rPr>
                <w:sz w:val="24"/>
                <w:szCs w:val="24"/>
                <w:color w:val="auto"/>
              </w:rPr>
            </w:pPr>
          </w:p>
        </w:tc>
        <w:tc>
          <w:tcPr>
            <w:tcW w:w="32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Applicable Quarter End</w:t>
            </w:r>
          </w:p>
        </w:tc>
        <w:tc>
          <w:tcPr>
            <w:tcW w:w="3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218"/>
        </w:trPr>
        <w:tc>
          <w:tcPr>
            <w:tcW w:w="338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vMerge w:val="continue"/>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639"/>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(use value on Appendix 2.6(d)(I)</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(use value on Appendix 2.6(d)(I)</w:t>
            </w:r>
          </w:p>
        </w:tc>
        <w:tc>
          <w:tcPr>
            <w:tcW w:w="0" w:type="dxa"/>
            <w:vAlign w:val="bottom"/>
          </w:tcPr>
          <w:p>
            <w:pPr>
              <w:spacing w:after="0"/>
              <w:rPr>
                <w:sz w:val="1"/>
                <w:szCs w:val="1"/>
                <w:color w:val="auto"/>
              </w:rPr>
            </w:pPr>
          </w:p>
        </w:tc>
      </w:tr>
      <w:tr>
        <w:trPr>
          <w:trHeight w:val="299"/>
        </w:trPr>
        <w:tc>
          <w:tcPr>
            <w:tcW w:w="3380" w:type="dxa"/>
            <w:vAlign w:val="bottom"/>
            <w:tcBorders>
              <w:left w:val="single" w:sz="8" w:color="auto"/>
              <w:right w:val="single" w:sz="8" w:color="auto"/>
            </w:tcBorders>
          </w:tcPr>
          <w:p>
            <w:pPr>
              <w:jc w:val="right"/>
              <w:ind w:right="265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and 2.6(d)(II) [ *** </w:t>
            </w:r>
            <w:r>
              <w:rPr>
                <w:rFonts w:ascii="Arial" w:cs="Arial" w:eastAsia="Arial" w:hAnsi="Arial"/>
                <w:sz w:val="23"/>
                <w:szCs w:val="23"/>
                <w:color w:val="auto"/>
              </w:rPr>
              <w:t>]</w:t>
            </w:r>
            <w:r>
              <w:rPr>
                <w:rFonts w:ascii="Arial" w:cs="Arial" w:eastAsia="Arial" w:hAnsi="Arial"/>
                <w:sz w:val="22"/>
                <w:szCs w:val="22"/>
                <w:color w:val="auto"/>
              </w:rPr>
              <w:t>)</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and 2.6(d)(II) [ *** </w:t>
            </w: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241"/>
        </w:trPr>
        <w:tc>
          <w:tcPr>
            <w:tcW w:w="338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r>
              <w:rPr>
                <w:rFonts w:ascii="Arial" w:cs="Arial" w:eastAsia="Arial" w:hAnsi="Arial"/>
                <w:sz w:val="22"/>
                <w:szCs w:val="22"/>
                <w:color w:val="auto"/>
              </w:rPr>
              <w:t xml:space="preserve"> or if unavailable, the most</w:t>
            </w:r>
          </w:p>
        </w:tc>
        <w:tc>
          <w:tcPr>
            <w:tcW w:w="3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80" w:type="dxa"/>
            <w:vAlign w:val="bottom"/>
            <w:tcBorders>
              <w:left w:val="single" w:sz="8" w:color="auto"/>
              <w:right w:val="single" w:sz="8" w:color="auto"/>
            </w:tcBorders>
          </w:tcPr>
          <w:p>
            <w:pPr>
              <w:spacing w:after="0"/>
              <w:rPr>
                <w:sz w:val="20"/>
                <w:szCs w:val="20"/>
                <w:color w:val="auto"/>
              </w:rPr>
            </w:pPr>
          </w:p>
        </w:tc>
        <w:tc>
          <w:tcPr>
            <w:tcW w:w="3240" w:type="dxa"/>
            <w:vAlign w:val="bottom"/>
            <w:tcBorders>
              <w:right w:val="single" w:sz="8" w:color="auto"/>
            </w:tcBorders>
          </w:tcPr>
          <w:p>
            <w:pPr>
              <w:ind w:left="20"/>
              <w:spacing w:after="0" w:line="239" w:lineRule="exact"/>
              <w:rPr>
                <w:sz w:val="20"/>
                <w:szCs w:val="20"/>
                <w:color w:val="auto"/>
              </w:rPr>
            </w:pPr>
            <w:r>
              <w:rPr>
                <w:rFonts w:ascii="Arial" w:cs="Arial" w:eastAsia="Arial" w:hAnsi="Arial"/>
                <w:sz w:val="22"/>
                <w:szCs w:val="22"/>
                <w:color w:val="auto"/>
              </w:rPr>
              <w:t>recent quarter end prior to [ ***</w:t>
            </w:r>
          </w:p>
        </w:tc>
        <w:tc>
          <w:tcPr>
            <w:tcW w:w="3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3380" w:type="dxa"/>
            <w:vAlign w:val="bottom"/>
            <w:tcBorders>
              <w:left w:val="single" w:sz="8" w:color="auto"/>
              <w:right w:val="single" w:sz="8" w:color="auto"/>
            </w:tcBorders>
          </w:tcPr>
          <w:p>
            <w:pPr>
              <w:jc w:val="right"/>
              <w:ind w:right="265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21"/>
                <w:szCs w:val="21"/>
                <w:color w:val="auto"/>
              </w:rPr>
              <w:t>that [ ***</w:t>
            </w:r>
            <w:r>
              <w:rPr>
                <w:rFonts w:ascii="Arial" w:cs="Arial" w:eastAsia="Arial" w:hAnsi="Arial"/>
                <w:sz w:val="23"/>
                <w:szCs w:val="23"/>
                <w:color w:val="auto"/>
              </w:rPr>
              <w:t xml:space="preserve"> ]</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241"/>
        </w:trPr>
        <w:tc>
          <w:tcPr>
            <w:tcW w:w="338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r>
              <w:rPr>
                <w:rFonts w:ascii="Arial" w:cs="Arial" w:eastAsia="Arial" w:hAnsi="Arial"/>
                <w:sz w:val="22"/>
                <w:szCs w:val="22"/>
                <w:color w:val="auto"/>
              </w:rPr>
              <w:t xml:space="preserve"> or if unavailable, the most</w:t>
            </w:r>
          </w:p>
        </w:tc>
        <w:tc>
          <w:tcPr>
            <w:tcW w:w="3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tcBorders>
              <w:left w:val="single" w:sz="8" w:color="auto"/>
              <w:right w:val="single" w:sz="8" w:color="auto"/>
            </w:tcBorders>
          </w:tcPr>
          <w:p>
            <w:pPr>
              <w:spacing w:after="0"/>
              <w:rPr>
                <w:sz w:val="23"/>
                <w:szCs w:val="23"/>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3"/>
              </w:rPr>
              <w:t xml:space="preserve">recent quarter end prior [ *** </w:t>
            </w:r>
            <w:r>
              <w:rPr>
                <w:rFonts w:ascii="Arial" w:cs="Arial" w:eastAsia="Arial" w:hAnsi="Arial"/>
                <w:sz w:val="23"/>
                <w:szCs w:val="23"/>
                <w:color w:val="auto"/>
                <w:w w:val="93"/>
              </w:rPr>
              <w:t>]</w:t>
            </w:r>
            <w:r>
              <w:rPr>
                <w:rFonts w:ascii="Arial" w:cs="Arial" w:eastAsia="Arial" w:hAnsi="Arial"/>
                <w:sz w:val="22"/>
                <w:szCs w:val="22"/>
                <w:color w:val="auto"/>
                <w:w w:val="93"/>
              </w:rPr>
              <w:t xml:space="preserve"> that [</w:t>
            </w:r>
          </w:p>
        </w:tc>
        <w:tc>
          <w:tcPr>
            <w:tcW w:w="3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3380" w:type="dxa"/>
            <w:vAlign w:val="bottom"/>
            <w:tcBorders>
              <w:left w:val="single" w:sz="8" w:color="auto"/>
              <w:right w:val="single" w:sz="8" w:color="auto"/>
            </w:tcBorders>
          </w:tcPr>
          <w:p>
            <w:pPr>
              <w:jc w:val="right"/>
              <w:ind w:right="265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r>
              <w:rPr>
                <w:rFonts w:ascii="Arial" w:cs="Arial" w:eastAsia="Arial" w:hAnsi="Arial"/>
                <w:sz w:val="22"/>
                <w:szCs w:val="22"/>
                <w:color w:val="auto"/>
              </w:rPr>
              <w:t xml:space="preserve"> is available</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241"/>
        </w:trPr>
        <w:tc>
          <w:tcPr>
            <w:tcW w:w="338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33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r>
              <w:rPr>
                <w:rFonts w:ascii="Arial" w:cs="Arial" w:eastAsia="Arial" w:hAnsi="Arial"/>
                <w:sz w:val="22"/>
                <w:szCs w:val="22"/>
                <w:color w:val="auto"/>
              </w:rPr>
              <w:t xml:space="preserve"> or if unavailable, the most</w:t>
            </w:r>
          </w:p>
        </w:tc>
        <w:tc>
          <w:tcPr>
            <w:tcW w:w="3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80" w:type="dxa"/>
            <w:vAlign w:val="bottom"/>
            <w:tcBorders>
              <w:left w:val="single" w:sz="8" w:color="auto"/>
              <w:right w:val="single" w:sz="8" w:color="auto"/>
            </w:tcBorders>
          </w:tcPr>
          <w:p>
            <w:pPr>
              <w:spacing w:after="0"/>
              <w:rPr>
                <w:sz w:val="20"/>
                <w:szCs w:val="20"/>
                <w:color w:val="auto"/>
              </w:rPr>
            </w:pPr>
          </w:p>
        </w:tc>
        <w:tc>
          <w:tcPr>
            <w:tcW w:w="3240" w:type="dxa"/>
            <w:vAlign w:val="bottom"/>
            <w:tcBorders>
              <w:right w:val="single" w:sz="8" w:color="auto"/>
            </w:tcBorders>
          </w:tcPr>
          <w:p>
            <w:pPr>
              <w:ind w:left="20"/>
              <w:spacing w:after="0" w:line="239" w:lineRule="exact"/>
              <w:rPr>
                <w:sz w:val="20"/>
                <w:szCs w:val="20"/>
                <w:color w:val="auto"/>
              </w:rPr>
            </w:pPr>
            <w:r>
              <w:rPr>
                <w:rFonts w:ascii="Arial" w:cs="Arial" w:eastAsia="Arial" w:hAnsi="Arial"/>
                <w:sz w:val="22"/>
                <w:szCs w:val="22"/>
                <w:color w:val="auto"/>
              </w:rPr>
              <w:t>recent quarter end prior to [ ***</w:t>
            </w:r>
          </w:p>
        </w:tc>
        <w:tc>
          <w:tcPr>
            <w:tcW w:w="3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3380" w:type="dxa"/>
            <w:vAlign w:val="bottom"/>
            <w:tcBorders>
              <w:left w:val="single" w:sz="8" w:color="auto"/>
              <w:right w:val="single" w:sz="8" w:color="auto"/>
            </w:tcBorders>
          </w:tcPr>
          <w:p>
            <w:pPr>
              <w:jc w:val="right"/>
              <w:ind w:right="265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21"/>
                <w:szCs w:val="21"/>
                <w:color w:val="auto"/>
              </w:rPr>
              <w:t>that [ ***</w:t>
            </w:r>
            <w:r>
              <w:rPr>
                <w:rFonts w:ascii="Arial" w:cs="Arial" w:eastAsia="Arial" w:hAnsi="Arial"/>
                <w:sz w:val="23"/>
                <w:szCs w:val="23"/>
                <w:color w:val="auto"/>
              </w:rPr>
              <w:t xml:space="preserve"> ] </w:t>
            </w:r>
            <w:r>
              <w:rPr>
                <w:rFonts w:ascii="Arial" w:cs="Arial" w:eastAsia="Arial" w:hAnsi="Arial"/>
                <w:sz w:val="21"/>
                <w:szCs w:val="21"/>
                <w:color w:val="auto"/>
              </w:rPr>
              <w:t>is available</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241"/>
        </w:trPr>
        <w:tc>
          <w:tcPr>
            <w:tcW w:w="338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9"/>
        </w:trPr>
        <w:tc>
          <w:tcPr>
            <w:tcW w:w="3380" w:type="dxa"/>
            <w:vAlign w:val="bottom"/>
            <w:tcBorders>
              <w:left w:val="single" w:sz="8" w:color="auto"/>
              <w:right w:val="single" w:sz="8" w:color="auto"/>
            </w:tcBorders>
          </w:tcPr>
          <w:p>
            <w:pPr>
              <w:jc w:val="right"/>
              <w:ind w:right="265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241"/>
        </w:trPr>
        <w:tc>
          <w:tcPr>
            <w:tcW w:w="338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2.Assumptions Regarding [ *** </w:t>
      </w:r>
      <w:r>
        <w:rPr>
          <w:rFonts w:ascii="Arial" w:cs="Arial" w:eastAsia="Arial" w:hAnsi="Arial"/>
          <w:sz w:val="23"/>
          <w:szCs w:val="23"/>
          <w:color w:val="auto"/>
        </w:rPr>
        <w:t>]</w:t>
      </w:r>
      <w:r>
        <w:rPr>
          <w:rFonts w:ascii="Arial" w:cs="Arial" w:eastAsia="Arial" w:hAnsi="Arial"/>
          <w:sz w:val="22"/>
          <w:szCs w:val="22"/>
          <w:color w:val="auto"/>
        </w:rPr>
        <w:t xml:space="preserve"> Respecting [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Subject to Section 2.21 and 2.23 of the Agreement, Insurer shall [ *** </w:t>
      </w:r>
      <w:r>
        <w:rPr>
          <w:rFonts w:ascii="Arial" w:cs="Arial" w:eastAsia="Arial" w:hAnsi="Arial"/>
          <w:sz w:val="21"/>
          <w:szCs w:val="21"/>
          <w:color w:val="auto"/>
        </w:rPr>
        <w:t>]</w:t>
      </w:r>
      <w:r>
        <w:rPr>
          <w:rFonts w:ascii="Arial" w:cs="Arial" w:eastAsia="Arial" w:hAnsi="Arial"/>
          <w:sz w:val="20"/>
          <w:szCs w:val="20"/>
          <w:color w:val="auto"/>
        </w:rPr>
        <w:t xml:space="preserve"> listed on the Transferred Asset Schedule.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Certain Definitions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ectPr>
          <w:pgSz w:w="11900" w:h="16838" w:orient="portrait"/>
          <w:cols w:equalWidth="0" w:num="1">
            <w:col w:w="10640"/>
          </w:cols>
          <w:pgMar w:left="240" w:top="714" w:right="1019" w:bottom="256"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76"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Appendix 2.6 - 3</w:t>
      </w:r>
    </w:p>
    <w:p>
      <w:pPr>
        <w:sectPr>
          <w:pgSz w:w="11900" w:h="16838" w:orient="portrait"/>
          <w:cols w:equalWidth="0" w:num="1">
            <w:col w:w="10219"/>
          </w:cols>
          <w:pgMar w:left="240" w:top="330" w:right="1440" w:bottom="1440" w:gutter="0" w:footer="0" w:header="0"/>
        </w:sectPr>
      </w:pPr>
    </w:p>
    <w:bookmarkStart w:id="251" w:name="page252"/>
    <w:bookmarkEnd w:id="251"/>
    <w:p>
      <w:pPr>
        <w:ind w:left="4860"/>
        <w:spacing w:after="0"/>
        <w:rPr>
          <w:sz w:val="20"/>
          <w:szCs w:val="20"/>
          <w:color w:val="auto"/>
        </w:rPr>
      </w:pPr>
      <w:r>
        <w:rPr>
          <w:rFonts w:ascii="Arial" w:cs="Arial" w:eastAsia="Arial" w:hAnsi="Arial"/>
          <w:sz w:val="22"/>
          <w:szCs w:val="22"/>
          <w:b w:val="1"/>
          <w:bCs w:val="1"/>
          <w:u w:val="single" w:color="auto"/>
          <w:color w:val="auto"/>
        </w:rPr>
        <w:t>Appendix 2.6(d)(I)</w:t>
      </w:r>
    </w:p>
    <w:p>
      <w:pPr>
        <w:spacing w:after="0" w:line="208" w:lineRule="exact"/>
        <w:rPr>
          <w:sz w:val="20"/>
          <w:szCs w:val="20"/>
          <w:color w:val="auto"/>
        </w:rPr>
      </w:pPr>
    </w:p>
    <w:p>
      <w:pPr>
        <w:ind w:left="3800"/>
        <w:spacing w:after="0"/>
        <w:rPr>
          <w:sz w:val="20"/>
          <w:szCs w:val="20"/>
          <w:color w:val="auto"/>
        </w:rPr>
      </w:pPr>
      <w:r>
        <w:rPr>
          <w:rFonts w:ascii="Arial" w:cs="Arial" w:eastAsia="Arial" w:hAnsi="Arial"/>
          <w:sz w:val="22"/>
          <w:szCs w:val="22"/>
          <w:b w:val="1"/>
          <w:bCs w:val="1"/>
          <w:u w:val="single" w:color="auto"/>
          <w:color w:val="auto"/>
        </w:rPr>
        <w:t>LIST OF</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r>
        <w:rPr>
          <w:rFonts w:ascii="Arial" w:cs="Arial" w:eastAsia="Arial" w:hAnsi="Arial"/>
          <w:sz w:val="22"/>
          <w:szCs w:val="22"/>
          <w:b w:val="1"/>
          <w:bCs w:val="1"/>
          <w:color w:val="auto"/>
        </w:rPr>
        <w:t xml:space="preserve"> </w:t>
      </w:r>
      <w:r>
        <w:rPr>
          <w:rFonts w:ascii="Arial" w:cs="Arial" w:eastAsia="Arial" w:hAnsi="Arial"/>
          <w:sz w:val="23"/>
          <w:szCs w:val="23"/>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THAT PLAN TRUSTEE</w:t>
      </w:r>
    </w:p>
    <w:p>
      <w:pPr>
        <w:spacing w:after="0" w:line="34"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u w:val="single" w:color="auto"/>
          <w:color w:val="auto"/>
        </w:rPr>
        <w:t>INTENDS TO TRANSFER AT CLOSING</w:t>
      </w:r>
    </w:p>
    <w:p>
      <w:pPr>
        <w:spacing w:after="0" w:line="191" w:lineRule="exact"/>
        <w:rPr>
          <w:sz w:val="20"/>
          <w:szCs w:val="20"/>
          <w:color w:val="auto"/>
        </w:rPr>
      </w:pPr>
    </w:p>
    <w:p>
      <w:pPr>
        <w:spacing w:after="0" w:line="299" w:lineRule="auto"/>
        <w:rPr>
          <w:sz w:val="20"/>
          <w:szCs w:val="20"/>
          <w:color w:val="auto"/>
        </w:rPr>
      </w:pPr>
      <w:r>
        <w:rPr>
          <w:rFonts w:ascii="Arial" w:cs="Arial" w:eastAsia="Arial" w:hAnsi="Arial"/>
          <w:sz w:val="21"/>
          <w:szCs w:val="21"/>
          <w:color w:val="auto"/>
        </w:rPr>
        <w:t xml:space="preserve">Reference is made to the Excel file called “[ *** </w:t>
      </w:r>
      <w:r>
        <w:rPr>
          <w:rFonts w:ascii="Arial" w:cs="Arial" w:eastAsia="Arial" w:hAnsi="Arial"/>
          <w:sz w:val="22"/>
          <w:szCs w:val="22"/>
          <w:color w:val="auto"/>
        </w:rPr>
        <w:t>]</w:t>
      </w:r>
      <w:r>
        <w:rPr>
          <w:rFonts w:ascii="Arial" w:cs="Arial" w:eastAsia="Arial" w:hAnsi="Arial"/>
          <w:sz w:val="21"/>
          <w:szCs w:val="21"/>
          <w:color w:val="auto"/>
        </w:rPr>
        <w:t xml:space="preserve">” that was emailed by Dhivya Suryadevara to Dylan Tyson on May 23, 2012 at 7:22 p.m. Those [ *** </w:t>
      </w:r>
      <w:r>
        <w:rPr>
          <w:rFonts w:ascii="Arial" w:cs="Arial" w:eastAsia="Arial" w:hAnsi="Arial"/>
          <w:sz w:val="22"/>
          <w:szCs w:val="22"/>
          <w:color w:val="auto"/>
        </w:rPr>
        <w:t>]</w:t>
      </w:r>
      <w:r>
        <w:rPr>
          <w:rFonts w:ascii="Arial" w:cs="Arial" w:eastAsia="Arial" w:hAnsi="Arial"/>
          <w:sz w:val="21"/>
          <w:szCs w:val="21"/>
          <w:color w:val="auto"/>
        </w:rPr>
        <w:t xml:space="preserve"> listed in the first group up to and including row 93 are incorporated by reference herein.</w:t>
      </w:r>
    </w:p>
    <w:p>
      <w:pPr>
        <w:spacing w:after="0" w:line="200" w:lineRule="exact"/>
        <w:rPr>
          <w:sz w:val="20"/>
          <w:szCs w:val="20"/>
          <w:color w:val="auto"/>
        </w:rPr>
      </w:pPr>
    </w:p>
    <w:p>
      <w:pPr>
        <w:spacing w:after="0" w:line="3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Appendix 2.6(d)(I) - 1</w:t>
      </w:r>
    </w:p>
    <w:p>
      <w:pPr>
        <w:sectPr>
          <w:pgSz w:w="11900" w:h="16838" w:orient="portrait"/>
          <w:cols w:equalWidth="0" w:num="1">
            <w:col w:w="11160"/>
          </w:cols>
          <w:pgMar w:left="240" w:top="801" w:right="499"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22"/>
          <w:szCs w:val="22"/>
          <w:b w:val="1"/>
          <w:bCs w:val="1"/>
          <w:u w:val="single" w:color="auto"/>
          <w:color w:val="auto"/>
        </w:rPr>
        <w:t>Appendix 2.6(d)(II)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LIST OF ADDITIONAL </w:t>
      </w:r>
      <w:r>
        <w:rPr>
          <w:rFonts w:ascii="Arial" w:cs="Arial" w:eastAsia="Arial" w:hAnsi="Arial"/>
          <w:sz w:val="22"/>
          <w:szCs w:val="22"/>
          <w:color w:val="auto"/>
        </w:rPr>
        <w:t>[ ***</w:t>
      </w:r>
      <w:r>
        <w:rPr>
          <w:rFonts w:ascii="Arial" w:cs="Arial" w:eastAsia="Arial" w:hAnsi="Arial"/>
          <w:sz w:val="22"/>
          <w:szCs w:val="22"/>
          <w:b w:val="1"/>
          <w:bCs w:val="1"/>
          <w:color w:val="auto"/>
        </w:rPr>
        <w:t xml:space="preserve"> </w:t>
      </w:r>
      <w:r>
        <w:rPr>
          <w:rFonts w:ascii="Arial" w:cs="Arial" w:eastAsia="Arial" w:hAnsi="Arial"/>
          <w:sz w:val="23"/>
          <w:szCs w:val="23"/>
          <w:color w:val="auto"/>
        </w:rPr>
        <w:t>]</w:t>
      </w:r>
      <w:r>
        <w:rPr>
          <w:rFonts w:ascii="Arial" w:cs="Arial" w:eastAsia="Arial" w:hAnsi="Arial"/>
          <w:sz w:val="22"/>
          <w:szCs w:val="22"/>
          <w:b w:val="1"/>
          <w:bCs w:val="1"/>
          <w:color w:val="auto"/>
        </w:rPr>
        <w:t xml:space="preserve"> THAT PLAN TRUSTEE MAY INCLUDE, IN RANKING ORDER OF PREFERENCE</w:t>
      </w: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Reference is made to the Excel file called [ *** </w:t>
      </w:r>
      <w:r>
        <w:rPr>
          <w:rFonts w:ascii="Arial" w:cs="Arial" w:eastAsia="Arial" w:hAnsi="Arial"/>
          <w:sz w:val="23"/>
          <w:szCs w:val="23"/>
          <w:color w:val="auto"/>
        </w:rPr>
        <w:t>]</w:t>
      </w:r>
      <w:r>
        <w:rPr>
          <w:rFonts w:ascii="Arial" w:cs="Arial" w:eastAsia="Arial" w:hAnsi="Arial"/>
          <w:sz w:val="22"/>
          <w:szCs w:val="22"/>
          <w:color w:val="auto"/>
        </w:rPr>
        <w:t xml:space="preserve"> that was emailed by Dhivya Suryadevara to Dylan Tyson on May 23, 2012 at 7:22 p.m. Those [ *** </w:t>
      </w:r>
      <w:r>
        <w:rPr>
          <w:rFonts w:ascii="Arial" w:cs="Arial" w:eastAsia="Arial" w:hAnsi="Arial"/>
          <w:sz w:val="23"/>
          <w:szCs w:val="23"/>
          <w:color w:val="auto"/>
        </w:rPr>
        <w:t>]</w:t>
      </w:r>
      <w:r>
        <w:rPr>
          <w:rFonts w:ascii="Arial" w:cs="Arial" w:eastAsia="Arial" w:hAnsi="Arial"/>
          <w:sz w:val="22"/>
          <w:szCs w:val="22"/>
          <w:color w:val="auto"/>
        </w:rPr>
        <w:t xml:space="preserve"> listed in the second group, starting on row 95, are incorporated by reference 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2.6(d)(II) - 1</w:t>
      </w:r>
    </w:p>
    <w:p>
      <w:pPr>
        <w:sectPr>
          <w:pgSz w:w="11900" w:h="16838" w:orient="portrait"/>
          <w:cols w:equalWidth="0" w:num="1">
            <w:col w:w="11400"/>
          </w:cols>
          <w:pgMar w:left="240" w:top="1179" w:right="259" w:bottom="1440" w:gutter="0" w:footer="0" w:header="0"/>
        </w:sectPr>
      </w:pPr>
    </w:p>
    <w:bookmarkStart w:id="253" w:name="page254"/>
    <w:bookmarkEnd w:id="253"/>
    <w:p>
      <w:pPr>
        <w:jc w:val="center"/>
        <w:ind w:right="-20"/>
        <w:spacing w:after="0"/>
        <w:rPr>
          <w:sz w:val="20"/>
          <w:szCs w:val="20"/>
          <w:color w:val="auto"/>
        </w:rPr>
      </w:pPr>
      <w:r>
        <w:rPr>
          <w:rFonts w:ascii="Arial" w:cs="Arial" w:eastAsia="Arial" w:hAnsi="Arial"/>
          <w:sz w:val="22"/>
          <w:szCs w:val="22"/>
          <w:b w:val="1"/>
          <w:bCs w:val="1"/>
          <w:u w:val="single" w:color="auto"/>
          <w:color w:val="auto"/>
        </w:rPr>
        <w:t>Appendix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Form of premium calculation</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Appendix 2.7 - 1</w:t>
      </w:r>
    </w:p>
    <w:p>
      <w:pPr>
        <w:sectPr>
          <w:pgSz w:w="11900" w:h="16838" w:orient="portrait"/>
          <w:cols w:equalWidth="0" w:num="1">
            <w:col w:w="9019"/>
          </w:cols>
          <w:pgMar w:left="1440" w:top="1274" w:right="1440" w:bottom="1440" w:gutter="0" w:footer="0" w:header="0"/>
        </w:sectPr>
      </w:pPr>
    </w:p>
    <w:bookmarkStart w:id="254" w:name="page255"/>
    <w:bookmarkEnd w:id="254"/>
    <w:p>
      <w:pPr>
        <w:jc w:val="center"/>
        <w:ind w:right="-31"/>
        <w:spacing w:after="0"/>
        <w:rPr>
          <w:sz w:val="20"/>
          <w:szCs w:val="20"/>
          <w:color w:val="auto"/>
        </w:rPr>
      </w:pPr>
      <w:r>
        <w:rPr>
          <w:rFonts w:ascii="Arial" w:cs="Arial" w:eastAsia="Arial" w:hAnsi="Arial"/>
          <w:sz w:val="22"/>
          <w:szCs w:val="22"/>
          <w:b w:val="1"/>
          <w:bCs w:val="1"/>
          <w:u w:val="single" w:color="auto"/>
          <w:color w:val="auto"/>
        </w:rPr>
        <w:t>Appendix 2.12</w:t>
      </w:r>
    </w:p>
    <w:p>
      <w:pPr>
        <w:spacing w:after="0" w:line="200" w:lineRule="exact"/>
        <w:rPr>
          <w:sz w:val="20"/>
          <w:szCs w:val="20"/>
          <w:color w:val="auto"/>
        </w:rPr>
      </w:pPr>
    </w:p>
    <w:p>
      <w:pPr>
        <w:spacing w:after="0" w:line="242" w:lineRule="exact"/>
        <w:rPr>
          <w:sz w:val="20"/>
          <w:szCs w:val="20"/>
          <w:color w:val="auto"/>
        </w:rPr>
      </w:pPr>
    </w:p>
    <w:p>
      <w:pPr>
        <w:jc w:val="center"/>
        <w:ind w:right="-31"/>
        <w:spacing w:after="0"/>
        <w:rPr>
          <w:sz w:val="20"/>
          <w:szCs w:val="20"/>
          <w:color w:val="auto"/>
        </w:rPr>
      </w:pPr>
      <w:r>
        <w:rPr>
          <w:rFonts w:ascii="Arial" w:cs="Arial" w:eastAsia="Arial" w:hAnsi="Arial"/>
          <w:sz w:val="22"/>
          <w:szCs w:val="22"/>
          <w:u w:val="single" w:color="auto"/>
          <w:color w:val="auto"/>
        </w:rPr>
        <w:t>POST-CLOSING FINAL PREMIUM ARBITRATION</w:t>
      </w:r>
    </w:p>
    <w:p>
      <w:pPr>
        <w:spacing w:after="0" w:line="220" w:lineRule="exact"/>
        <w:rPr>
          <w:sz w:val="20"/>
          <w:szCs w:val="20"/>
          <w:color w:val="auto"/>
        </w:rPr>
      </w:pPr>
    </w:p>
    <w:p>
      <w:pPr>
        <w:ind w:left="652" w:right="180" w:hanging="652"/>
        <w:spacing w:after="0" w:line="297" w:lineRule="auto"/>
        <w:tabs>
          <w:tab w:leader="none" w:pos="65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To the full extent permitted by Section 2.12, either the Company or the Insurer may submit any Dispute arising out of, relating to, or in connection with the calculation of the amount of the Post-Closing Final Premium (including any of the components of such calculation) under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to be settled by arbitration. This arbitration procedure applicable to any such Dispute is set forth in the paragraphs below. Nothing in these arbitration procedures will be deemed to expand or alter in any way the Parties' agreement as to the scope of permitted arbitration under </w:t>
      </w:r>
      <w:r>
        <w:rPr>
          <w:rFonts w:ascii="Arial" w:cs="Arial" w:eastAsia="Arial" w:hAnsi="Arial"/>
          <w:sz w:val="19"/>
          <w:szCs w:val="19"/>
          <w:u w:val="single" w:color="auto"/>
          <w:color w:val="auto"/>
        </w:rPr>
        <w:t>Section 2.12</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ind w:left="652" w:hanging="652"/>
        <w:spacing w:after="0" w:line="263" w:lineRule="auto"/>
        <w:tabs>
          <w:tab w:leader="none" w:pos="652" w:val="left"/>
        </w:tabs>
        <w:numPr>
          <w:ilvl w:val="0"/>
          <w:numId w:val="224"/>
        </w:numPr>
        <w:rPr>
          <w:rFonts w:ascii="Arial" w:cs="Arial" w:eastAsia="Arial" w:hAnsi="Arial"/>
          <w:sz w:val="21"/>
          <w:szCs w:val="21"/>
          <w:color w:val="auto"/>
        </w:rPr>
      </w:pPr>
      <w:r>
        <w:rPr>
          <w:rFonts w:ascii="Arial" w:cs="Arial" w:eastAsia="Arial" w:hAnsi="Arial"/>
          <w:sz w:val="21"/>
          <w:szCs w:val="21"/>
          <w:color w:val="auto"/>
        </w:rPr>
        <w:t>The arbitration shall be conducted by one arbitrator, in accordance with Commercial Arbitration Rules and Expedited Procedures for Large, Complex Commercial Disputes of the American Arbitration Association (“</w:t>
      </w:r>
      <w:r>
        <w:rPr>
          <w:rFonts w:ascii="Arial" w:cs="Arial" w:eastAsia="Arial" w:hAnsi="Arial"/>
          <w:sz w:val="21"/>
          <w:szCs w:val="21"/>
          <w:u w:val="single" w:color="auto"/>
          <w:color w:val="auto"/>
        </w:rPr>
        <w:t>AAA</w:t>
      </w:r>
      <w:r>
        <w:rPr>
          <w:rFonts w:ascii="Arial" w:cs="Arial" w:eastAsia="Arial" w:hAnsi="Arial"/>
          <w:sz w:val="21"/>
          <w:szCs w:val="21"/>
          <w:color w:val="auto"/>
        </w:rPr>
        <w:t>”), as such rules and procedures are in effect at the time of the arbitration, except as they may be modified herein or by mutual agreement of the Insurer and the Company. The seat of the arbitration shall be New York City, New York, at a mutually agreed upon location, or in the absence of agreement at the New York City offices of the AAA.</w:t>
      </w:r>
    </w:p>
    <w:p>
      <w:pPr>
        <w:spacing w:after="0" w:line="216" w:lineRule="exact"/>
        <w:rPr>
          <w:rFonts w:ascii="Arial" w:cs="Arial" w:eastAsia="Arial" w:hAnsi="Arial"/>
          <w:sz w:val="21"/>
          <w:szCs w:val="21"/>
          <w:color w:val="auto"/>
        </w:rPr>
      </w:pPr>
    </w:p>
    <w:p>
      <w:pPr>
        <w:ind w:left="652" w:right="20" w:hanging="652"/>
        <w:spacing w:after="0" w:line="285" w:lineRule="auto"/>
        <w:tabs>
          <w:tab w:leader="none" w:pos="65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The Company and the Insurer shall jointly engage an arbitrator, who shall be a partner at the Approved Firm-C, within 45 days after the Closing, on terms mutually agreed by the Company, the Insurer and the Approved Firm-C, provided that the engagement letter shall include an undertaking by the partner at such Approved Firm-C to comply with the time limits specified in this </w:t>
      </w:r>
      <w:r>
        <w:rPr>
          <w:rFonts w:ascii="Arial" w:cs="Arial" w:eastAsia="Arial" w:hAnsi="Arial"/>
          <w:sz w:val="19"/>
          <w:szCs w:val="19"/>
          <w:u w:val="single" w:color="auto"/>
          <w:color w:val="auto"/>
        </w:rPr>
        <w:t>Appendix 2.12</w:t>
      </w:r>
      <w:r>
        <w:rPr>
          <w:rFonts w:ascii="Arial" w:cs="Arial" w:eastAsia="Arial" w:hAnsi="Arial"/>
          <w:sz w:val="19"/>
          <w:szCs w:val="19"/>
          <w:color w:val="auto"/>
        </w:rPr>
        <w:t xml:space="preserve"> and other customary terms. If the Insurer and the Company are unable to engage an arbitrator at the Approved Firm-C within 45 days following the Closing, which arbitrator agrees to undertake the arbitration within the time limits specified in this Appendix 2.12, then the AAA shall appoint an arbitrator within 5 Business Days thereafter from the National Roster list of Commercial Arbitrators identified in Rule R-11 of the Commercial Arbitration Rules of the AAA (“</w:t>
      </w:r>
      <w:r>
        <w:rPr>
          <w:rFonts w:ascii="Arial" w:cs="Arial" w:eastAsia="Arial" w:hAnsi="Arial"/>
          <w:sz w:val="19"/>
          <w:szCs w:val="19"/>
          <w:u w:val="single" w:color="auto"/>
          <w:color w:val="auto"/>
        </w:rPr>
        <w:t>AAA Commercial Rule R-11</w:t>
      </w:r>
      <w:r>
        <w:rPr>
          <w:rFonts w:ascii="Arial" w:cs="Arial" w:eastAsia="Arial" w:hAnsi="Arial"/>
          <w:sz w:val="19"/>
          <w:szCs w:val="19"/>
          <w:color w:val="auto"/>
        </w:rPr>
        <w:t>”) or from the Large, Complex Case Panel identified in Rule L-2 of the Large, Complex Commercial Disputes Procedures of the AAA (“</w:t>
      </w:r>
      <w:r>
        <w:rPr>
          <w:rFonts w:ascii="Arial" w:cs="Arial" w:eastAsia="Arial" w:hAnsi="Arial"/>
          <w:sz w:val="19"/>
          <w:szCs w:val="19"/>
          <w:u w:val="single" w:color="auto"/>
          <w:color w:val="auto"/>
        </w:rPr>
        <w:t>AAA Complex Procedure Rule L-2</w:t>
      </w:r>
      <w:r>
        <w:rPr>
          <w:rFonts w:ascii="Arial" w:cs="Arial" w:eastAsia="Arial" w:hAnsi="Arial"/>
          <w:sz w:val="19"/>
          <w:szCs w:val="19"/>
          <w:color w:val="auto"/>
        </w:rPr>
        <w:t>”), without application of the other provisions of AAA Commercial Rule R-11 or AAA Complex Procedure Rule L-2. The arbitrator shall be an enrolled actuary with at least 10 years of experience as a signing actuary for one or more single-employer pension plans and his or her engagement letter must include an agreement to undertake the arbitration within the time limits specified in this Appendix 2.12. Any arbitrator retained hereunder must have access to POINT. In all events an arbitrator shall be appointed within 10 days of the issuance of a Dispute Notice. The arbitrator shall be permitted to draw upon the resources of Approved Firm-C, or his or her firm in the event the AAA selects the arbitrator, in the conduct of the performance of his or her duties as arbitrator, provided that the Approved Firm-C and each individual engaged in the performance of services relating to the arbitration shall have executed and delivered an agreement in form to be mutually agreed among the arbitrator, the Insurer and the Company agreeing to treat all information submitted to the arbitrator or developed by the arbitrator in the conduct of his or her duties as confidential.</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652" w:hanging="652"/>
        <w:spacing w:after="0"/>
        <w:tabs>
          <w:tab w:leader="none" w:pos="65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If a timely and valid Dispute Notice is provided in accordance with Section 2.12, the following procedures shall apply:</w:t>
      </w:r>
    </w:p>
    <w:p>
      <w:pPr>
        <w:spacing w:after="0" w:line="200" w:lineRule="exact"/>
        <w:rPr>
          <w:sz w:val="20"/>
          <w:szCs w:val="20"/>
          <w:color w:val="auto"/>
        </w:rPr>
      </w:pPr>
    </w:p>
    <w:p>
      <w:pPr>
        <w:spacing w:after="0" w:line="3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Appendix 2.12 - 1</w:t>
      </w:r>
    </w:p>
    <w:p>
      <w:pPr>
        <w:sectPr>
          <w:pgSz w:w="11900" w:h="16838" w:orient="portrait"/>
          <w:cols w:equalWidth="0" w:num="1">
            <w:col w:w="11392"/>
          </w:cols>
          <w:pgMar w:left="248" w:top="1017" w:right="259" w:bottom="1440" w:gutter="0" w:footer="0" w:header="0"/>
        </w:sectPr>
      </w:pPr>
    </w:p>
    <w:bookmarkStart w:id="255" w:name="page256"/>
    <w:bookmarkEnd w:id="255"/>
    <w:p>
      <w:pPr>
        <w:ind w:left="644" w:hanging="644"/>
        <w:spacing w:after="0" w:line="285" w:lineRule="auto"/>
        <w:tabs>
          <w:tab w:leader="none" w:pos="644" w:val="left"/>
        </w:tabs>
        <w:numPr>
          <w:ilvl w:val="0"/>
          <w:numId w:val="225"/>
        </w:numPr>
        <w:rPr>
          <w:rFonts w:ascii="Arial" w:cs="Arial" w:eastAsia="Arial" w:hAnsi="Arial"/>
          <w:sz w:val="17"/>
          <w:szCs w:val="17"/>
          <w:color w:val="auto"/>
        </w:rPr>
      </w:pPr>
      <w:r>
        <w:rPr>
          <w:rFonts w:ascii="Arial" w:cs="Arial" w:eastAsia="Arial" w:hAnsi="Arial"/>
          <w:sz w:val="20"/>
          <w:szCs w:val="20"/>
          <w:color w:val="auto"/>
        </w:rPr>
        <w:t>The Dispute Notice shall contain the grounds for such Dispute in reasonable detail. The Party submitting the Dispute Notice (the “</w:t>
      </w:r>
      <w:r>
        <w:rPr>
          <w:rFonts w:ascii="Arial" w:cs="Arial" w:eastAsia="Arial" w:hAnsi="Arial"/>
          <w:sz w:val="20"/>
          <w:szCs w:val="20"/>
          <w:u w:val="single" w:color="auto"/>
          <w:color w:val="auto"/>
        </w:rPr>
        <w:t>Disputing Party</w:t>
      </w:r>
      <w:r>
        <w:rPr>
          <w:rFonts w:ascii="Arial" w:cs="Arial" w:eastAsia="Arial" w:hAnsi="Arial"/>
          <w:sz w:val="20"/>
          <w:szCs w:val="20"/>
          <w:color w:val="auto"/>
        </w:rPr>
        <w:t xml:space="preserve">”) may also include in such Dispute Notice a request for documents from any other Party regarding such Dispute. The request may include information in the possession or under the control of the other Party that is reasonably relevant and not unduly burdensome to request in light of the nature and amount of the Dispute, including, if applicable and if permitted under Section 2.12, [ *** </w:t>
      </w:r>
      <w:r>
        <w:rPr>
          <w:rFonts w:ascii="Arial" w:cs="Arial" w:eastAsia="Arial" w:hAnsi="Arial"/>
          <w:sz w:val="21"/>
          <w:szCs w:val="21"/>
          <w:color w:val="auto"/>
        </w:rPr>
        <w:t>]</w:t>
      </w:r>
      <w:r>
        <w:rPr>
          <w:rFonts w:ascii="Arial" w:cs="Arial" w:eastAsia="Arial" w:hAnsi="Arial"/>
          <w:sz w:val="20"/>
          <w:szCs w:val="20"/>
          <w:color w:val="auto"/>
        </w:rPr>
        <w:t>, the Procedures Manual, the Identified CD-ROM, technology, software and data processing procedures, insurance, actuarial, and any notes and records that the Insurer, the Company or the Independent Third Party, as applicable used to prepare the Spreadsheets and the data contained on the Identified CD-ROM (in the case of requests made to the Insurer) and other materials it used in connection with the calculation of the Post-Closing Final Premium and/or the Closing Asset Valuation and any iteration of the Post-Solicitation Premium.</w:t>
      </w:r>
    </w:p>
    <w:p>
      <w:pPr>
        <w:spacing w:after="0" w:line="212" w:lineRule="exact"/>
        <w:rPr>
          <w:rFonts w:ascii="Arial" w:cs="Arial" w:eastAsia="Arial" w:hAnsi="Arial"/>
          <w:sz w:val="17"/>
          <w:szCs w:val="17"/>
          <w:color w:val="auto"/>
        </w:rPr>
      </w:pPr>
    </w:p>
    <w:p>
      <w:pPr>
        <w:ind w:left="644" w:right="20" w:hanging="644"/>
        <w:spacing w:after="0" w:line="263" w:lineRule="auto"/>
        <w:tabs>
          <w:tab w:leader="none" w:pos="644" w:val="left"/>
        </w:tabs>
        <w:numPr>
          <w:ilvl w:val="0"/>
          <w:numId w:val="225"/>
        </w:numPr>
        <w:rPr>
          <w:rFonts w:ascii="Arial" w:cs="Arial" w:eastAsia="Arial" w:hAnsi="Arial"/>
          <w:sz w:val="18"/>
          <w:szCs w:val="18"/>
          <w:color w:val="auto"/>
        </w:rPr>
      </w:pPr>
      <w:r>
        <w:rPr>
          <w:rFonts w:ascii="Arial" w:cs="Arial" w:eastAsia="Arial" w:hAnsi="Arial"/>
          <w:sz w:val="22"/>
          <w:szCs w:val="22"/>
          <w:color w:val="auto"/>
        </w:rPr>
        <w:t>The document request contained in any Dispute Notice must be complied with or objected to (in whole or in part) by each Party receiving the Dispute Notice in accordance with the following procedures:</w:t>
      </w:r>
    </w:p>
    <w:p>
      <w:pPr>
        <w:spacing w:after="0" w:line="174" w:lineRule="exact"/>
        <w:rPr>
          <w:rFonts w:ascii="Arial" w:cs="Arial" w:eastAsia="Arial" w:hAnsi="Arial"/>
          <w:sz w:val="18"/>
          <w:szCs w:val="18"/>
          <w:color w:val="auto"/>
        </w:rPr>
      </w:pPr>
    </w:p>
    <w:p>
      <w:pPr>
        <w:ind w:left="644" w:right="100" w:firstLine="653"/>
        <w:spacing w:after="0" w:line="302" w:lineRule="auto"/>
        <w:tabs>
          <w:tab w:leader="none" w:pos="1418" w:val="left"/>
        </w:tabs>
        <w:numPr>
          <w:ilvl w:val="2"/>
          <w:numId w:val="225"/>
        </w:numPr>
        <w:rPr>
          <w:rFonts w:ascii="Arial" w:cs="Arial" w:eastAsia="Arial" w:hAnsi="Arial"/>
          <w:sz w:val="19"/>
          <w:szCs w:val="19"/>
          <w:color w:val="auto"/>
        </w:rPr>
      </w:pPr>
      <w:r>
        <w:rPr>
          <w:rFonts w:ascii="Arial" w:cs="Arial" w:eastAsia="Arial" w:hAnsi="Arial"/>
          <w:sz w:val="19"/>
          <w:szCs w:val="19"/>
          <w:color w:val="auto"/>
        </w:rPr>
        <w:t>if the party receiving the Dispute Notice chooses to comply with the document request, in whole or in part, then it shall deliver all responsive documents to the Disputing Party, with a copy to the arbitrator, within 10 days following receipt of the Dispute Notice, and if the responding party is the Independent Third Party, a copy of such requested documents will be delivered to each of the Company and the Insurer within such timeframe.</w:t>
      </w:r>
    </w:p>
    <w:p>
      <w:pPr>
        <w:spacing w:after="0" w:line="358" w:lineRule="exact"/>
        <w:rPr>
          <w:rFonts w:ascii="Arial" w:cs="Arial" w:eastAsia="Arial" w:hAnsi="Arial"/>
          <w:sz w:val="19"/>
          <w:szCs w:val="19"/>
          <w:color w:val="auto"/>
        </w:rPr>
      </w:pPr>
    </w:p>
    <w:p>
      <w:pPr>
        <w:jc w:val="both"/>
        <w:ind w:left="644" w:firstLine="653"/>
        <w:spacing w:after="0" w:line="312" w:lineRule="auto"/>
        <w:tabs>
          <w:tab w:leader="none" w:pos="1418" w:val="left"/>
        </w:tabs>
        <w:numPr>
          <w:ilvl w:val="2"/>
          <w:numId w:val="225"/>
        </w:numPr>
        <w:rPr>
          <w:rFonts w:ascii="Arial" w:cs="Arial" w:eastAsia="Arial" w:hAnsi="Arial"/>
          <w:sz w:val="19"/>
          <w:szCs w:val="19"/>
          <w:color w:val="auto"/>
        </w:rPr>
      </w:pPr>
      <w:r>
        <w:rPr>
          <w:rFonts w:ascii="Arial" w:cs="Arial" w:eastAsia="Arial" w:hAnsi="Arial"/>
          <w:sz w:val="19"/>
          <w:szCs w:val="19"/>
          <w:color w:val="auto"/>
        </w:rPr>
        <w:t>if the party receiving the Dispute Notice chooses to object to the document request, in whole or in part, then it shall deliver a written objection (a “</w:t>
      </w:r>
      <w:r>
        <w:rPr>
          <w:rFonts w:ascii="Arial" w:cs="Arial" w:eastAsia="Arial" w:hAnsi="Arial"/>
          <w:sz w:val="19"/>
          <w:szCs w:val="19"/>
          <w:u w:val="single" w:color="auto"/>
          <w:color w:val="auto"/>
        </w:rPr>
        <w:t>Notice of Objection</w:t>
      </w:r>
      <w:r>
        <w:rPr>
          <w:rFonts w:ascii="Arial" w:cs="Arial" w:eastAsia="Arial" w:hAnsi="Arial"/>
          <w:sz w:val="19"/>
          <w:szCs w:val="19"/>
          <w:color w:val="auto"/>
        </w:rPr>
        <w:t>”, which must specify in reasonable detail the basis for the objection) to the arbitrator and to the Disputing Party within 5 days after receipt of the Dispute Notice.</w:t>
      </w:r>
    </w:p>
    <w:p>
      <w:pPr>
        <w:spacing w:after="0" w:line="349" w:lineRule="exact"/>
        <w:rPr>
          <w:rFonts w:ascii="Arial" w:cs="Arial" w:eastAsia="Arial" w:hAnsi="Arial"/>
          <w:sz w:val="19"/>
          <w:szCs w:val="19"/>
          <w:color w:val="auto"/>
        </w:rPr>
      </w:pPr>
    </w:p>
    <w:p>
      <w:pPr>
        <w:ind w:left="644" w:right="300" w:firstLine="653"/>
        <w:spacing w:after="0" w:line="312" w:lineRule="auto"/>
        <w:tabs>
          <w:tab w:leader="none" w:pos="1418" w:val="left"/>
        </w:tabs>
        <w:numPr>
          <w:ilvl w:val="2"/>
          <w:numId w:val="225"/>
        </w:numPr>
        <w:rPr>
          <w:rFonts w:ascii="Arial" w:cs="Arial" w:eastAsia="Arial" w:hAnsi="Arial"/>
          <w:sz w:val="19"/>
          <w:szCs w:val="19"/>
          <w:color w:val="auto"/>
        </w:rPr>
      </w:pPr>
      <w:r>
        <w:rPr>
          <w:rFonts w:ascii="Arial" w:cs="Arial" w:eastAsia="Arial" w:hAnsi="Arial"/>
          <w:sz w:val="19"/>
          <w:szCs w:val="19"/>
          <w:color w:val="auto"/>
        </w:rPr>
        <w:t>in the event the arbitrator receives a Notice of Objection as described in the preceding paragraph, it shall make a final and binding ruling on the objection within 5 days after receipt of such Notice of Objection, and the Party that submitted the Notice of Objection must comply with such ruling within 3 days after receipt thereof.</w:t>
      </w:r>
    </w:p>
    <w:p>
      <w:pPr>
        <w:spacing w:after="0" w:line="133" w:lineRule="exact"/>
        <w:rPr>
          <w:rFonts w:ascii="Arial" w:cs="Arial" w:eastAsia="Arial" w:hAnsi="Arial"/>
          <w:sz w:val="19"/>
          <w:szCs w:val="19"/>
          <w:color w:val="auto"/>
        </w:rPr>
      </w:pPr>
    </w:p>
    <w:p>
      <w:pPr>
        <w:ind w:left="644" w:right="40" w:hanging="644"/>
        <w:spacing w:after="0" w:line="297" w:lineRule="auto"/>
        <w:tabs>
          <w:tab w:leader="none" w:pos="644" w:val="left"/>
        </w:tabs>
        <w:numPr>
          <w:ilvl w:val="0"/>
          <w:numId w:val="225"/>
        </w:numPr>
        <w:rPr>
          <w:rFonts w:ascii="Arial" w:cs="Arial" w:eastAsia="Arial" w:hAnsi="Arial"/>
          <w:sz w:val="16"/>
          <w:szCs w:val="16"/>
          <w:color w:val="auto"/>
        </w:rPr>
      </w:pPr>
      <w:r>
        <w:rPr>
          <w:rFonts w:ascii="Arial" w:cs="Arial" w:eastAsia="Arial" w:hAnsi="Arial"/>
          <w:sz w:val="19"/>
          <w:szCs w:val="19"/>
          <w:color w:val="auto"/>
        </w:rPr>
        <w:t>Within 5 days following receipt of a Dispute Notice that requests documents as provided for above, the responding party (the “</w:t>
      </w:r>
      <w:r>
        <w:rPr>
          <w:rFonts w:ascii="Arial" w:cs="Arial" w:eastAsia="Arial" w:hAnsi="Arial"/>
          <w:sz w:val="19"/>
          <w:szCs w:val="19"/>
          <w:u w:val="single" w:color="auto"/>
          <w:color w:val="auto"/>
        </w:rPr>
        <w:t>Responding Party</w:t>
      </w:r>
      <w:r>
        <w:rPr>
          <w:rFonts w:ascii="Arial" w:cs="Arial" w:eastAsia="Arial" w:hAnsi="Arial"/>
          <w:sz w:val="19"/>
          <w:szCs w:val="19"/>
          <w:color w:val="auto"/>
        </w:rPr>
        <w:t>”) may issue a request for documents from any other Party regarding such Dispute. The request may include information in the possession or under the control of the other Party that is reasonably relevant and not unduly burdensome to request in light of the nature and amount of the Dispute, including, as applicable, [</w:t>
      </w:r>
    </w:p>
    <w:p>
      <w:pPr>
        <w:spacing w:after="0" w:line="3" w:lineRule="exact"/>
        <w:rPr>
          <w:rFonts w:ascii="Arial" w:cs="Arial" w:eastAsia="Arial" w:hAnsi="Arial"/>
          <w:sz w:val="16"/>
          <w:szCs w:val="16"/>
          <w:color w:val="auto"/>
        </w:rPr>
      </w:pPr>
    </w:p>
    <w:p>
      <w:pPr>
        <w:ind w:left="644" w:right="60" w:firstLine="5"/>
        <w:spacing w:after="0" w:line="278" w:lineRule="auto"/>
        <w:tabs>
          <w:tab w:leader="none" w:pos="1022" w:val="left"/>
        </w:tabs>
        <w:numPr>
          <w:ilvl w:val="1"/>
          <w:numId w:val="225"/>
        </w:numPr>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0"/>
          <w:szCs w:val="20"/>
          <w:color w:val="auto"/>
        </w:rPr>
        <w:t>, the Procedures Manual, the Identified CD-ROM, technology, software and data processing procedures,</w:t>
      </w:r>
      <w:r>
        <w:rPr>
          <w:rFonts w:ascii="Arial" w:cs="Arial" w:eastAsia="Arial" w:hAnsi="Arial"/>
          <w:sz w:val="22"/>
          <w:szCs w:val="22"/>
          <w:color w:val="auto"/>
        </w:rPr>
        <w:t xml:space="preserve"> </w:t>
      </w:r>
      <w:r>
        <w:rPr>
          <w:rFonts w:ascii="Arial" w:cs="Arial" w:eastAsia="Arial" w:hAnsi="Arial"/>
          <w:sz w:val="20"/>
          <w:szCs w:val="20"/>
          <w:color w:val="auto"/>
        </w:rPr>
        <w:t>insurance, actuarial, and any notes and records that the Insurer, the Company or the Independent Third Party, as applicable used to prepare the Spreadsheets and the data contained on the Identified CD-ROM (in the case of requests made to the Insurer) and other materials it used in connection with the calculation of the Post-Closing Final Premium and/or Closing Asset Valuation, and any iteration of the Post-Solicitation Premium.</w:t>
      </w:r>
    </w:p>
    <w:p>
      <w:pPr>
        <w:spacing w:after="0" w:line="217" w:lineRule="exact"/>
        <w:rPr>
          <w:rFonts w:ascii="Arial" w:cs="Arial" w:eastAsia="Arial" w:hAnsi="Arial"/>
          <w:sz w:val="21"/>
          <w:szCs w:val="21"/>
          <w:color w:val="auto"/>
        </w:rPr>
      </w:pPr>
    </w:p>
    <w:p>
      <w:pPr>
        <w:ind w:left="644" w:right="340" w:hanging="644"/>
        <w:spacing w:after="0" w:line="263" w:lineRule="auto"/>
        <w:tabs>
          <w:tab w:leader="none" w:pos="644" w:val="left"/>
        </w:tabs>
        <w:numPr>
          <w:ilvl w:val="0"/>
          <w:numId w:val="225"/>
        </w:numPr>
        <w:rPr>
          <w:rFonts w:ascii="Arial" w:cs="Arial" w:eastAsia="Arial" w:hAnsi="Arial"/>
          <w:sz w:val="18"/>
          <w:szCs w:val="18"/>
          <w:color w:val="auto"/>
        </w:rPr>
      </w:pPr>
      <w:r>
        <w:rPr>
          <w:rFonts w:ascii="Arial" w:cs="Arial" w:eastAsia="Arial" w:hAnsi="Arial"/>
          <w:sz w:val="22"/>
          <w:szCs w:val="22"/>
          <w:color w:val="auto"/>
        </w:rPr>
        <w:t>The document request described in the preceding paragraph must be complied with or objected to (in whole or in part) by the each Party receiving such request in accordance</w:t>
      </w:r>
    </w:p>
    <w:p>
      <w:pPr>
        <w:spacing w:after="0" w:line="195"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Appendix 2.12 - 2</w:t>
      </w:r>
    </w:p>
    <w:p>
      <w:pPr>
        <w:sectPr>
          <w:pgSz w:w="11900" w:h="16838" w:orient="portrait"/>
          <w:cols w:equalWidth="0" w:num="1">
            <w:col w:w="10764"/>
          </w:cols>
          <w:pgMar w:left="896" w:top="591" w:right="239" w:bottom="1440" w:gutter="0" w:footer="0" w:header="0"/>
        </w:sectPr>
      </w:pPr>
    </w:p>
    <w:bookmarkStart w:id="256" w:name="page257"/>
    <w:bookmarkEnd w:id="256"/>
    <w:p>
      <w:pPr>
        <w:ind w:left="1292"/>
        <w:spacing w:after="0"/>
        <w:rPr>
          <w:sz w:val="20"/>
          <w:szCs w:val="20"/>
          <w:color w:val="auto"/>
        </w:rPr>
      </w:pPr>
      <w:r>
        <w:rPr>
          <w:rFonts w:ascii="Arial" w:cs="Arial" w:eastAsia="Arial" w:hAnsi="Arial"/>
          <w:sz w:val="22"/>
          <w:szCs w:val="22"/>
          <w:color w:val="auto"/>
        </w:rPr>
        <w:t>with the following procedures:</w:t>
      </w:r>
    </w:p>
    <w:p>
      <w:pPr>
        <w:spacing w:after="0" w:line="220" w:lineRule="exact"/>
        <w:rPr>
          <w:sz w:val="20"/>
          <w:szCs w:val="20"/>
          <w:color w:val="auto"/>
        </w:rPr>
      </w:pPr>
    </w:p>
    <w:p>
      <w:pPr>
        <w:ind w:left="1292" w:right="180" w:firstLine="653"/>
        <w:spacing w:after="0" w:line="248" w:lineRule="auto"/>
        <w:tabs>
          <w:tab w:leader="none" w:pos="2066" w:val="left"/>
        </w:tabs>
        <w:numPr>
          <w:ilvl w:val="2"/>
          <w:numId w:val="226"/>
        </w:numPr>
        <w:rPr>
          <w:rFonts w:ascii="Arial" w:cs="Arial" w:eastAsia="Arial" w:hAnsi="Arial"/>
          <w:sz w:val="22"/>
          <w:szCs w:val="22"/>
          <w:color w:val="auto"/>
        </w:rPr>
      </w:pPr>
      <w:r>
        <w:rPr>
          <w:rFonts w:ascii="Arial" w:cs="Arial" w:eastAsia="Arial" w:hAnsi="Arial"/>
          <w:sz w:val="22"/>
          <w:szCs w:val="22"/>
          <w:color w:val="auto"/>
        </w:rPr>
        <w:t>if the party receiving such document request chooses to comply with the document request, in whole or in part, then it shall deliver all responsive documents to the Responding Party, with a copy to the arbitrator, within 10 days following receipt of the such document request, and if the party receiving such document request is the Independent Third Party, a copy of such requested documents will be delivered to each of the Company and the Insurer within such timeframe.</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292" w:firstLine="653"/>
        <w:spacing w:after="0" w:line="312" w:lineRule="auto"/>
        <w:tabs>
          <w:tab w:leader="none" w:pos="2066" w:val="left"/>
        </w:tabs>
        <w:numPr>
          <w:ilvl w:val="2"/>
          <w:numId w:val="226"/>
        </w:numPr>
        <w:rPr>
          <w:rFonts w:ascii="Arial" w:cs="Arial" w:eastAsia="Arial" w:hAnsi="Arial"/>
          <w:sz w:val="19"/>
          <w:szCs w:val="19"/>
          <w:color w:val="auto"/>
        </w:rPr>
      </w:pPr>
      <w:r>
        <w:rPr>
          <w:rFonts w:ascii="Arial" w:cs="Arial" w:eastAsia="Arial" w:hAnsi="Arial"/>
          <w:sz w:val="19"/>
          <w:szCs w:val="19"/>
          <w:color w:val="auto"/>
        </w:rPr>
        <w:t>if the party receiving the document request chooses to object to the document request, in whole or in part, then it shall deliver a written Notice of Objection, which must specify in reasonable detail the basis for the objection, to the arbitrator and to the Responding Party within 5 days after receipt of the document request.</w:t>
      </w:r>
    </w:p>
    <w:p>
      <w:pPr>
        <w:spacing w:after="0" w:line="349" w:lineRule="exact"/>
        <w:rPr>
          <w:rFonts w:ascii="Arial" w:cs="Arial" w:eastAsia="Arial" w:hAnsi="Arial"/>
          <w:sz w:val="19"/>
          <w:szCs w:val="19"/>
          <w:color w:val="auto"/>
        </w:rPr>
      </w:pPr>
    </w:p>
    <w:p>
      <w:pPr>
        <w:ind w:left="1292" w:right="300" w:firstLine="653"/>
        <w:spacing w:after="0" w:line="312" w:lineRule="auto"/>
        <w:tabs>
          <w:tab w:leader="none" w:pos="2066" w:val="left"/>
        </w:tabs>
        <w:numPr>
          <w:ilvl w:val="2"/>
          <w:numId w:val="226"/>
        </w:numPr>
        <w:rPr>
          <w:rFonts w:ascii="Arial" w:cs="Arial" w:eastAsia="Arial" w:hAnsi="Arial"/>
          <w:sz w:val="19"/>
          <w:szCs w:val="19"/>
          <w:color w:val="auto"/>
        </w:rPr>
      </w:pPr>
      <w:r>
        <w:rPr>
          <w:rFonts w:ascii="Arial" w:cs="Arial" w:eastAsia="Arial" w:hAnsi="Arial"/>
          <w:sz w:val="19"/>
          <w:szCs w:val="19"/>
          <w:color w:val="auto"/>
        </w:rPr>
        <w:t>in the event the arbitrator receives a Notice of Objection as described in the preceding paragraph, it shall make a final and binding ruling on the objection within 5 days after receipt of such Notice of Objection, and the Party that submitted the Notice of Objection must comply with such ruling within 3 days after receipt thereof.</w:t>
      </w:r>
    </w:p>
    <w:p>
      <w:pPr>
        <w:spacing w:after="0" w:line="133" w:lineRule="exact"/>
        <w:rPr>
          <w:rFonts w:ascii="Arial" w:cs="Arial" w:eastAsia="Arial" w:hAnsi="Arial"/>
          <w:sz w:val="19"/>
          <w:szCs w:val="19"/>
          <w:color w:val="auto"/>
        </w:rPr>
      </w:pPr>
    </w:p>
    <w:p>
      <w:pPr>
        <w:ind w:left="1292" w:right="60" w:hanging="644"/>
        <w:spacing w:after="0" w:line="250" w:lineRule="auto"/>
        <w:tabs>
          <w:tab w:leader="none" w:pos="1292" w:val="left"/>
        </w:tabs>
        <w:numPr>
          <w:ilvl w:val="1"/>
          <w:numId w:val="226"/>
        </w:numPr>
        <w:rPr>
          <w:rFonts w:ascii="Arial" w:cs="Arial" w:eastAsia="Arial" w:hAnsi="Arial"/>
          <w:sz w:val="18"/>
          <w:szCs w:val="18"/>
          <w:color w:val="auto"/>
        </w:rPr>
      </w:pPr>
      <w:r>
        <w:rPr>
          <w:rFonts w:ascii="Arial" w:cs="Arial" w:eastAsia="Arial" w:hAnsi="Arial"/>
          <w:sz w:val="22"/>
          <w:szCs w:val="22"/>
          <w:color w:val="auto"/>
        </w:rPr>
        <w:t>Within 10 days of the delivery of all information as specified in the Dispute Notice and any responsive document request (after giving effect to the resolution of any objections thereto), the Insurer and the Company shall submit to the arbitrator all information and supporting materials that they intend for the arbitrator to review in connection with the Dispute.</w:t>
      </w:r>
    </w:p>
    <w:p>
      <w:pPr>
        <w:spacing w:after="0" w:line="228" w:lineRule="exact"/>
        <w:rPr>
          <w:rFonts w:ascii="Arial" w:cs="Arial" w:eastAsia="Arial" w:hAnsi="Arial"/>
          <w:sz w:val="18"/>
          <w:szCs w:val="18"/>
          <w:color w:val="auto"/>
        </w:rPr>
      </w:pPr>
    </w:p>
    <w:p>
      <w:pPr>
        <w:ind w:left="1292" w:right="140" w:hanging="644"/>
        <w:spacing w:after="0" w:line="281" w:lineRule="auto"/>
        <w:tabs>
          <w:tab w:leader="none" w:pos="1292" w:val="left"/>
        </w:tabs>
        <w:numPr>
          <w:ilvl w:val="1"/>
          <w:numId w:val="226"/>
        </w:numPr>
        <w:rPr>
          <w:rFonts w:ascii="Arial" w:cs="Arial" w:eastAsia="Arial" w:hAnsi="Arial"/>
          <w:sz w:val="17"/>
          <w:szCs w:val="17"/>
          <w:color w:val="auto"/>
        </w:rPr>
      </w:pPr>
      <w:r>
        <w:rPr>
          <w:rFonts w:ascii="Arial" w:cs="Arial" w:eastAsia="Arial" w:hAnsi="Arial"/>
          <w:sz w:val="21"/>
          <w:szCs w:val="21"/>
          <w:color w:val="auto"/>
        </w:rPr>
        <w:t xml:space="preserve">Unless the Insurer and the Company waive a hearing in writing, within 5 days of delivering such information to the arbitrator, the arbitrator shall hear evidence in connection with the Dispute. The hearing shall be no longer than 2 days. [ *** </w:t>
      </w:r>
      <w:r>
        <w:rPr>
          <w:rFonts w:ascii="Arial" w:cs="Arial" w:eastAsia="Arial" w:hAnsi="Arial"/>
          <w:sz w:val="22"/>
          <w:szCs w:val="22"/>
          <w:color w:val="auto"/>
        </w:rPr>
        <w:t>]</w:t>
      </w:r>
      <w:r>
        <w:rPr>
          <w:rFonts w:ascii="Arial" w:cs="Arial" w:eastAsia="Arial" w:hAnsi="Arial"/>
          <w:sz w:val="21"/>
          <w:szCs w:val="21"/>
          <w:color w:val="auto"/>
        </w:rPr>
        <w:t xml:space="preserve"> witness lists shall be exchanged at least 3 days prior to the hearing.</w:t>
      </w:r>
    </w:p>
    <w:p>
      <w:pPr>
        <w:spacing w:after="0" w:line="205" w:lineRule="exact"/>
        <w:rPr>
          <w:rFonts w:ascii="Arial" w:cs="Arial" w:eastAsia="Arial" w:hAnsi="Arial"/>
          <w:sz w:val="17"/>
          <w:szCs w:val="17"/>
          <w:color w:val="auto"/>
        </w:rPr>
      </w:pPr>
    </w:p>
    <w:p>
      <w:pPr>
        <w:ind w:left="1292" w:right="200" w:hanging="644"/>
        <w:spacing w:after="0" w:line="265" w:lineRule="auto"/>
        <w:tabs>
          <w:tab w:leader="none" w:pos="1292" w:val="left"/>
        </w:tabs>
        <w:numPr>
          <w:ilvl w:val="1"/>
          <w:numId w:val="226"/>
        </w:numPr>
        <w:rPr>
          <w:rFonts w:ascii="Arial" w:cs="Arial" w:eastAsia="Arial" w:hAnsi="Arial"/>
          <w:sz w:val="17"/>
          <w:szCs w:val="17"/>
          <w:color w:val="auto"/>
        </w:rPr>
      </w:pPr>
      <w:r>
        <w:rPr>
          <w:rFonts w:ascii="Arial" w:cs="Arial" w:eastAsia="Arial" w:hAnsi="Arial"/>
          <w:sz w:val="21"/>
          <w:szCs w:val="21"/>
          <w:color w:val="auto"/>
        </w:rPr>
        <w:t>Within 10 days following the hearing, the arbitrator shall deliver to the Insurer and the Company a draft arbitration award setting forth the findings of the arbitrator, upon receipt of which each of the Company and the Insurer may, for the 3 day period following receipt of such draft opinion, submit to the arbitrator such additional supporting information and materials as it determines to be appropriate to support its case.</w:t>
      </w:r>
    </w:p>
    <w:p>
      <w:pPr>
        <w:spacing w:after="0" w:line="216" w:lineRule="exact"/>
        <w:rPr>
          <w:rFonts w:ascii="Arial" w:cs="Arial" w:eastAsia="Arial" w:hAnsi="Arial"/>
          <w:sz w:val="17"/>
          <w:szCs w:val="17"/>
          <w:color w:val="auto"/>
        </w:rPr>
      </w:pPr>
    </w:p>
    <w:p>
      <w:pPr>
        <w:ind w:left="1292" w:right="140" w:hanging="644"/>
        <w:spacing w:after="0" w:line="263" w:lineRule="auto"/>
        <w:tabs>
          <w:tab w:leader="none" w:pos="1292" w:val="left"/>
        </w:tabs>
        <w:numPr>
          <w:ilvl w:val="1"/>
          <w:numId w:val="226"/>
        </w:numPr>
        <w:rPr>
          <w:rFonts w:ascii="Arial" w:cs="Arial" w:eastAsia="Arial" w:hAnsi="Arial"/>
          <w:sz w:val="18"/>
          <w:szCs w:val="18"/>
          <w:color w:val="auto"/>
        </w:rPr>
      </w:pPr>
      <w:r>
        <w:rPr>
          <w:rFonts w:ascii="Arial" w:cs="Arial" w:eastAsia="Arial" w:hAnsi="Arial"/>
          <w:sz w:val="22"/>
          <w:szCs w:val="22"/>
          <w:color w:val="auto"/>
        </w:rPr>
        <w:t>Within 5 days following the expiration of the 3 day period described in the preceding paragraph, the arbitrator shall issue the final arbitration award.</w:t>
      </w:r>
    </w:p>
    <w:p>
      <w:pPr>
        <w:spacing w:after="0" w:line="215" w:lineRule="exact"/>
        <w:rPr>
          <w:rFonts w:ascii="Arial" w:cs="Arial" w:eastAsia="Arial" w:hAnsi="Arial"/>
          <w:sz w:val="18"/>
          <w:szCs w:val="18"/>
          <w:color w:val="auto"/>
        </w:rPr>
      </w:pPr>
    </w:p>
    <w:p>
      <w:pPr>
        <w:jc w:val="both"/>
        <w:ind w:left="652" w:right="40" w:hanging="652"/>
        <w:spacing w:after="0" w:line="312" w:lineRule="auto"/>
        <w:tabs>
          <w:tab w:leader="none" w:pos="652"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Any resolution by the Insurer and the Company during the course of good faith negotiation with respect to any Dispute will be set forth in writing and will be final, binding and conclusive upon such Parties. Any Disputes concerning the propriety of the commencement of the arbitration shall be finally settled by arbitration pursuant to this </w:t>
      </w:r>
      <w:r>
        <w:rPr>
          <w:rFonts w:ascii="Arial" w:cs="Arial" w:eastAsia="Arial" w:hAnsi="Arial"/>
          <w:sz w:val="19"/>
          <w:szCs w:val="19"/>
          <w:u w:val="single" w:color="auto"/>
          <w:color w:val="auto"/>
        </w:rPr>
        <w:t>Appendix 2.12</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left="652" w:right="60" w:hanging="652"/>
        <w:spacing w:after="0" w:line="253" w:lineRule="auto"/>
        <w:tabs>
          <w:tab w:leader="none" w:pos="65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Either Party has the right to apply to any court of competent jurisdiction for interim relief necessary to preserve such Party's rights until the arbitrators are appointed. After appointment of the arbitrator, the arbitrator shall have exclusive jurisdiction to consider applications for interim relief.</w:t>
      </w:r>
    </w:p>
    <w:p>
      <w:pPr>
        <w:spacing w:after="0" w:line="200" w:lineRule="exact"/>
        <w:rPr>
          <w:sz w:val="20"/>
          <w:szCs w:val="20"/>
          <w:color w:val="auto"/>
        </w:rPr>
      </w:pPr>
    </w:p>
    <w:p>
      <w:pPr>
        <w:spacing w:after="0" w:line="2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Appendix 2.12 - 3</w:t>
      </w:r>
    </w:p>
    <w:p>
      <w:pPr>
        <w:sectPr>
          <w:pgSz w:w="11900" w:h="16838" w:orient="portrait"/>
          <w:cols w:equalWidth="0" w:num="1">
            <w:col w:w="11412"/>
          </w:cols>
          <w:pgMar w:left="248" w:top="591" w:right="239" w:bottom="1440" w:gutter="0" w:footer="0" w:header="0"/>
        </w:sectPr>
      </w:pPr>
    </w:p>
    <w:bookmarkStart w:id="257" w:name="page258"/>
    <w:bookmarkEnd w:id="257"/>
    <w:p>
      <w:pPr>
        <w:ind w:left="652" w:hanging="652"/>
        <w:spacing w:after="0" w:line="257" w:lineRule="auto"/>
        <w:tabs>
          <w:tab w:leader="none" w:pos="652"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xml:space="preserve">With respect to a Dispute regarding the Insurer's calculation of Post-Closing Final Premium, the arbitrator shall resolve such Dispute within the range of difference between either (i) the Post-Closing Final Premium as calculated by the Insurer or (ii) the Post-Closing Final Premium as calculated by the [ *** </w:t>
      </w:r>
      <w:r>
        <w:rPr>
          <w:rFonts w:ascii="Arial" w:cs="Arial" w:eastAsia="Arial" w:hAnsi="Arial"/>
          <w:sz w:val="23"/>
          <w:szCs w:val="23"/>
          <w:color w:val="auto"/>
        </w:rPr>
        <w:t>]</w:t>
      </w:r>
      <w:r>
        <w:rPr>
          <w:rFonts w:ascii="Arial" w:cs="Arial" w:eastAsia="Arial" w:hAnsi="Arial"/>
          <w:sz w:val="22"/>
          <w:szCs w:val="22"/>
          <w:color w:val="auto"/>
        </w:rPr>
        <w:t xml:space="preserve"> With respect to a Dispute regarding the Company's calculation of the value of any asset in the Final Plan Portfolio, the arbitrator shall resolve such Dispute within the range of difference between either (i) the Company's calculation of the value of such asset or (ii) the Insurer's calculation of the value of such asset. In this regard, the arbitrator will have no authority to award any other damages other than as provided for herein.</w:t>
      </w:r>
    </w:p>
    <w:p>
      <w:pPr>
        <w:spacing w:after="0" w:line="238" w:lineRule="exact"/>
        <w:rPr>
          <w:rFonts w:ascii="Arial" w:cs="Arial" w:eastAsia="Arial" w:hAnsi="Arial"/>
          <w:sz w:val="22"/>
          <w:szCs w:val="22"/>
          <w:color w:val="auto"/>
        </w:rPr>
      </w:pPr>
    </w:p>
    <w:p>
      <w:pPr>
        <w:ind w:left="652" w:right="100" w:hanging="652"/>
        <w:spacing w:after="0" w:line="297" w:lineRule="auto"/>
        <w:tabs>
          <w:tab w:leader="none" w:pos="652" w:val="left"/>
        </w:tabs>
        <w:numPr>
          <w:ilvl w:val="0"/>
          <w:numId w:val="227"/>
        </w:numPr>
        <w:rPr>
          <w:rFonts w:ascii="Arial" w:cs="Arial" w:eastAsia="Arial" w:hAnsi="Arial"/>
          <w:sz w:val="19"/>
          <w:szCs w:val="19"/>
          <w:color w:val="auto"/>
        </w:rPr>
      </w:pPr>
      <w:r>
        <w:rPr>
          <w:rFonts w:ascii="Arial" w:cs="Arial" w:eastAsia="Arial" w:hAnsi="Arial"/>
          <w:sz w:val="19"/>
          <w:szCs w:val="19"/>
          <w:color w:val="auto"/>
        </w:rPr>
        <w:t>Any arbitration award shall be final and binding on the Parties. The Parties undertake to carry out any award without delay and waive their right to any form of recourse based on grounds other than personal conflict of interest of the arbitrator that was undisclosed at the time of the arbitrator's appointment. Judgment upon the award may be entered by any court having jurisdiction thereof or having jurisdiction over the relevant Party or its assets. All amounts finally determined to be due and owing by the arbitrator shall be paid within 5 days following the date of such determination.</w:t>
      </w:r>
    </w:p>
    <w:p>
      <w:pPr>
        <w:spacing w:after="0" w:line="187" w:lineRule="exact"/>
        <w:rPr>
          <w:rFonts w:ascii="Arial" w:cs="Arial" w:eastAsia="Arial" w:hAnsi="Arial"/>
          <w:sz w:val="19"/>
          <w:szCs w:val="19"/>
          <w:color w:val="auto"/>
        </w:rPr>
      </w:pPr>
    </w:p>
    <w:p>
      <w:pPr>
        <w:ind w:left="652" w:right="20" w:hanging="652"/>
        <w:spacing w:after="0" w:line="263" w:lineRule="auto"/>
        <w:tabs>
          <w:tab w:leader="none" w:pos="652"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arbitrator shall undertake its best efforts to take the actions required in the time periods stated herein, provided that if he or she should not do so the arbitrator shall not become functus officio.</w:t>
      </w:r>
    </w:p>
    <w:p>
      <w:pPr>
        <w:spacing w:after="0" w:line="197" w:lineRule="exact"/>
        <w:rPr>
          <w:rFonts w:ascii="Arial" w:cs="Arial" w:eastAsia="Arial" w:hAnsi="Arial"/>
          <w:sz w:val="22"/>
          <w:szCs w:val="22"/>
          <w:color w:val="auto"/>
        </w:rPr>
      </w:pPr>
    </w:p>
    <w:p>
      <w:pPr>
        <w:ind w:left="652" w:right="140" w:hanging="652"/>
        <w:spacing w:after="0" w:line="268" w:lineRule="auto"/>
        <w:tabs>
          <w:tab w:leader="none" w:pos="652"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r>
        <w:rPr>
          <w:rFonts w:ascii="Arial" w:cs="Arial" w:eastAsia="Arial" w:hAnsi="Arial"/>
          <w:sz w:val="22"/>
          <w:szCs w:val="22"/>
          <w:color w:val="auto"/>
        </w:rPr>
        <w:t xml:space="preserve"> Each of the Company and the Insurer shall bear its own costs and expenses incurred in connection with prosecuting and/or defending any Dispute, including all fees of law firms, commercial banks, investment banks, accountants, public relations firms, experts and consultants.</w:t>
      </w:r>
    </w:p>
    <w:p>
      <w:pPr>
        <w:spacing w:after="0" w:line="224" w:lineRule="exact"/>
        <w:rPr>
          <w:rFonts w:ascii="Arial" w:cs="Arial" w:eastAsia="Arial" w:hAnsi="Arial"/>
          <w:sz w:val="22"/>
          <w:szCs w:val="22"/>
          <w:color w:val="auto"/>
        </w:rPr>
      </w:pPr>
    </w:p>
    <w:p>
      <w:pPr>
        <w:ind w:left="652" w:right="200" w:hanging="652"/>
        <w:spacing w:after="0" w:line="287" w:lineRule="auto"/>
        <w:tabs>
          <w:tab w:leader="none" w:pos="652" w:val="left"/>
        </w:tabs>
        <w:numPr>
          <w:ilvl w:val="0"/>
          <w:numId w:val="227"/>
        </w:numPr>
        <w:rPr>
          <w:rFonts w:ascii="Arial" w:cs="Arial" w:eastAsia="Arial" w:hAnsi="Arial"/>
          <w:sz w:val="21"/>
          <w:szCs w:val="21"/>
          <w:color w:val="auto"/>
        </w:rPr>
      </w:pPr>
      <w:r>
        <w:rPr>
          <w:rFonts w:ascii="Arial" w:cs="Arial" w:eastAsia="Arial" w:hAnsi="Arial"/>
          <w:sz w:val="21"/>
          <w:szCs w:val="21"/>
          <w:color w:val="auto"/>
        </w:rPr>
        <w:t xml:space="preserve">All Confidential Information that is provided in connection with any Dispute, and the proceedings relating to any Dispute, shall be subject to the provisions of </w:t>
      </w:r>
      <w:r>
        <w:rPr>
          <w:rFonts w:ascii="Arial" w:cs="Arial" w:eastAsia="Arial" w:hAnsi="Arial"/>
          <w:sz w:val="21"/>
          <w:szCs w:val="21"/>
          <w:u w:val="single" w:color="auto"/>
          <w:color w:val="auto"/>
        </w:rPr>
        <w:t>Section 11.7(b)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11.14,</w:t>
      </w:r>
      <w:r>
        <w:rPr>
          <w:rFonts w:ascii="Arial" w:cs="Arial" w:eastAsia="Arial" w:hAnsi="Arial"/>
          <w:sz w:val="21"/>
          <w:szCs w:val="21"/>
          <w:color w:val="auto"/>
        </w:rPr>
        <w:t xml:space="preserve"> to the extent provided therein.</w:t>
      </w:r>
    </w:p>
    <w:p>
      <w:pPr>
        <w:spacing w:after="0" w:line="192" w:lineRule="exact"/>
        <w:rPr>
          <w:rFonts w:ascii="Arial" w:cs="Arial" w:eastAsia="Arial" w:hAnsi="Arial"/>
          <w:sz w:val="21"/>
          <w:szCs w:val="21"/>
          <w:color w:val="auto"/>
        </w:rPr>
      </w:pPr>
    </w:p>
    <w:p>
      <w:pPr>
        <w:ind w:left="652" w:right="40" w:hanging="652"/>
        <w:spacing w:after="0" w:line="294" w:lineRule="auto"/>
        <w:tabs>
          <w:tab w:leader="none" w:pos="652"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The parties agree that the foregoing procedures and deadlines are intended to ensure that in all events the final award of any arbitrator with respect to Disputes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shall be issued not later than 175 days after the conclusion of the PBGC Review Period. Notwithstanding the foregoing, in the event that any amount is finally determined by the arbitrator to be due and owing from the Plan to the Insurer, but the Plan is no longer existing or otherwise does not make such payment within 5 days after such determination, the Company shall promptly make such payment on behalf of the Plan whereupon the Plan shall be released from any obligation to make such payment.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Appendix 2.12 - 4</w:t>
      </w:r>
    </w:p>
    <w:p>
      <w:pPr>
        <w:sectPr>
          <w:pgSz w:w="11900" w:h="16838" w:orient="portrait"/>
          <w:cols w:equalWidth="0" w:num="1">
            <w:col w:w="11412"/>
          </w:cols>
          <w:pgMar w:left="248" w:top="591" w:right="239" w:bottom="1440" w:gutter="0" w:footer="0" w:header="0"/>
        </w:sectPr>
      </w:pPr>
    </w:p>
    <w:bookmarkStart w:id="258" w:name="page259"/>
    <w:bookmarkEnd w:id="258"/>
    <w:p>
      <w:pPr>
        <w:jc w:val="center"/>
        <w:ind w:right="-11"/>
        <w:spacing w:after="0"/>
        <w:rPr>
          <w:sz w:val="20"/>
          <w:szCs w:val="20"/>
          <w:color w:val="auto"/>
        </w:rPr>
      </w:pPr>
      <w:r>
        <w:rPr>
          <w:rFonts w:ascii="Arial" w:cs="Arial" w:eastAsia="Arial" w:hAnsi="Arial"/>
          <w:sz w:val="22"/>
          <w:szCs w:val="22"/>
          <w:b w:val="1"/>
          <w:bCs w:val="1"/>
          <w:u w:val="single" w:color="auto"/>
          <w:color w:val="auto"/>
        </w:rPr>
        <w:t>Appendix 6.6</w:t>
      </w:r>
    </w:p>
    <w:p>
      <w:pPr>
        <w:spacing w:after="0" w:line="200" w:lineRule="exact"/>
        <w:rPr>
          <w:sz w:val="20"/>
          <w:szCs w:val="20"/>
          <w:color w:val="auto"/>
        </w:rPr>
      </w:pPr>
    </w:p>
    <w:p>
      <w:pPr>
        <w:spacing w:after="0" w:line="236"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RBC RATIO CALCULATION METHOD</w:t>
      </w:r>
    </w:p>
    <w:p>
      <w:pPr>
        <w:spacing w:after="0" w:line="226" w:lineRule="exact"/>
        <w:rPr>
          <w:sz w:val="20"/>
          <w:szCs w:val="20"/>
          <w:color w:val="auto"/>
        </w:rPr>
      </w:pPr>
    </w:p>
    <w:p>
      <w:pPr>
        <w:jc w:val="both"/>
        <w:ind w:left="332" w:right="220" w:hanging="332"/>
        <w:spacing w:after="0" w:line="299" w:lineRule="auto"/>
        <w:tabs>
          <w:tab w:leader="none" w:pos="332" w:val="left"/>
        </w:tabs>
        <w:numPr>
          <w:ilvl w:val="0"/>
          <w:numId w:val="228"/>
        </w:numPr>
        <w:rPr>
          <w:rFonts w:ascii="Arial" w:cs="Arial" w:eastAsia="Arial" w:hAnsi="Arial"/>
          <w:sz w:val="16"/>
          <w:szCs w:val="16"/>
          <w:color w:val="auto"/>
        </w:rPr>
      </w:pPr>
      <w:r>
        <w:rPr>
          <w:rFonts w:ascii="Arial" w:cs="Arial" w:eastAsia="Arial" w:hAnsi="Arial"/>
          <w:sz w:val="19"/>
          <w:szCs w:val="19"/>
          <w:color w:val="auto"/>
        </w:rPr>
        <w:t>The Insurer's normal-course RBC ratio preparation is completed in a reasonable manner, using reasonable assumptions and in accordance with prevailing regulatory standards consistent with current practices for reporting to management or regulators. [</w:t>
      </w:r>
    </w:p>
    <w:p>
      <w:pPr>
        <w:ind w:left="712" w:hanging="388"/>
        <w:spacing w:after="0"/>
        <w:tabs>
          <w:tab w:leader="none" w:pos="712" w:val="left"/>
        </w:tabs>
        <w:numPr>
          <w:ilvl w:val="1"/>
          <w:numId w:val="228"/>
        </w:numPr>
        <w:rPr>
          <w:rFonts w:ascii="Arial" w:cs="Arial" w:eastAsia="Arial" w:hAnsi="Arial"/>
          <w:sz w:val="22"/>
          <w:szCs w:val="22"/>
          <w:color w:val="auto"/>
        </w:rPr>
      </w:pPr>
      <w:r>
        <w:rPr>
          <w:rFonts w:ascii="Arial" w:cs="Arial" w:eastAsia="Arial" w:hAnsi="Arial"/>
          <w:sz w:val="23"/>
          <w:szCs w:val="23"/>
          <w:color w:val="auto"/>
        </w:rPr>
        <w:t>]</w:t>
      </w:r>
    </w:p>
    <w:p>
      <w:pPr>
        <w:spacing w:after="0" w:line="265" w:lineRule="exact"/>
        <w:rPr>
          <w:rFonts w:ascii="Arial" w:cs="Arial" w:eastAsia="Arial" w:hAnsi="Arial"/>
          <w:sz w:val="22"/>
          <w:szCs w:val="22"/>
          <w:color w:val="auto"/>
        </w:rPr>
      </w:pPr>
    </w:p>
    <w:p>
      <w:pPr>
        <w:ind w:left="332" w:right="60" w:hanging="332"/>
        <w:spacing w:after="0" w:line="261" w:lineRule="auto"/>
        <w:tabs>
          <w:tab w:leader="none" w:pos="332" w:val="left"/>
        </w:tabs>
        <w:numPr>
          <w:ilvl w:val="0"/>
          <w:numId w:val="228"/>
        </w:numPr>
        <w:rPr>
          <w:rFonts w:ascii="Arial" w:cs="Arial" w:eastAsia="Arial" w:hAnsi="Arial"/>
          <w:sz w:val="17"/>
          <w:szCs w:val="17"/>
          <w:color w:val="auto"/>
        </w:rPr>
      </w:pPr>
      <w:r>
        <w:rPr>
          <w:rFonts w:ascii="Arial" w:cs="Arial" w:eastAsia="Arial" w:hAnsi="Arial"/>
          <w:sz w:val="21"/>
          <w:szCs w:val="21"/>
          <w:b w:val="1"/>
          <w:bCs w:val="1"/>
          <w:color w:val="auto"/>
        </w:rPr>
        <w:t xml:space="preserve">Preparation of the Projected RBC Ratio: </w:t>
      </w:r>
      <w:r>
        <w:rPr>
          <w:rFonts w:ascii="Arial" w:cs="Arial" w:eastAsia="Arial" w:hAnsi="Arial"/>
          <w:sz w:val="21"/>
          <w:szCs w:val="21"/>
          <w:color w:val="auto"/>
        </w:rPr>
        <w:t>From time to time, the Insurer calculates Projected RBC Ratios. Such Projected</w:t>
      </w:r>
      <w:r>
        <w:rPr>
          <w:rFonts w:ascii="Arial" w:cs="Arial" w:eastAsia="Arial" w:hAnsi="Arial"/>
          <w:sz w:val="21"/>
          <w:szCs w:val="21"/>
          <w:b w:val="1"/>
          <w:bCs w:val="1"/>
          <w:color w:val="auto"/>
        </w:rPr>
        <w:t xml:space="preserve"> </w:t>
      </w:r>
      <w:r>
        <w:rPr>
          <w:rFonts w:ascii="Arial" w:cs="Arial" w:eastAsia="Arial" w:hAnsi="Arial"/>
          <w:sz w:val="21"/>
          <w:szCs w:val="21"/>
          <w:color w:val="auto"/>
        </w:rPr>
        <w:t>RBC Ratios are completed in accordance with NAIC prescribed methodologies for the calculation of Risk-Based Capital and Total Adjusted Capital. The NAIC publishes detailed instructions annually for calculating year-end reported RBC ratios using Risk-Based Capital and Total Adjusted Capital (NAIC Life Risk-Based Capital Report Including Overview and Instructions for Companies); the Insurer's projections of its year-end RBC ratio utilize the same formula as these instructions. Such projections also incorporate NAIC changes to the extent Prudential expects that these changes are expected to be adopted by the NAIC and effective for the forecasted period.</w:t>
      </w:r>
    </w:p>
    <w:p>
      <w:pPr>
        <w:spacing w:after="0" w:line="161" w:lineRule="exact"/>
        <w:rPr>
          <w:rFonts w:ascii="Arial" w:cs="Arial" w:eastAsia="Arial" w:hAnsi="Arial"/>
          <w:sz w:val="17"/>
          <w:szCs w:val="17"/>
          <w:color w:val="auto"/>
        </w:rPr>
      </w:pPr>
    </w:p>
    <w:p>
      <w:pPr>
        <w:ind w:left="332"/>
        <w:spacing w:after="0"/>
        <w:rPr>
          <w:rFonts w:ascii="Arial" w:cs="Arial" w:eastAsia="Arial" w:hAnsi="Arial"/>
          <w:sz w:val="17"/>
          <w:szCs w:val="17"/>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For purposes of asserting an Insurer MAC, the Insurer will [ *** </w:t>
      </w:r>
      <w:r>
        <w:rPr>
          <w:rFonts w:ascii="Arial" w:cs="Arial" w:eastAsia="Arial" w:hAnsi="Arial"/>
          <w:sz w:val="23"/>
          <w:szCs w:val="23"/>
          <w:color w:val="auto"/>
        </w:rPr>
        <w:t>]</w:t>
      </w:r>
    </w:p>
    <w:p>
      <w:pPr>
        <w:spacing w:after="0" w:line="200" w:lineRule="exact"/>
        <w:rPr>
          <w:sz w:val="20"/>
          <w:szCs w:val="20"/>
          <w:color w:val="auto"/>
        </w:rPr>
      </w:pPr>
    </w:p>
    <w:p>
      <w:pPr>
        <w:spacing w:after="0" w:line="238" w:lineRule="exact"/>
        <w:rPr>
          <w:sz w:val="20"/>
          <w:szCs w:val="20"/>
          <w:color w:val="auto"/>
        </w:rPr>
      </w:pPr>
    </w:p>
    <w:p>
      <w:pPr>
        <w:ind w:left="161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40" w:lineRule="exact"/>
        <w:rPr>
          <w:sz w:val="20"/>
          <w:szCs w:val="20"/>
          <w:color w:val="auto"/>
        </w:rPr>
      </w:pPr>
    </w:p>
    <w:p>
      <w:pPr>
        <w:ind w:left="1952" w:hanging="331"/>
        <w:spacing w:after="0" w:line="263" w:lineRule="auto"/>
        <w:tabs>
          <w:tab w:leader="none" w:pos="1952" w:val="left"/>
        </w:tabs>
        <w:numPr>
          <w:ilvl w:val="0"/>
          <w:numId w:val="229"/>
        </w:numPr>
        <w:rPr>
          <w:rFonts w:ascii="Arial" w:cs="Arial" w:eastAsia="Arial" w:hAnsi="Arial"/>
          <w:sz w:val="18"/>
          <w:szCs w:val="18"/>
          <w:color w:val="auto"/>
        </w:rPr>
      </w:pPr>
      <w:r>
        <w:rPr>
          <w:rFonts w:ascii="Arial" w:cs="Arial" w:eastAsia="Arial" w:hAnsi="Arial"/>
          <w:sz w:val="22"/>
          <w:szCs w:val="22"/>
          <w:u w:val="single" w:color="auto"/>
          <w:color w:val="auto"/>
        </w:rPr>
        <w:t>Covered Period</w:t>
      </w:r>
      <w:r>
        <w:rPr>
          <w:rFonts w:ascii="Arial" w:cs="Arial" w:eastAsia="Arial" w:hAnsi="Arial"/>
          <w:sz w:val="22"/>
          <w:szCs w:val="22"/>
          <w:color w:val="auto"/>
        </w:rPr>
        <w:t>” means the period between the DTFA Execution Date and the earlier of the Closing Date and the 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Appendix 6.6 - 1</w:t>
      </w:r>
    </w:p>
    <w:p>
      <w:pPr>
        <w:sectPr>
          <w:pgSz w:w="11900" w:h="16838" w:orient="portrait"/>
          <w:cols w:equalWidth="0" w:num="1">
            <w:col w:w="11412"/>
          </w:cols>
          <w:pgMar w:left="248" w:top="1017" w:right="239" w:bottom="1440" w:gutter="0" w:footer="0" w:header="0"/>
        </w:sectPr>
      </w:pPr>
    </w:p>
    <w:bookmarkStart w:id="259" w:name="page260"/>
    <w:bookmarkEnd w:id="259"/>
    <w:p>
      <w:pPr>
        <w:ind w:left="4220"/>
        <w:spacing w:after="0"/>
        <w:rPr>
          <w:sz w:val="20"/>
          <w:szCs w:val="20"/>
          <w:color w:val="auto"/>
        </w:rPr>
      </w:pPr>
      <w:r>
        <w:rPr>
          <w:rFonts w:ascii="Arial" w:cs="Arial" w:eastAsia="Arial" w:hAnsi="Arial"/>
          <w:sz w:val="22"/>
          <w:szCs w:val="22"/>
          <w:b w:val="1"/>
          <w:bCs w:val="1"/>
          <w:u w:val="single" w:color="auto"/>
          <w:color w:val="auto"/>
        </w:rPr>
        <w:t>Appendix 6.7</w:t>
      </w:r>
    </w:p>
    <w:p>
      <w:pPr>
        <w:spacing w:after="0" w:line="200" w:lineRule="exact"/>
        <w:rPr>
          <w:sz w:val="20"/>
          <w:szCs w:val="20"/>
          <w:color w:val="auto"/>
        </w:rPr>
      </w:pP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Administrative Transition Process</w:t>
      </w:r>
    </w:p>
    <w:p>
      <w:pPr>
        <w:spacing w:after="0" w:line="200" w:lineRule="exact"/>
        <w:rPr>
          <w:sz w:val="20"/>
          <w:szCs w:val="20"/>
          <w:color w:val="auto"/>
        </w:rPr>
      </w:pPr>
    </w:p>
    <w:p>
      <w:pPr>
        <w:spacing w:after="0" w:line="23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Appendix 6.7</w:t>
      </w:r>
      <w:r>
        <w:rPr>
          <w:rFonts w:ascii="Arial" w:cs="Arial" w:eastAsia="Arial" w:hAnsi="Arial"/>
          <w:sz w:val="20"/>
          <w:szCs w:val="20"/>
          <w:color w:val="auto"/>
        </w:rPr>
        <w:t xml:space="preserve"> sets forth the actions that the Insurer, Fidelity Workplace Services, LLC (the “</w:t>
      </w:r>
      <w:r>
        <w:rPr>
          <w:rFonts w:ascii="Arial" w:cs="Arial" w:eastAsia="Arial" w:hAnsi="Arial"/>
          <w:sz w:val="20"/>
          <w:szCs w:val="20"/>
          <w:u w:val="single" w:color="auto"/>
          <w:color w:val="auto"/>
        </w:rPr>
        <w:t>Recordkeeper</w:t>
      </w:r>
      <w:r>
        <w:rPr>
          <w:rFonts w:ascii="Arial" w:cs="Arial" w:eastAsia="Arial" w:hAnsi="Arial"/>
          <w:sz w:val="20"/>
          <w:szCs w:val="20"/>
          <w:color w:val="auto"/>
        </w:rPr>
        <w:t>”) and the Plan shall take at the times identified on the table below. The purpose of these actions is to transfer all administrative functions to the Insurer sufficiently prior to the Closing so that the Insurer can make payments to Annuitants from and after the Annuity Commencement Date.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All Delivery Dates after June 19, 2012 assume the prior delivery to a party responsible for a deliverable of relevant materials needed from other parties, on or prior to the required Delivery Dates set forth in this </w:t>
      </w:r>
      <w:r>
        <w:rPr>
          <w:rFonts w:ascii="Arial" w:cs="Arial" w:eastAsia="Arial" w:hAnsi="Arial"/>
          <w:sz w:val="20"/>
          <w:szCs w:val="20"/>
          <w:u w:val="single" w:color="auto"/>
          <w:color w:val="auto"/>
        </w:rPr>
        <w:t>Appendix 6.7</w:t>
      </w:r>
      <w:r>
        <w:rPr>
          <w:rFonts w:ascii="Arial" w:cs="Arial" w:eastAsia="Arial" w:hAnsi="Arial"/>
          <w:sz w:val="20"/>
          <w:szCs w:val="20"/>
          <w:color w:val="auto"/>
        </w:rPr>
        <w:t>, including cooperation of other parties in resolving any open issues.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Defined Terms</w:t>
      </w:r>
    </w:p>
    <w:p>
      <w:pPr>
        <w:spacing w:after="0" w:line="21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Check Register</w:t>
      </w:r>
      <w:r>
        <w:rPr>
          <w:rFonts w:ascii="Arial" w:cs="Arial" w:eastAsia="Arial" w:hAnsi="Arial"/>
          <w:sz w:val="20"/>
          <w:szCs w:val="20"/>
          <w:color w:val="auto"/>
        </w:rPr>
        <w:t>” means an electronic list showing gross amounts, net amounts and deductions with respect to payments to each Annuitant.</w:t>
      </w:r>
    </w:p>
    <w:p>
      <w:pPr>
        <w:spacing w:after="0" w:line="17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Data Load File</w:t>
      </w:r>
      <w:r>
        <w:rPr>
          <w:rFonts w:ascii="Arial" w:cs="Arial" w:eastAsia="Arial" w:hAnsi="Arial"/>
          <w:sz w:val="20"/>
          <w:szCs w:val="20"/>
          <w:color w:val="auto"/>
        </w:rPr>
        <w:t>” means the complete Updated Data Load File reflecting all corrections since the Preliminary Data Load File and any addendums thereto.</w:t>
      </w:r>
    </w:p>
    <w:p>
      <w:pPr>
        <w:spacing w:after="0" w:line="177"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 Load File</w:t>
      </w:r>
      <w:r>
        <w:rPr>
          <w:rFonts w:ascii="Arial" w:cs="Arial" w:eastAsia="Arial" w:hAnsi="Arial"/>
          <w:sz w:val="20"/>
          <w:szCs w:val="20"/>
          <w:color w:val="auto"/>
        </w:rPr>
        <w:t>” means the Closing Data Load File as loaded to Insurer's recordkeeping systems and reflected in a report provided to the Plan and Recordkeeper.</w:t>
      </w:r>
    </w:p>
    <w:p>
      <w:pPr>
        <w:spacing w:after="0" w:line="177"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 Load File Sign-Off</w:t>
      </w:r>
      <w:r>
        <w:rPr>
          <w:rFonts w:ascii="Arial" w:cs="Arial" w:eastAsia="Arial" w:hAnsi="Arial"/>
          <w:sz w:val="20"/>
          <w:szCs w:val="20"/>
          <w:color w:val="auto"/>
        </w:rPr>
        <w:t>” means the written confirmation by the Plan that the Closing Data Load File has been accurately mapped to the Insurer's recordkeeping system.</w:t>
      </w:r>
    </w:p>
    <w:p>
      <w:pPr>
        <w:spacing w:after="0" w:line="177"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Data Load File</w:t>
      </w:r>
      <w:r>
        <w:rPr>
          <w:rFonts w:ascii="Arial" w:cs="Arial" w:eastAsia="Arial" w:hAnsi="Arial"/>
          <w:sz w:val="20"/>
          <w:szCs w:val="20"/>
          <w:color w:val="auto"/>
        </w:rPr>
        <w:t>” means the Base Data Load File, as populated by the Recordkeeper based on information from the Recordkeeper's internal system.</w:t>
      </w:r>
    </w:p>
    <w:p>
      <w:pPr>
        <w:spacing w:after="0" w:line="177" w:lineRule="exact"/>
        <w:rPr>
          <w:sz w:val="20"/>
          <w:szCs w:val="20"/>
          <w:color w:val="auto"/>
        </w:rPr>
      </w:pPr>
    </w:p>
    <w:p>
      <w:pPr>
        <w:ind w:right="80" w:firstLine="648"/>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Updated Data Load File</w:t>
      </w:r>
      <w:r>
        <w:rPr>
          <w:rFonts w:ascii="Arial" w:cs="Arial" w:eastAsia="Arial" w:hAnsi="Arial"/>
          <w:sz w:val="16"/>
          <w:szCs w:val="16"/>
          <w:color w:val="auto"/>
        </w:rPr>
        <w:t>” means the Base Data Load File as populated by the Recordkeeper based on information from the Recordkeeper's internal systems including updates, corrections and new information since preparation of the prior data load file.</w:t>
      </w:r>
    </w:p>
    <w:p>
      <w:pPr>
        <w:spacing w:after="0" w:line="32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Appendix 6.7 - 1</w:t>
      </w:r>
    </w:p>
    <w:p>
      <w:pPr>
        <w:sectPr>
          <w:pgSz w:w="11900" w:h="16838" w:orient="portrait"/>
          <w:cols w:equalWidth="0" w:num="1">
            <w:col w:w="10500"/>
          </w:cols>
          <w:pgMar w:left="1120" w:top="963" w:right="279" w:bottom="1440" w:gutter="0" w:footer="0" w:header="0"/>
        </w:sectPr>
      </w:pPr>
    </w:p>
    <w:bookmarkStart w:id="260" w:name="page261"/>
    <w:bookmarkEnd w:id="260"/>
    <w:tbl>
      <w:tblPr>
        <w:tblLayout w:type="fixed"/>
        <w:tblInd w:w="10" w:type="dxa"/>
        <w:tblCellMar>
          <w:top w:w="0" w:type="dxa"/>
          <w:left w:w="0" w:type="dxa"/>
          <w:bottom w:w="0" w:type="dxa"/>
          <w:right w:w="0" w:type="dxa"/>
        </w:tblCellMar>
      </w:tblPr>
      <w:tr>
        <w:trPr>
          <w:trHeight w:val="274"/>
        </w:trPr>
        <w:tc>
          <w:tcPr>
            <w:tcW w:w="2320" w:type="dxa"/>
            <w:vAlign w:val="bottom"/>
            <w:tcBorders>
              <w:top w:val="single" w:sz="8" w:color="auto"/>
              <w:left w:val="single" w:sz="8" w:color="auto"/>
              <w:right w:val="single" w:sz="8" w:color="auto"/>
            </w:tcBorders>
          </w:tcPr>
          <w:p>
            <w:pPr>
              <w:jc w:val="right"/>
              <w:ind w:right="573"/>
              <w:spacing w:after="0"/>
              <w:rPr>
                <w:sz w:val="20"/>
                <w:szCs w:val="20"/>
                <w:color w:val="auto"/>
              </w:rPr>
            </w:pPr>
            <w:r>
              <w:rPr>
                <w:rFonts w:ascii="Arial" w:cs="Arial" w:eastAsia="Arial" w:hAnsi="Arial"/>
                <w:sz w:val="20"/>
                <w:szCs w:val="20"/>
                <w:b w:val="1"/>
                <w:bCs w:val="1"/>
                <w:color w:val="auto"/>
              </w:rPr>
              <w:t>Deliverable</w:t>
            </w:r>
          </w:p>
        </w:tc>
        <w:tc>
          <w:tcPr>
            <w:tcW w:w="22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20"/>
                <w:szCs w:val="20"/>
                <w:b w:val="1"/>
                <w:bCs w:val="1"/>
                <w:color w:val="auto"/>
              </w:rPr>
              <w:t>Delivery Date</w:t>
            </w:r>
          </w:p>
        </w:tc>
        <w:tc>
          <w:tcPr>
            <w:tcW w:w="228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Action by Company</w:t>
            </w:r>
          </w:p>
        </w:tc>
        <w:tc>
          <w:tcPr>
            <w:tcW w:w="22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w w:val="92"/>
              </w:rPr>
              <w:t>Action by Recordkeeper</w:t>
            </w:r>
          </w:p>
        </w:tc>
        <w:tc>
          <w:tcPr>
            <w:tcW w:w="228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20"/>
                <w:szCs w:val="20"/>
                <w:b w:val="1"/>
                <w:bCs w:val="1"/>
                <w:color w:val="auto"/>
              </w:rPr>
              <w:t>Action by Insurer</w:t>
            </w:r>
          </w:p>
        </w:tc>
        <w:tc>
          <w:tcPr>
            <w:tcW w:w="0" w:type="dxa"/>
            <w:vAlign w:val="bottom"/>
          </w:tcPr>
          <w:p>
            <w:pPr>
              <w:spacing w:after="0"/>
              <w:rPr>
                <w:sz w:val="1"/>
                <w:szCs w:val="1"/>
                <w:color w:val="auto"/>
              </w:rPr>
            </w:pP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w w:val="94"/>
              </w:rPr>
              <w:t>ž Receive and reconcile</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rPr>
              <w:t>Preliminary Data Load</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Provide for delivery by</w:t>
            </w: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rPr>
              <w:t>File to Priced Lives</w:t>
            </w:r>
          </w:p>
        </w:tc>
        <w:tc>
          <w:tcPr>
            <w:tcW w:w="0" w:type="dxa"/>
            <w:vAlign w:val="bottom"/>
          </w:tcPr>
          <w:p>
            <w:pPr>
              <w:spacing w:after="0"/>
              <w:rPr>
                <w:sz w:val="1"/>
                <w:szCs w:val="1"/>
                <w:color w:val="auto"/>
              </w:rPr>
            </w:pP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ind w:left="240"/>
              <w:spacing w:after="0" w:line="192" w:lineRule="exact"/>
              <w:rPr>
                <w:sz w:val="20"/>
                <w:szCs w:val="20"/>
                <w:color w:val="auto"/>
              </w:rPr>
            </w:pPr>
            <w:r>
              <w:rPr>
                <w:rFonts w:ascii="Arial" w:cs="Arial" w:eastAsia="Arial" w:hAnsi="Arial"/>
                <w:sz w:val="20"/>
                <w:szCs w:val="20"/>
                <w:color w:val="auto"/>
              </w:rPr>
              <w:t>Exhibit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vMerge w:val="restart"/>
          </w:tcPr>
          <w:p>
            <w:pPr>
              <w:jc w:val="right"/>
              <w:ind w:right="1573"/>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Recordkeeper of</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Deliver Preliminary</w:t>
            </w: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w w:val="93"/>
              </w:rPr>
              <w:t>ž Begin data cleanse on</w:t>
            </w:r>
          </w:p>
        </w:tc>
        <w:tc>
          <w:tcPr>
            <w:tcW w:w="0" w:type="dxa"/>
            <w:vAlign w:val="bottom"/>
          </w:tcPr>
          <w:p>
            <w:pPr>
              <w:spacing w:after="0"/>
              <w:rPr>
                <w:sz w:val="1"/>
                <w:szCs w:val="1"/>
                <w:color w:val="auto"/>
              </w:rPr>
            </w:pPr>
          </w:p>
        </w:tc>
      </w:tr>
      <w:tr>
        <w:trPr>
          <w:trHeight w:val="305"/>
        </w:trPr>
        <w:tc>
          <w:tcPr>
            <w:tcW w:w="232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June 19, 2012</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Information</w:t>
            </w:r>
          </w:p>
        </w:tc>
        <w:tc>
          <w:tcPr>
            <w:tcW w:w="2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0"/>
                <w:szCs w:val="20"/>
                <w:color w:val="auto"/>
              </w:rPr>
              <w:t>Non-Solicited Lives</w:t>
            </w:r>
          </w:p>
        </w:tc>
        <w:tc>
          <w:tcPr>
            <w:tcW w:w="0" w:type="dxa"/>
            <w:vAlign w:val="bottom"/>
          </w:tcPr>
          <w:p>
            <w:pPr>
              <w:spacing w:after="0"/>
              <w:rPr>
                <w:sz w:val="1"/>
                <w:szCs w:val="1"/>
                <w:color w:val="auto"/>
              </w:rPr>
            </w:pPr>
          </w:p>
        </w:tc>
      </w:tr>
      <w:tr>
        <w:trPr>
          <w:trHeight w:val="239"/>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w w:val="96"/>
              </w:rPr>
              <w:t>ž Receive and continue</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rPr>
              <w:t>data cleanse on Non-</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rPr>
              <w:t>Solicited Lives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Provide for delivery by</w:t>
            </w:r>
          </w:p>
        </w:tc>
        <w:tc>
          <w:tcPr>
            <w:tcW w:w="22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w w:val="93"/>
              </w:rPr>
              <w:t>ž Begin data cleanse on</w:t>
            </w:r>
          </w:p>
        </w:tc>
        <w:tc>
          <w:tcPr>
            <w:tcW w:w="0" w:type="dxa"/>
            <w:vAlign w:val="bottom"/>
          </w:tcPr>
          <w:p>
            <w:pPr>
              <w:spacing w:after="0"/>
              <w:rPr>
                <w:sz w:val="1"/>
                <w:szCs w:val="1"/>
                <w:color w:val="auto"/>
              </w:rPr>
            </w:pPr>
          </w:p>
        </w:tc>
      </w:tr>
      <w:tr>
        <w:trPr>
          <w:trHeight w:val="192"/>
        </w:trPr>
        <w:tc>
          <w:tcPr>
            <w:tcW w:w="2320" w:type="dxa"/>
            <w:vAlign w:val="bottom"/>
            <w:tcBorders>
              <w:left w:val="single" w:sz="8" w:color="auto"/>
              <w:right w:val="single" w:sz="8" w:color="auto"/>
            </w:tcBorders>
            <w:vMerge w:val="restart"/>
          </w:tcPr>
          <w:p>
            <w:pPr>
              <w:jc w:val="right"/>
              <w:ind w:right="1573"/>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ind w:left="240"/>
              <w:spacing w:after="0" w:line="192" w:lineRule="exact"/>
              <w:rPr>
                <w:sz w:val="20"/>
                <w:szCs w:val="20"/>
                <w:color w:val="auto"/>
              </w:rPr>
            </w:pPr>
            <w:r>
              <w:rPr>
                <w:rFonts w:ascii="Arial" w:cs="Arial" w:eastAsia="Arial" w:hAnsi="Arial"/>
                <w:sz w:val="20"/>
                <w:szCs w:val="20"/>
                <w:color w:val="auto"/>
              </w:rPr>
              <w:t>Solicited Non-Electing</w:t>
            </w:r>
          </w:p>
        </w:tc>
        <w:tc>
          <w:tcPr>
            <w:tcW w:w="0" w:type="dxa"/>
            <w:vAlign w:val="bottom"/>
          </w:tcPr>
          <w:p>
            <w:pPr>
              <w:spacing w:after="0"/>
              <w:rPr>
                <w:sz w:val="1"/>
                <w:szCs w:val="1"/>
                <w:color w:val="auto"/>
              </w:rPr>
            </w:pPr>
          </w:p>
        </w:tc>
      </w:tr>
      <w:tr>
        <w:trPr>
          <w:trHeight w:val="305"/>
        </w:trPr>
        <w:tc>
          <w:tcPr>
            <w:tcW w:w="232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280" w:type="dxa"/>
            <w:vAlign w:val="bottom"/>
            <w:tcBorders>
              <w:bottom w:val="single" w:sz="8" w:color="auto"/>
              <w:right w:val="single" w:sz="8" w:color="auto"/>
            </w:tcBorders>
            <w:vMerge w:val="continue"/>
          </w:tcPr>
          <w:p>
            <w:pPr>
              <w:spacing w:after="0"/>
              <w:rPr>
                <w:sz w:val="24"/>
                <w:szCs w:val="24"/>
                <w:color w:val="auto"/>
              </w:rPr>
            </w:pP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xml:space="preserve">Recordkeeper of </w:t>
            </w:r>
            <w:r>
              <w:rPr>
                <w:rFonts w:ascii="Arial" w:cs="Arial" w:eastAsia="Arial" w:hAnsi="Arial"/>
                <w:sz w:val="21"/>
                <w:szCs w:val="21"/>
                <w:color w:val="auto"/>
              </w:rPr>
              <w:t>[ ***</w:t>
            </w:r>
            <w:r>
              <w:rPr>
                <w:rFonts w:ascii="Arial" w:cs="Arial" w:eastAsia="Arial" w:hAnsi="Arial"/>
                <w:sz w:val="20"/>
                <w:szCs w:val="20"/>
                <w:color w:val="auto"/>
              </w:rPr>
              <w:t xml:space="preserve"> </w:t>
            </w:r>
            <w:r>
              <w:rPr>
                <w:rFonts w:ascii="Arial" w:cs="Arial" w:eastAsia="Arial" w:hAnsi="Arial"/>
                <w:sz w:val="23"/>
                <w:szCs w:val="23"/>
                <w:color w:val="auto"/>
              </w:rPr>
              <w:t>]</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3"/>
              </w:rPr>
              <w:t>Deliver Information Update</w:t>
            </w:r>
          </w:p>
        </w:tc>
        <w:tc>
          <w:tcPr>
            <w:tcW w:w="2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0"/>
                <w:szCs w:val="20"/>
                <w:color w:val="auto"/>
              </w:rPr>
              <w:t>Lives</w:t>
            </w:r>
          </w:p>
        </w:tc>
        <w:tc>
          <w:tcPr>
            <w:tcW w:w="0" w:type="dxa"/>
            <w:vAlign w:val="bottom"/>
          </w:tcPr>
          <w:p>
            <w:pPr>
              <w:spacing w:after="0"/>
              <w:rPr>
                <w:sz w:val="1"/>
                <w:szCs w:val="1"/>
                <w:color w:val="auto"/>
              </w:rPr>
            </w:pPr>
          </w:p>
        </w:tc>
      </w:tr>
      <w:tr>
        <w:trPr>
          <w:trHeight w:val="239"/>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Provide for delivery by</w:t>
            </w: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Receive and load</w:t>
            </w:r>
          </w:p>
        </w:tc>
        <w:tc>
          <w:tcPr>
            <w:tcW w:w="0" w:type="dxa"/>
            <w:vAlign w:val="bottom"/>
          </w:tcPr>
          <w:p>
            <w:pPr>
              <w:spacing w:after="0"/>
              <w:rPr>
                <w:sz w:val="1"/>
                <w:szCs w:val="1"/>
                <w:color w:val="auto"/>
              </w:rPr>
            </w:pPr>
          </w:p>
        </w:tc>
      </w:tr>
      <w:tr>
        <w:trPr>
          <w:trHeight w:val="192"/>
        </w:trPr>
        <w:tc>
          <w:tcPr>
            <w:tcW w:w="2320" w:type="dxa"/>
            <w:vAlign w:val="bottom"/>
            <w:tcBorders>
              <w:left w:val="single" w:sz="8" w:color="auto"/>
              <w:right w:val="single" w:sz="8" w:color="auto"/>
            </w:tcBorders>
            <w:vMerge w:val="restart"/>
          </w:tcPr>
          <w:p>
            <w:pPr>
              <w:jc w:val="right"/>
              <w:ind w:right="1573"/>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0"/>
                <w:szCs w:val="20"/>
                <w:color w:val="auto"/>
                <w:w w:val="95"/>
              </w:rPr>
              <w:t>Production Data to Insurer</w:t>
            </w:r>
          </w:p>
        </w:tc>
        <w:tc>
          <w:tcPr>
            <w:tcW w:w="0" w:type="dxa"/>
            <w:vAlign w:val="bottom"/>
          </w:tcPr>
          <w:p>
            <w:pPr>
              <w:spacing w:after="0"/>
              <w:rPr>
                <w:sz w:val="1"/>
                <w:szCs w:val="1"/>
                <w:color w:val="auto"/>
              </w:rPr>
            </w:pPr>
          </w:p>
        </w:tc>
      </w:tr>
      <w:tr>
        <w:trPr>
          <w:trHeight w:val="305"/>
        </w:trPr>
        <w:tc>
          <w:tcPr>
            <w:tcW w:w="232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280" w:type="dxa"/>
            <w:vAlign w:val="bottom"/>
            <w:tcBorders>
              <w:bottom w:val="single" w:sz="8" w:color="auto"/>
              <w:right w:val="single" w:sz="8" w:color="auto"/>
            </w:tcBorders>
            <w:vMerge w:val="continue"/>
          </w:tcPr>
          <w:p>
            <w:pPr>
              <w:spacing w:after="0"/>
              <w:rPr>
                <w:sz w:val="24"/>
                <w:szCs w:val="24"/>
                <w:color w:val="auto"/>
              </w:rPr>
            </w:pP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xml:space="preserve">Recordkeeper of </w:t>
            </w:r>
            <w:r>
              <w:rPr>
                <w:rFonts w:ascii="Arial" w:cs="Arial" w:eastAsia="Arial" w:hAnsi="Arial"/>
                <w:sz w:val="21"/>
                <w:szCs w:val="21"/>
                <w:color w:val="auto"/>
              </w:rPr>
              <w:t>[ ***</w:t>
            </w:r>
            <w:r>
              <w:rPr>
                <w:rFonts w:ascii="Arial" w:cs="Arial" w:eastAsia="Arial" w:hAnsi="Arial"/>
                <w:sz w:val="20"/>
                <w:szCs w:val="20"/>
                <w:color w:val="auto"/>
              </w:rPr>
              <w:t xml:space="preserve"> </w:t>
            </w:r>
            <w:r>
              <w:rPr>
                <w:rFonts w:ascii="Arial" w:cs="Arial" w:eastAsia="Arial" w:hAnsi="Arial"/>
                <w:sz w:val="23"/>
                <w:szCs w:val="23"/>
                <w:color w:val="auto"/>
              </w:rPr>
              <w:t>]</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Deliver Production Data</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recordkeeping systems</w:t>
            </w:r>
          </w:p>
        </w:tc>
        <w:tc>
          <w:tcPr>
            <w:tcW w:w="0" w:type="dxa"/>
            <w:vAlign w:val="bottom"/>
          </w:tcPr>
          <w:p>
            <w:pPr>
              <w:spacing w:after="0"/>
              <w:rPr>
                <w:sz w:val="1"/>
                <w:szCs w:val="1"/>
                <w:color w:val="auto"/>
              </w:rPr>
            </w:pPr>
          </w:p>
        </w:tc>
      </w:tr>
      <w:tr>
        <w:trPr>
          <w:trHeight w:val="301"/>
        </w:trPr>
        <w:tc>
          <w:tcPr>
            <w:tcW w:w="2320" w:type="dxa"/>
            <w:vAlign w:val="bottom"/>
            <w:tcBorders>
              <w:left w:val="single" w:sz="8" w:color="auto"/>
              <w:right w:val="single" w:sz="8" w:color="auto"/>
            </w:tcBorders>
          </w:tcPr>
          <w:p>
            <w:pPr>
              <w:jc w:val="right"/>
              <w:ind w:right="1573"/>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Receive file</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Receive file</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Deliver Data Load File</w:t>
            </w:r>
          </w:p>
        </w:tc>
        <w:tc>
          <w:tcPr>
            <w:tcW w:w="0" w:type="dxa"/>
            <w:vAlign w:val="bottom"/>
          </w:tcPr>
          <w:p>
            <w:pPr>
              <w:spacing w:after="0"/>
              <w:rPr>
                <w:sz w:val="1"/>
                <w:szCs w:val="1"/>
                <w:color w:val="auto"/>
              </w:rPr>
            </w:pP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320" w:type="dxa"/>
            <w:vAlign w:val="bottom"/>
            <w:tcBorders>
              <w:left w:val="single" w:sz="8" w:color="auto"/>
              <w:right w:val="single" w:sz="8" w:color="auto"/>
            </w:tcBorders>
            <w:vMerge w:val="restart"/>
          </w:tcPr>
          <w:p>
            <w:pPr>
              <w:jc w:val="right"/>
              <w:ind w:right="1573"/>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 xml:space="preserve">Approve </w:t>
            </w:r>
            <w:r>
              <w:rPr>
                <w:rFonts w:ascii="Arial" w:cs="Arial" w:eastAsia="Arial" w:hAnsi="Arial"/>
                <w:sz w:val="21"/>
                <w:szCs w:val="21"/>
                <w:color w:val="auto"/>
              </w:rPr>
              <w:t>[ ***</w:t>
            </w:r>
            <w:r>
              <w:rPr>
                <w:rFonts w:ascii="Arial" w:cs="Arial" w:eastAsia="Arial" w:hAnsi="Arial"/>
                <w:sz w:val="20"/>
                <w:szCs w:val="20"/>
                <w:color w:val="auto"/>
              </w:rPr>
              <w:t xml:space="preserve"> </w:t>
            </w:r>
            <w:r>
              <w:rPr>
                <w:rFonts w:ascii="Arial" w:cs="Arial" w:eastAsia="Arial" w:hAnsi="Arial"/>
                <w:sz w:val="23"/>
                <w:szCs w:val="23"/>
                <w:color w:val="auto"/>
              </w:rPr>
              <w:t>]</w:t>
            </w: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Receive Data Load File</w:t>
            </w: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right w:val="single" w:sz="8" w:color="auto"/>
            </w:tcBorders>
            <w:vMerge w:val="continue"/>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Sign-Off</w:t>
            </w:r>
          </w:p>
        </w:tc>
        <w:tc>
          <w:tcPr>
            <w:tcW w:w="0" w:type="dxa"/>
            <w:vAlign w:val="bottom"/>
          </w:tcPr>
          <w:p>
            <w:pPr>
              <w:spacing w:after="0"/>
              <w:rPr>
                <w:sz w:val="1"/>
                <w:szCs w:val="1"/>
                <w:color w:val="auto"/>
              </w:rPr>
            </w:pP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Appendix 6.7 - 2</w:t>
      </w:r>
    </w:p>
    <w:p>
      <w:pPr>
        <w:sectPr>
          <w:pgSz w:w="11900" w:h="16838" w:orient="portrait"/>
          <w:cols w:equalWidth="0" w:num="1">
            <w:col w:w="11440"/>
          </w:cols>
          <w:pgMar w:left="240" w:top="714" w:right="219" w:bottom="1440" w:gutter="0" w:footer="0" w:header="0"/>
        </w:sectPr>
      </w:pPr>
    </w:p>
    <w:bookmarkStart w:id="261" w:name="page262"/>
    <w:bookmarkEnd w:id="261"/>
    <w:p>
      <w:pPr>
        <w:jc w:val="center"/>
        <w:ind w:right="396"/>
        <w:spacing w:after="0"/>
        <w:rPr>
          <w:sz w:val="20"/>
          <w:szCs w:val="20"/>
          <w:color w:val="auto"/>
        </w:rPr>
      </w:pPr>
      <w:r>
        <w:rPr>
          <w:rFonts w:ascii="Arial" w:cs="Arial" w:eastAsia="Arial" w:hAnsi="Arial"/>
          <w:sz w:val="22"/>
          <w:szCs w:val="22"/>
          <w:b w:val="1"/>
          <w:bCs w:val="1"/>
          <w:u w:val="single" w:color="auto"/>
          <w:color w:val="auto"/>
        </w:rPr>
        <w:t>Appendix 8.2(d)</w:t>
      </w:r>
    </w:p>
    <w:p>
      <w:pPr>
        <w:spacing w:after="0" w:line="220" w:lineRule="exact"/>
        <w:rPr>
          <w:sz w:val="20"/>
          <w:szCs w:val="20"/>
          <w:color w:val="auto"/>
        </w:rPr>
      </w:pPr>
    </w:p>
    <w:p>
      <w:pPr>
        <w:jc w:val="center"/>
        <w:ind w:right="396"/>
        <w:spacing w:after="0"/>
        <w:rPr>
          <w:sz w:val="20"/>
          <w:szCs w:val="20"/>
          <w:color w:val="auto"/>
        </w:rPr>
      </w:pPr>
      <w:r>
        <w:rPr>
          <w:rFonts w:ascii="Arial" w:cs="Arial" w:eastAsia="Arial" w:hAnsi="Arial"/>
          <w:sz w:val="22"/>
          <w:szCs w:val="22"/>
          <w:b w:val="1"/>
          <w:bCs w:val="1"/>
          <w:color w:val="auto"/>
        </w:rPr>
        <w:t>Insurer Governmental Approvals</w:t>
      </w:r>
    </w:p>
    <w:p>
      <w:pPr>
        <w:spacing w:after="0" w:line="200" w:lineRule="exact"/>
        <w:rPr>
          <w:sz w:val="20"/>
          <w:szCs w:val="20"/>
          <w:color w:val="auto"/>
        </w:rPr>
      </w:pPr>
    </w:p>
    <w:p>
      <w:pPr>
        <w:spacing w:after="0" w:line="242" w:lineRule="exact"/>
        <w:rPr>
          <w:sz w:val="20"/>
          <w:szCs w:val="20"/>
          <w:color w:val="auto"/>
        </w:rPr>
      </w:pPr>
    </w:p>
    <w:p>
      <w:pPr>
        <w:ind w:left="4"/>
        <w:spacing w:after="0"/>
        <w:rPr>
          <w:sz w:val="20"/>
          <w:szCs w:val="20"/>
          <w:color w:val="auto"/>
        </w:rPr>
      </w:pPr>
      <w:r>
        <w:rPr>
          <w:rFonts w:ascii="Arial" w:cs="Arial" w:eastAsia="Arial" w:hAnsi="Arial"/>
          <w:sz w:val="21"/>
          <w:szCs w:val="21"/>
          <w:color w:val="auto"/>
        </w:rPr>
        <w:t>The Insurer considers the following agreements and documents as regulatory approvals “Required for Closing”:</w:t>
      </w:r>
    </w:p>
    <w:p>
      <w:pPr>
        <w:spacing w:after="0" w:line="200" w:lineRule="exact"/>
        <w:rPr>
          <w:sz w:val="20"/>
          <w:szCs w:val="20"/>
          <w:color w:val="auto"/>
        </w:rPr>
      </w:pPr>
    </w:p>
    <w:p>
      <w:pPr>
        <w:spacing w:after="0" w:line="247" w:lineRule="exact"/>
        <w:rPr>
          <w:sz w:val="20"/>
          <w:szCs w:val="20"/>
          <w:color w:val="auto"/>
        </w:rPr>
      </w:pPr>
    </w:p>
    <w:p>
      <w:pPr>
        <w:ind w:left="644" w:hanging="644"/>
        <w:spacing w:after="0"/>
        <w:tabs>
          <w:tab w:leader="none" w:pos="644" w:val="left"/>
        </w:tabs>
        <w:numPr>
          <w:ilvl w:val="0"/>
          <w:numId w:val="230"/>
        </w:numPr>
        <w:rPr>
          <w:rFonts w:ascii="Arial" w:cs="Arial" w:eastAsia="Arial" w:hAnsi="Arial"/>
          <w:sz w:val="21"/>
          <w:szCs w:val="21"/>
          <w:color w:val="auto"/>
        </w:rPr>
      </w:pPr>
      <w:r>
        <w:rPr>
          <w:rFonts w:ascii="Arial" w:cs="Arial" w:eastAsia="Arial" w:hAnsi="Arial"/>
          <w:sz w:val="21"/>
          <w:szCs w:val="21"/>
          <w:color w:val="auto"/>
        </w:rPr>
        <w:t>Group Annuity Contract: has been approved by the New York State Department of Financial Services.</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jc w:val="both"/>
        <w:ind w:left="644" w:hanging="644"/>
        <w:spacing w:after="0" w:line="312" w:lineRule="auto"/>
        <w:tabs>
          <w:tab w:leader="none" w:pos="644" w:val="left"/>
        </w:tabs>
        <w:numPr>
          <w:ilvl w:val="0"/>
          <w:numId w:val="230"/>
        </w:numPr>
        <w:rPr>
          <w:rFonts w:ascii="Arial" w:cs="Arial" w:eastAsia="Arial" w:hAnsi="Arial"/>
          <w:sz w:val="19"/>
          <w:szCs w:val="19"/>
          <w:color w:val="auto"/>
        </w:rPr>
      </w:pPr>
      <w:r>
        <w:rPr>
          <w:rFonts w:ascii="Arial" w:cs="Arial" w:eastAsia="Arial" w:hAnsi="Arial"/>
          <w:sz w:val="19"/>
          <w:szCs w:val="19"/>
          <w:color w:val="auto"/>
        </w:rPr>
        <w:t>Amendment to Contract 300 Article P transferring liability for lives not in pay status under Contract 300 Article P but with a guaranteed annuity under such contract to a new group annuity contract, such contract to be determined by mutual agreement: has been approved by the Michigan Office of Financial &amp; Insurance Regulation.</w:t>
      </w:r>
    </w:p>
    <w:p>
      <w:pPr>
        <w:spacing w:after="0" w:line="349" w:lineRule="exact"/>
        <w:rPr>
          <w:rFonts w:ascii="Arial" w:cs="Arial" w:eastAsia="Arial" w:hAnsi="Arial"/>
          <w:sz w:val="19"/>
          <w:szCs w:val="19"/>
          <w:color w:val="auto"/>
        </w:rPr>
      </w:pPr>
    </w:p>
    <w:p>
      <w:pPr>
        <w:ind w:left="644" w:right="140" w:hanging="644"/>
        <w:spacing w:after="0" w:line="263" w:lineRule="auto"/>
        <w:tabs>
          <w:tab w:leader="none" w:pos="644" w:val="left"/>
        </w:tabs>
        <w:numPr>
          <w:ilvl w:val="0"/>
          <w:numId w:val="230"/>
        </w:numPr>
        <w:rPr>
          <w:rFonts w:ascii="Arial" w:cs="Arial" w:eastAsia="Arial" w:hAnsi="Arial"/>
          <w:sz w:val="22"/>
          <w:szCs w:val="22"/>
          <w:color w:val="auto"/>
        </w:rPr>
      </w:pPr>
      <w:r>
        <w:rPr>
          <w:rFonts w:ascii="Arial" w:cs="Arial" w:eastAsia="Arial" w:hAnsi="Arial"/>
          <w:sz w:val="22"/>
          <w:szCs w:val="22"/>
          <w:color w:val="auto"/>
        </w:rPr>
        <w:t>Plan of Operations: has been approved by the New York State Department of Financial Services and New Jersey Department of Banking and Insurance.</w:t>
      </w:r>
    </w:p>
    <w:p>
      <w:pPr>
        <w:spacing w:after="0" w:line="390" w:lineRule="exact"/>
        <w:rPr>
          <w:rFonts w:ascii="Arial" w:cs="Arial" w:eastAsia="Arial" w:hAnsi="Arial"/>
          <w:sz w:val="22"/>
          <w:szCs w:val="22"/>
          <w:color w:val="auto"/>
        </w:rPr>
      </w:pPr>
    </w:p>
    <w:p>
      <w:pPr>
        <w:ind w:left="644" w:hanging="644"/>
        <w:spacing w:after="0"/>
        <w:tabs>
          <w:tab w:leader="none" w:pos="644" w:val="left"/>
        </w:tabs>
        <w:numPr>
          <w:ilvl w:val="0"/>
          <w:numId w:val="230"/>
        </w:numPr>
        <w:rPr>
          <w:rFonts w:ascii="Arial" w:cs="Arial" w:eastAsia="Arial" w:hAnsi="Arial"/>
          <w:sz w:val="22"/>
          <w:szCs w:val="22"/>
          <w:color w:val="auto"/>
        </w:rPr>
      </w:pPr>
      <w:r>
        <w:rPr>
          <w:rFonts w:ascii="Arial" w:cs="Arial" w:eastAsia="Arial" w:hAnsi="Arial"/>
          <w:sz w:val="22"/>
          <w:szCs w:val="22"/>
          <w:color w:val="auto"/>
        </w:rPr>
        <w:t>Annuity Certificates: require filings with and approvals from the following states:</w:t>
      </w:r>
    </w:p>
    <w:p>
      <w:pPr>
        <w:spacing w:after="0" w:line="219" w:lineRule="exact"/>
        <w:rPr>
          <w:rFonts w:ascii="Arial" w:cs="Arial" w:eastAsia="Arial" w:hAnsi="Arial"/>
          <w:sz w:val="22"/>
          <w:szCs w:val="22"/>
          <w:color w:val="auto"/>
        </w:rPr>
      </w:pPr>
    </w:p>
    <w:p>
      <w:pPr>
        <w:ind w:left="1304" w:hanging="331"/>
        <w:spacing w:after="0"/>
        <w:tabs>
          <w:tab w:leader="none" w:pos="1304" w:val="left"/>
        </w:tabs>
        <w:numPr>
          <w:ilvl w:val="1"/>
          <w:numId w:val="230"/>
        </w:numPr>
        <w:rPr>
          <w:rFonts w:ascii="Arial" w:cs="Arial" w:eastAsia="Arial" w:hAnsi="Arial"/>
          <w:sz w:val="18"/>
          <w:szCs w:val="18"/>
          <w:color w:val="auto"/>
        </w:rPr>
      </w:pPr>
      <w:r>
        <w:rPr>
          <w:rFonts w:ascii="Arial" w:cs="Arial" w:eastAsia="Arial" w:hAnsi="Arial"/>
          <w:sz w:val="22"/>
          <w:szCs w:val="22"/>
          <w:color w:val="auto"/>
        </w:rPr>
        <w:t>New York</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0"/>
        </w:numPr>
        <w:rPr>
          <w:rFonts w:ascii="Arial" w:cs="Arial" w:eastAsia="Arial" w:hAnsi="Arial"/>
          <w:sz w:val="18"/>
          <w:szCs w:val="18"/>
          <w:color w:val="auto"/>
        </w:rPr>
      </w:pPr>
      <w:r>
        <w:rPr>
          <w:rFonts w:ascii="Arial" w:cs="Arial" w:eastAsia="Arial" w:hAnsi="Arial"/>
          <w:sz w:val="22"/>
          <w:szCs w:val="22"/>
          <w:color w:val="auto"/>
        </w:rPr>
        <w:t>Ohio</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0"/>
        </w:numPr>
        <w:rPr>
          <w:rFonts w:ascii="Arial" w:cs="Arial" w:eastAsia="Arial" w:hAnsi="Arial"/>
          <w:sz w:val="18"/>
          <w:szCs w:val="18"/>
          <w:color w:val="auto"/>
        </w:rPr>
      </w:pPr>
      <w:r>
        <w:rPr>
          <w:rFonts w:ascii="Arial" w:cs="Arial" w:eastAsia="Arial" w:hAnsi="Arial"/>
          <w:sz w:val="22"/>
          <w:szCs w:val="22"/>
          <w:color w:val="auto"/>
        </w:rPr>
        <w:t>Florida</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1"/>
          <w:szCs w:val="21"/>
          <w:color w:val="auto"/>
        </w:rPr>
        <w:t xml:space="preserve">The Insurer is seeking the following regulatory approvals in accordance with the terms of the Agreement, [ *** </w:t>
      </w:r>
      <w:r>
        <w:rPr>
          <w:rFonts w:ascii="Arial" w:cs="Arial" w:eastAsia="Arial" w:hAnsi="Arial"/>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ind w:left="644" w:hanging="644"/>
        <w:spacing w:after="0"/>
        <w:tabs>
          <w:tab w:leader="none" w:pos="644"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Annuity Certificates: require certificate filings with and approvals from the following states:</w:t>
      </w:r>
    </w:p>
    <w:p>
      <w:pPr>
        <w:spacing w:after="0" w:line="219" w:lineRule="exact"/>
        <w:rPr>
          <w:rFonts w:ascii="Arial" w:cs="Arial" w:eastAsia="Arial" w:hAnsi="Arial"/>
          <w:sz w:val="22"/>
          <w:szCs w:val="22"/>
          <w:color w:val="auto"/>
        </w:rPr>
      </w:pPr>
    </w:p>
    <w:p>
      <w:pPr>
        <w:ind w:left="1304" w:hanging="331"/>
        <w:spacing w:after="0"/>
        <w:tabs>
          <w:tab w:leader="none" w:pos="1304" w:val="left"/>
        </w:tabs>
        <w:numPr>
          <w:ilvl w:val="1"/>
          <w:numId w:val="231"/>
        </w:numPr>
        <w:rPr>
          <w:rFonts w:ascii="Arial" w:cs="Arial" w:eastAsia="Arial" w:hAnsi="Arial"/>
          <w:sz w:val="18"/>
          <w:szCs w:val="18"/>
          <w:color w:val="auto"/>
        </w:rPr>
      </w:pPr>
      <w:r>
        <w:rPr>
          <w:rFonts w:ascii="Arial" w:cs="Arial" w:eastAsia="Arial" w:hAnsi="Arial"/>
          <w:sz w:val="22"/>
          <w:szCs w:val="22"/>
          <w:color w:val="auto"/>
        </w:rPr>
        <w:t>Arkansas</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1"/>
        </w:numPr>
        <w:rPr>
          <w:rFonts w:ascii="Arial" w:cs="Arial" w:eastAsia="Arial" w:hAnsi="Arial"/>
          <w:sz w:val="18"/>
          <w:szCs w:val="18"/>
          <w:color w:val="auto"/>
        </w:rPr>
      </w:pPr>
      <w:r>
        <w:rPr>
          <w:rFonts w:ascii="Arial" w:cs="Arial" w:eastAsia="Arial" w:hAnsi="Arial"/>
          <w:sz w:val="22"/>
          <w:szCs w:val="22"/>
          <w:color w:val="auto"/>
        </w:rPr>
        <w:t>Idaho</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1"/>
        </w:numPr>
        <w:rPr>
          <w:rFonts w:ascii="Arial" w:cs="Arial" w:eastAsia="Arial" w:hAnsi="Arial"/>
          <w:sz w:val="18"/>
          <w:szCs w:val="18"/>
          <w:color w:val="auto"/>
        </w:rPr>
      </w:pPr>
      <w:r>
        <w:rPr>
          <w:rFonts w:ascii="Arial" w:cs="Arial" w:eastAsia="Arial" w:hAnsi="Arial"/>
          <w:sz w:val="22"/>
          <w:szCs w:val="22"/>
          <w:color w:val="auto"/>
        </w:rPr>
        <w:t>Iowa</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1"/>
        </w:numPr>
        <w:rPr>
          <w:rFonts w:ascii="Arial" w:cs="Arial" w:eastAsia="Arial" w:hAnsi="Arial"/>
          <w:sz w:val="18"/>
          <w:szCs w:val="18"/>
          <w:color w:val="auto"/>
        </w:rPr>
      </w:pPr>
      <w:r>
        <w:rPr>
          <w:rFonts w:ascii="Arial" w:cs="Arial" w:eastAsia="Arial" w:hAnsi="Arial"/>
          <w:sz w:val="22"/>
          <w:szCs w:val="22"/>
          <w:color w:val="auto"/>
        </w:rPr>
        <w:t>Louisiana</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1"/>
        </w:numPr>
        <w:rPr>
          <w:rFonts w:ascii="Arial" w:cs="Arial" w:eastAsia="Arial" w:hAnsi="Arial"/>
          <w:sz w:val="18"/>
          <w:szCs w:val="18"/>
          <w:color w:val="auto"/>
        </w:rPr>
      </w:pPr>
      <w:r>
        <w:rPr>
          <w:rFonts w:ascii="Arial" w:cs="Arial" w:eastAsia="Arial" w:hAnsi="Arial"/>
          <w:sz w:val="22"/>
          <w:szCs w:val="22"/>
          <w:color w:val="auto"/>
        </w:rPr>
        <w:t>Minnesota</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1"/>
        </w:numPr>
        <w:rPr>
          <w:rFonts w:ascii="Arial" w:cs="Arial" w:eastAsia="Arial" w:hAnsi="Arial"/>
          <w:sz w:val="18"/>
          <w:szCs w:val="18"/>
          <w:color w:val="auto"/>
        </w:rPr>
      </w:pPr>
      <w:r>
        <w:rPr>
          <w:rFonts w:ascii="Arial" w:cs="Arial" w:eastAsia="Arial" w:hAnsi="Arial"/>
          <w:sz w:val="22"/>
          <w:szCs w:val="22"/>
          <w:color w:val="auto"/>
        </w:rPr>
        <w:t>Mississippi</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1"/>
        </w:numPr>
        <w:rPr>
          <w:rFonts w:ascii="Arial" w:cs="Arial" w:eastAsia="Arial" w:hAnsi="Arial"/>
          <w:sz w:val="18"/>
          <w:szCs w:val="18"/>
          <w:color w:val="auto"/>
        </w:rPr>
      </w:pPr>
      <w:r>
        <w:rPr>
          <w:rFonts w:ascii="Arial" w:cs="Arial" w:eastAsia="Arial" w:hAnsi="Arial"/>
          <w:sz w:val="22"/>
          <w:szCs w:val="22"/>
          <w:color w:val="auto"/>
        </w:rPr>
        <w:t>Montana</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1"/>
        </w:numPr>
        <w:rPr>
          <w:rFonts w:ascii="Arial" w:cs="Arial" w:eastAsia="Arial" w:hAnsi="Arial"/>
          <w:sz w:val="18"/>
          <w:szCs w:val="18"/>
          <w:color w:val="auto"/>
        </w:rPr>
      </w:pPr>
      <w:r>
        <w:rPr>
          <w:rFonts w:ascii="Arial" w:cs="Arial" w:eastAsia="Arial" w:hAnsi="Arial"/>
          <w:sz w:val="22"/>
          <w:szCs w:val="22"/>
          <w:color w:val="auto"/>
        </w:rPr>
        <w:t>New Hampshire</w:t>
      </w:r>
    </w:p>
    <w:p>
      <w:pPr>
        <w:spacing w:after="0" w:line="260" w:lineRule="exact"/>
        <w:rPr>
          <w:rFonts w:ascii="Arial" w:cs="Arial" w:eastAsia="Arial" w:hAnsi="Arial"/>
          <w:sz w:val="18"/>
          <w:szCs w:val="18"/>
          <w:color w:val="auto"/>
        </w:rPr>
      </w:pPr>
    </w:p>
    <w:p>
      <w:pPr>
        <w:ind w:left="1304" w:hanging="331"/>
        <w:spacing w:after="0"/>
        <w:tabs>
          <w:tab w:leader="none" w:pos="1304" w:val="left"/>
        </w:tabs>
        <w:numPr>
          <w:ilvl w:val="1"/>
          <w:numId w:val="231"/>
        </w:numPr>
        <w:rPr>
          <w:rFonts w:ascii="Arial" w:cs="Arial" w:eastAsia="Arial" w:hAnsi="Arial"/>
          <w:sz w:val="18"/>
          <w:szCs w:val="18"/>
          <w:color w:val="auto"/>
        </w:rPr>
      </w:pPr>
      <w:r>
        <w:rPr>
          <w:rFonts w:ascii="Arial" w:cs="Arial" w:eastAsia="Arial" w:hAnsi="Arial"/>
          <w:sz w:val="22"/>
          <w:szCs w:val="22"/>
          <w:color w:val="auto"/>
        </w:rPr>
        <w:t>Oklahoma</w:t>
      </w:r>
    </w:p>
    <w:p>
      <w:pPr>
        <w:sectPr>
          <w:pgSz w:w="11900" w:h="16838" w:orient="portrait"/>
          <w:cols w:equalWidth="0" w:num="1">
            <w:col w:w="10524"/>
          </w:cols>
          <w:pgMar w:left="896" w:top="963" w:right="479" w:bottom="1440" w:gutter="0" w:footer="0" w:header="0"/>
        </w:sectPr>
      </w:pPr>
    </w:p>
    <w:p>
      <w:pPr>
        <w:spacing w:after="0" w:line="240" w:lineRule="exact"/>
        <w:rPr>
          <w:sz w:val="20"/>
          <w:szCs w:val="20"/>
          <w:color w:val="auto"/>
        </w:rPr>
      </w:pPr>
    </w:p>
    <w:p>
      <w:pPr>
        <w:jc w:val="center"/>
        <w:ind w:right="416"/>
        <w:spacing w:after="0"/>
        <w:rPr>
          <w:sz w:val="20"/>
          <w:szCs w:val="20"/>
          <w:color w:val="auto"/>
        </w:rPr>
      </w:pPr>
      <w:r>
        <w:rPr>
          <w:rFonts w:ascii="Arial" w:cs="Arial" w:eastAsia="Arial" w:hAnsi="Arial"/>
          <w:sz w:val="16"/>
          <w:szCs w:val="16"/>
          <w:color w:val="auto"/>
        </w:rPr>
        <w:t>Appendix 8.2(d) - 1</w:t>
      </w:r>
    </w:p>
    <w:p>
      <w:pPr>
        <w:sectPr>
          <w:pgSz w:w="11900" w:h="16838" w:orient="portrait"/>
          <w:cols w:equalWidth="0" w:num="1">
            <w:col w:w="10524"/>
          </w:cols>
          <w:pgMar w:left="896" w:top="963" w:right="479" w:bottom="1440" w:gutter="0" w:footer="0" w:header="0"/>
          <w:type w:val="continuous"/>
        </w:sectPr>
      </w:pPr>
    </w:p>
    <w:bookmarkStart w:id="262" w:name="page263"/>
    <w:bookmarkEnd w:id="262"/>
    <w:p>
      <w:pPr>
        <w:ind w:left="760" w:hanging="331"/>
        <w:spacing w:after="0"/>
        <w:tabs>
          <w:tab w:leader="none" w:pos="760" w:val="left"/>
        </w:tabs>
        <w:numPr>
          <w:ilvl w:val="0"/>
          <w:numId w:val="232"/>
        </w:numPr>
        <w:rPr>
          <w:rFonts w:ascii="Arial" w:cs="Arial" w:eastAsia="Arial" w:hAnsi="Arial"/>
          <w:sz w:val="18"/>
          <w:szCs w:val="18"/>
          <w:color w:val="auto"/>
        </w:rPr>
      </w:pPr>
      <w:r>
        <w:rPr>
          <w:rFonts w:ascii="Arial" w:cs="Arial" w:eastAsia="Arial" w:hAnsi="Arial"/>
          <w:sz w:val="22"/>
          <w:szCs w:val="22"/>
          <w:color w:val="auto"/>
        </w:rPr>
        <w:t>South Dakota</w:t>
      </w:r>
    </w:p>
    <w:p>
      <w:pPr>
        <w:spacing w:after="0" w:line="260" w:lineRule="exact"/>
        <w:rPr>
          <w:rFonts w:ascii="Arial" w:cs="Arial" w:eastAsia="Arial" w:hAnsi="Arial"/>
          <w:sz w:val="18"/>
          <w:szCs w:val="18"/>
          <w:color w:val="auto"/>
        </w:rPr>
      </w:pPr>
    </w:p>
    <w:p>
      <w:pPr>
        <w:ind w:left="760" w:hanging="331"/>
        <w:spacing w:after="0"/>
        <w:tabs>
          <w:tab w:leader="none" w:pos="760" w:val="left"/>
        </w:tabs>
        <w:numPr>
          <w:ilvl w:val="0"/>
          <w:numId w:val="232"/>
        </w:numPr>
        <w:rPr>
          <w:rFonts w:ascii="Arial" w:cs="Arial" w:eastAsia="Arial" w:hAnsi="Arial"/>
          <w:sz w:val="18"/>
          <w:szCs w:val="18"/>
          <w:color w:val="auto"/>
        </w:rPr>
      </w:pPr>
      <w:r>
        <w:rPr>
          <w:rFonts w:ascii="Arial" w:cs="Arial" w:eastAsia="Arial" w:hAnsi="Arial"/>
          <w:sz w:val="22"/>
          <w:szCs w:val="22"/>
          <w:color w:val="auto"/>
        </w:rPr>
        <w:t>Vermont</w:t>
      </w:r>
    </w:p>
    <w:p>
      <w:pPr>
        <w:spacing w:after="0" w:line="260" w:lineRule="exact"/>
        <w:rPr>
          <w:rFonts w:ascii="Arial" w:cs="Arial" w:eastAsia="Arial" w:hAnsi="Arial"/>
          <w:sz w:val="18"/>
          <w:szCs w:val="18"/>
          <w:color w:val="auto"/>
        </w:rPr>
      </w:pPr>
    </w:p>
    <w:p>
      <w:pPr>
        <w:ind w:left="760" w:hanging="331"/>
        <w:spacing w:after="0"/>
        <w:tabs>
          <w:tab w:leader="none" w:pos="760" w:val="left"/>
        </w:tabs>
        <w:numPr>
          <w:ilvl w:val="0"/>
          <w:numId w:val="232"/>
        </w:numPr>
        <w:rPr>
          <w:rFonts w:ascii="Arial" w:cs="Arial" w:eastAsia="Arial" w:hAnsi="Arial"/>
          <w:sz w:val="18"/>
          <w:szCs w:val="18"/>
          <w:color w:val="auto"/>
        </w:rPr>
      </w:pPr>
      <w:r>
        <w:rPr>
          <w:rFonts w:ascii="Arial" w:cs="Arial" w:eastAsia="Arial" w:hAnsi="Arial"/>
          <w:sz w:val="22"/>
          <w:szCs w:val="22"/>
          <w:color w:val="auto"/>
        </w:rPr>
        <w:t>Washington</w:t>
      </w:r>
    </w:p>
    <w:p>
      <w:pPr>
        <w:spacing w:after="0" w:line="260" w:lineRule="exact"/>
        <w:rPr>
          <w:rFonts w:ascii="Arial" w:cs="Arial" w:eastAsia="Arial" w:hAnsi="Arial"/>
          <w:sz w:val="18"/>
          <w:szCs w:val="18"/>
          <w:color w:val="auto"/>
        </w:rPr>
      </w:pPr>
    </w:p>
    <w:p>
      <w:pPr>
        <w:ind w:left="760" w:hanging="331"/>
        <w:spacing w:after="0"/>
        <w:tabs>
          <w:tab w:leader="none" w:pos="7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West Virginia</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8.2(d) - 2</w:t>
      </w:r>
    </w:p>
    <w:p>
      <w:pPr>
        <w:sectPr>
          <w:pgSz w:w="11900" w:h="16838" w:orient="portrait"/>
          <w:cols w:equalWidth="0" w:num="1">
            <w:col w:w="9019"/>
          </w:cols>
          <w:pgMar w:left="1440" w:top="591" w:right="1440"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22"/>
          <w:szCs w:val="22"/>
          <w:b w:val="1"/>
          <w:bCs w:val="1"/>
          <w:color w:val="auto"/>
        </w:rPr>
        <w:t>Appendix 8.2(e)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PLAN GOVERNMENTAL APPROVALS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relevant notification shall have been sent by the Company to the PBGC in respect of the contemplated transactions and the 60 day statutory waiting period shall have expired without the issuance of a notice of non-compliance (or, if such notice of non-compliance has been issued, any non-compliance issues shall have been resolved to the reasonable satisfaction of the Parties).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8.2(e) - 1</w:t>
      </w:r>
    </w:p>
    <w:p>
      <w:pPr>
        <w:sectPr>
          <w:pgSz w:w="11900" w:h="16838" w:orient="portrait"/>
          <w:cols w:equalWidth="0" w:num="1">
            <w:col w:w="11380"/>
          </w:cols>
          <w:pgMar w:left="240" w:top="963" w:right="279" w:bottom="1440" w:gutter="0" w:footer="0" w:header="0"/>
        </w:sectPr>
      </w:pPr>
    </w:p>
    <w:bookmarkStart w:id="264" w:name="page265"/>
    <w:bookmarkEnd w:id="264"/>
    <w:p>
      <w:pPr>
        <w:jc w:val="right"/>
        <w:spacing w:after="0"/>
        <w:rPr>
          <w:sz w:val="20"/>
          <w:szCs w:val="20"/>
          <w:color w:val="auto"/>
        </w:rPr>
      </w:pPr>
      <w:r>
        <w:rPr>
          <w:rFonts w:ascii="Arial" w:cs="Arial" w:eastAsia="Arial" w:hAnsi="Arial"/>
          <w:sz w:val="22"/>
          <w:szCs w:val="22"/>
          <w:b w:val="1"/>
          <w:bCs w:val="1"/>
          <w:color w:val="auto"/>
        </w:rPr>
        <w:t>Date: [November 1, 2012]</w:t>
      </w:r>
    </w:p>
    <w:p>
      <w:pPr>
        <w:spacing w:after="0" w:line="220" w:lineRule="exact"/>
        <w:rPr>
          <w:sz w:val="20"/>
          <w:szCs w:val="20"/>
          <w:color w:val="auto"/>
        </w:rPr>
      </w:pPr>
    </w:p>
    <w:p>
      <w:pPr>
        <w:jc w:val="center"/>
        <w:ind w:right="6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ind w:right="660"/>
        <w:spacing w:after="0"/>
        <w:rPr>
          <w:sz w:val="20"/>
          <w:szCs w:val="20"/>
          <w:color w:val="auto"/>
        </w:rPr>
      </w:pPr>
      <w:r>
        <w:rPr>
          <w:rFonts w:ascii="Arial" w:cs="Arial" w:eastAsia="Arial" w:hAnsi="Arial"/>
          <w:sz w:val="22"/>
          <w:szCs w:val="22"/>
          <w:b w:val="1"/>
          <w:bCs w:val="1"/>
          <w:u w:val="single" w:color="auto"/>
          <w:color w:val="auto"/>
        </w:rPr>
        <w:t>TRANSFERRED ASSETS SCHEDULE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783"/>
        </w:trPr>
        <w:tc>
          <w:tcPr>
            <w:tcW w:w="79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2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 Contribution Amount</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(as of [November 1, 2012])</w:t>
            </w:r>
          </w:p>
        </w:tc>
        <w:tc>
          <w:tcPr>
            <w:tcW w:w="2220" w:type="dxa"/>
            <w:vAlign w:val="bottom"/>
            <w:tcBorders>
              <w:right w:val="single" w:sz="8" w:color="auto"/>
            </w:tcBorders>
            <w:vMerge w:val="restart"/>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r>
        <w:trPr>
          <w:trHeight w:val="227"/>
        </w:trPr>
        <w:tc>
          <w:tcPr>
            <w:tcW w:w="792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2"/>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A. CONTRIBUTION PREVIOUSLY RECEIVED [ *** </w:t>
            </w:r>
            <w:r>
              <w:rPr>
                <w:rFonts w:ascii="Arial" w:cs="Arial" w:eastAsia="Arial" w:hAnsi="Arial"/>
                <w:sz w:val="23"/>
                <w:szCs w:val="23"/>
                <w:color w:val="auto"/>
              </w:rPr>
              <w:t>]</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20" w:type="dxa"/>
            <w:vAlign w:val="bottom"/>
            <w:tcBorders>
              <w:left w:val="single" w:sz="8" w:color="auto"/>
              <w:right w:val="single" w:sz="8" w:color="auto"/>
            </w:tcBorders>
          </w:tcPr>
          <w:p>
            <w:pPr>
              <w:ind w:left="680"/>
              <w:spacing w:after="0" w:line="239" w:lineRule="exact"/>
              <w:rPr>
                <w:sz w:val="20"/>
                <w:szCs w:val="20"/>
                <w:color w:val="auto"/>
              </w:rPr>
            </w:pPr>
            <w:r>
              <w:rPr>
                <w:rFonts w:ascii="Arial" w:cs="Arial" w:eastAsia="Arial" w:hAnsi="Arial"/>
                <w:sz w:val="22"/>
                <w:szCs w:val="22"/>
                <w:color w:val="auto"/>
              </w:rPr>
              <w:t>Agreed Market Value of</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(as of [October [•], 2012])</w:t>
            </w:r>
          </w:p>
        </w:tc>
        <w:tc>
          <w:tcPr>
            <w:tcW w:w="2220" w:type="dxa"/>
            <w:vAlign w:val="bottom"/>
            <w:tcBorders>
              <w:right w:val="single" w:sz="8" w:color="auto"/>
            </w:tcBorders>
            <w:vMerge w:val="restart"/>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r>
        <w:trPr>
          <w:trHeight w:val="227"/>
        </w:trPr>
        <w:tc>
          <w:tcPr>
            <w:tcW w:w="792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2"/>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B. ADJUSTED CONTRIBUTION [ *** </w:t>
            </w:r>
            <w:r>
              <w:rPr>
                <w:rFonts w:ascii="Arial" w:cs="Arial" w:eastAsia="Arial" w:hAnsi="Arial"/>
                <w:sz w:val="23"/>
                <w:szCs w:val="23"/>
                <w:color w:val="auto"/>
              </w:rPr>
              <w:t>]</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20" w:type="dxa"/>
            <w:vAlign w:val="bottom"/>
            <w:tcBorders>
              <w:left w:val="single" w:sz="8" w:color="auto"/>
              <w:right w:val="single" w:sz="8" w:color="auto"/>
            </w:tcBorders>
          </w:tcPr>
          <w:p>
            <w:pPr>
              <w:ind w:left="680"/>
              <w:spacing w:after="0" w:line="239" w:lineRule="exact"/>
              <w:rPr>
                <w:sz w:val="20"/>
                <w:szCs w:val="20"/>
                <w:color w:val="auto"/>
              </w:rPr>
            </w:pPr>
            <w:r>
              <w:rPr>
                <w:rFonts w:ascii="Arial" w:cs="Arial" w:eastAsia="Arial" w:hAnsi="Arial"/>
                <w:sz w:val="22"/>
                <w:szCs w:val="22"/>
                <w:color w:val="auto"/>
              </w:rPr>
              <w:t>Agreed Market Value of</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 xml:space="preserve">Adjusted Contribution Amount [ *** </w:t>
            </w:r>
            <w:r>
              <w:rPr>
                <w:rFonts w:ascii="Arial" w:cs="Arial" w:eastAsia="Arial" w:hAnsi="Arial"/>
                <w:sz w:val="23"/>
                <w:szCs w:val="23"/>
                <w:color w:val="auto"/>
              </w:rPr>
              <w:t>]</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(as of [October [•], 2012])</w:t>
            </w:r>
          </w:p>
        </w:tc>
        <w:tc>
          <w:tcPr>
            <w:tcW w:w="2220" w:type="dxa"/>
            <w:vAlign w:val="bottom"/>
            <w:tcBorders>
              <w:right w:val="single" w:sz="8" w:color="auto"/>
            </w:tcBorders>
            <w:vMerge w:val="restart"/>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r>
        <w:trPr>
          <w:trHeight w:val="227"/>
        </w:trPr>
        <w:tc>
          <w:tcPr>
            <w:tcW w:w="792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2"/>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C. ADJUSTED CONTRIBUTION [ *** </w:t>
            </w:r>
            <w:r>
              <w:rPr>
                <w:rFonts w:ascii="Arial" w:cs="Arial" w:eastAsia="Arial" w:hAnsi="Arial"/>
                <w:sz w:val="23"/>
                <w:szCs w:val="23"/>
                <w:color w:val="auto"/>
              </w:rPr>
              <w:t>]</w:t>
            </w:r>
            <w:r>
              <w:rPr>
                <w:rFonts w:ascii="Arial" w:cs="Arial" w:eastAsia="Arial" w:hAnsi="Arial"/>
                <w:sz w:val="22"/>
                <w:szCs w:val="22"/>
                <w:color w:val="auto"/>
              </w:rPr>
              <w:t>, IF ANY</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20" w:type="dxa"/>
            <w:vAlign w:val="bottom"/>
            <w:tcBorders>
              <w:left w:val="single" w:sz="8" w:color="auto"/>
              <w:right w:val="single" w:sz="8" w:color="auto"/>
            </w:tcBorders>
          </w:tcPr>
          <w:p>
            <w:pPr>
              <w:ind w:left="680"/>
              <w:spacing w:after="0" w:line="239" w:lineRule="exact"/>
              <w:rPr>
                <w:sz w:val="20"/>
                <w:szCs w:val="20"/>
                <w:color w:val="auto"/>
              </w:rPr>
            </w:pPr>
            <w:r>
              <w:rPr>
                <w:rFonts w:ascii="Arial" w:cs="Arial" w:eastAsia="Arial" w:hAnsi="Arial"/>
                <w:sz w:val="22"/>
                <w:szCs w:val="22"/>
                <w:color w:val="auto"/>
              </w:rPr>
              <w:t>Agreed Market Value of</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 xml:space="preserve">Adjusted Contribution Amount to [ *** </w:t>
            </w:r>
            <w:r>
              <w:rPr>
                <w:rFonts w:ascii="Arial" w:cs="Arial" w:eastAsia="Arial" w:hAnsi="Arial"/>
                <w:sz w:val="23"/>
                <w:szCs w:val="23"/>
                <w:color w:val="auto"/>
              </w:rPr>
              <w:t>]</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(as of [October [•], 2012])</w:t>
            </w:r>
          </w:p>
        </w:tc>
        <w:tc>
          <w:tcPr>
            <w:tcW w:w="2220" w:type="dxa"/>
            <w:vAlign w:val="bottom"/>
            <w:tcBorders>
              <w:right w:val="single" w:sz="8" w:color="auto"/>
            </w:tcBorders>
            <w:vMerge w:val="restart"/>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r>
        <w:trPr>
          <w:trHeight w:val="227"/>
        </w:trPr>
        <w:tc>
          <w:tcPr>
            <w:tcW w:w="792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7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Agreed Market Value of Assets Retained by and Transferred to Prudential</w:t>
            </w:r>
          </w:p>
        </w:tc>
        <w:tc>
          <w:tcPr>
            <w:tcW w:w="2220" w:type="dxa"/>
            <w:vAlign w:val="bottom"/>
            <w:tcBorders>
              <w:bottom w:val="single" w:sz="8" w:color="auto"/>
              <w:right w:val="single" w:sz="8" w:color="auto"/>
            </w:tcBorders>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Exhibit A-1 - 1</w:t>
      </w:r>
    </w:p>
    <w:p>
      <w:pPr>
        <w:sectPr>
          <w:pgSz w:w="11900" w:h="16838" w:orient="portrait"/>
          <w:cols w:equalWidth="0" w:num="1">
            <w:col w:w="10760"/>
          </w:cols>
          <w:pgMar w:left="900" w:top="801" w:right="239" w:bottom="1440" w:gutter="0" w:footer="0" w:header="0"/>
        </w:sectPr>
      </w:pPr>
    </w:p>
    <w:bookmarkStart w:id="265" w:name="page266"/>
    <w:bookmarkEnd w:id="265"/>
    <w:p>
      <w:pPr>
        <w:ind w:left="9060"/>
        <w:spacing w:after="0"/>
        <w:rPr>
          <w:sz w:val="20"/>
          <w:szCs w:val="20"/>
          <w:color w:val="auto"/>
        </w:rPr>
      </w:pPr>
      <w:r>
        <w:rPr>
          <w:rFonts w:ascii="Arial" w:cs="Arial" w:eastAsia="Arial" w:hAnsi="Arial"/>
          <w:sz w:val="19"/>
          <w:szCs w:val="19"/>
          <w:b w:val="1"/>
          <w:bCs w:val="1"/>
          <w:color w:val="auto"/>
        </w:rPr>
        <w:t>Date: [November 1, 2012]</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Attachment A to Transferred Assets Schedule [Closing]</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xml:space="preserve">CONTRIBUTION PREVIOUSLY RECEIVED BY </w:t>
      </w:r>
      <w:r>
        <w:rPr>
          <w:rFonts w:ascii="Arial" w:cs="Arial" w:eastAsia="Arial" w:hAnsi="Arial"/>
          <w:sz w:val="22"/>
          <w:szCs w:val="22"/>
          <w:color w:val="auto"/>
        </w:rPr>
        <w:t>[ ***</w:t>
      </w:r>
      <w:r>
        <w:rPr>
          <w:rFonts w:ascii="Arial" w:cs="Arial" w:eastAsia="Arial" w:hAnsi="Arial"/>
          <w:sz w:val="22"/>
          <w:szCs w:val="22"/>
          <w:b w:val="1"/>
          <w:bCs w:val="1"/>
          <w:color w:val="auto"/>
        </w:rPr>
        <w:t xml:space="preserve"> </w:t>
      </w:r>
      <w:r>
        <w:rPr>
          <w:rFonts w:ascii="Arial" w:cs="Arial" w:eastAsia="Arial" w:hAnsi="Arial"/>
          <w:sz w:val="23"/>
          <w:szCs w:val="23"/>
          <w:color w:val="auto"/>
        </w:rPr>
        <w:t>]</w:t>
      </w:r>
      <w:r>
        <w:rPr>
          <w:rFonts w:ascii="Arial" w:cs="Arial" w:eastAsia="Arial" w:hAnsi="Arial"/>
          <w:sz w:val="22"/>
          <w:szCs w:val="22"/>
          <w:b w:val="1"/>
          <w:bCs w:val="1"/>
          <w:color w:val="auto"/>
        </w:rPr>
        <w:t xml:space="preserve"> (as of MM/DD/YY)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Assets: $ 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 $_____________________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1740" w:type="dxa"/>
            <w:vAlign w:val="bottom"/>
            <w:tcBorders>
              <w:top w:val="single" w:sz="8" w:color="auto"/>
              <w:left w:val="single" w:sz="8" w:color="auto"/>
              <w:right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spacing w:after="0"/>
              <w:rPr>
                <w:sz w:val="22"/>
                <w:szCs w:val="22"/>
                <w:color w:val="auto"/>
              </w:rPr>
            </w:pPr>
          </w:p>
        </w:tc>
        <w:tc>
          <w:tcPr>
            <w:tcW w:w="1380" w:type="dxa"/>
            <w:vAlign w:val="bottom"/>
            <w:tcBorders>
              <w:top w:val="single" w:sz="8" w:color="auto"/>
              <w:right w:val="single" w:sz="8" w:color="auto"/>
            </w:tcBorders>
          </w:tcPr>
          <w:p>
            <w:pPr>
              <w:spacing w:after="0"/>
              <w:rPr>
                <w:sz w:val="22"/>
                <w:szCs w:val="22"/>
                <w:color w:val="auto"/>
              </w:rPr>
            </w:pPr>
          </w:p>
        </w:tc>
        <w:tc>
          <w:tcPr>
            <w:tcW w:w="1720" w:type="dxa"/>
            <w:vAlign w:val="bottom"/>
            <w:tcBorders>
              <w:top w:val="single" w:sz="8" w:color="auto"/>
              <w:right w:val="single" w:sz="8" w:color="auto"/>
            </w:tcBorders>
          </w:tcPr>
          <w:p>
            <w:pPr>
              <w:spacing w:after="0"/>
              <w:rPr>
                <w:sz w:val="22"/>
                <w:szCs w:val="22"/>
                <w:color w:val="auto"/>
              </w:rPr>
            </w:pPr>
          </w:p>
        </w:tc>
        <w:tc>
          <w:tcPr>
            <w:tcW w:w="1460" w:type="dxa"/>
            <w:vAlign w:val="bottom"/>
            <w:tcBorders>
              <w:top w:val="single" w:sz="8" w:color="auto"/>
              <w:right w:val="single" w:sz="8" w:color="auto"/>
            </w:tcBorders>
          </w:tcPr>
          <w:p>
            <w:pPr>
              <w:spacing w:after="0"/>
              <w:rPr>
                <w:sz w:val="22"/>
                <w:szCs w:val="22"/>
                <w:color w:val="auto"/>
              </w:rPr>
            </w:pPr>
          </w:p>
        </w:tc>
        <w:tc>
          <w:tcPr>
            <w:tcW w:w="1480" w:type="dxa"/>
            <w:vAlign w:val="bottom"/>
            <w:tcBorders>
              <w:top w:val="single" w:sz="8" w:color="auto"/>
              <w:right w:val="single" w:sz="8" w:color="auto"/>
            </w:tcBorders>
          </w:tcPr>
          <w:p>
            <w:pPr>
              <w:spacing w:after="0"/>
              <w:rPr>
                <w:sz w:val="22"/>
                <w:szCs w:val="22"/>
                <w:color w:val="auto"/>
              </w:rPr>
            </w:pP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MKT</w:t>
            </w:r>
          </w:p>
        </w:tc>
      </w:tr>
      <w:tr>
        <w:trPr>
          <w:trHeight w:val="243"/>
        </w:trPr>
        <w:tc>
          <w:tcPr>
            <w:tcW w:w="1740" w:type="dxa"/>
            <w:vAlign w:val="bottom"/>
            <w:tcBorders>
              <w:left w:val="single" w:sz="8" w:color="auto"/>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6"/>
              </w:rPr>
              <w:t>VALUE</w:t>
            </w:r>
          </w:p>
        </w:tc>
      </w:tr>
      <w:tr>
        <w:trPr>
          <w:trHeight w:val="243"/>
        </w:trPr>
        <w:tc>
          <w:tcPr>
            <w:tcW w:w="1740" w:type="dxa"/>
            <w:vAlign w:val="bottom"/>
            <w:tcBorders>
              <w:left w:val="single" w:sz="8" w:color="auto"/>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9"/>
              </w:rPr>
              <w:t>MATURITY</w:t>
            </w:r>
          </w:p>
        </w:tc>
        <w:tc>
          <w:tcPr>
            <w:tcW w:w="14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PAR</w:t>
            </w:r>
          </w:p>
        </w:tc>
        <w:tc>
          <w:tcPr>
            <w:tcW w:w="14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5"/>
              </w:rPr>
              <w:t>CREDIT</w:t>
            </w:r>
          </w:p>
        </w:tc>
        <w:tc>
          <w:tcPr>
            <w:tcW w:w="18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(AS OF</w:t>
            </w:r>
          </w:p>
        </w:tc>
      </w:tr>
      <w:tr>
        <w:trPr>
          <w:trHeight w:val="28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CUSIP</w:t>
            </w:r>
          </w:p>
        </w:tc>
        <w:tc>
          <w:tcPr>
            <w:tcW w:w="18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2"/>
                <w:szCs w:val="22"/>
                <w:color w:val="auto"/>
              </w:rPr>
              <w:t>ISSUER</w:t>
            </w:r>
          </w:p>
        </w:tc>
        <w:tc>
          <w:tcPr>
            <w:tcW w:w="13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2"/>
                <w:szCs w:val="22"/>
                <w:color w:val="auto"/>
              </w:rPr>
              <w:t>COUPON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DATE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AMOUNT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QUALITY</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MM/DD/YY)</w:t>
            </w:r>
          </w:p>
        </w:tc>
      </w:tr>
      <w:tr>
        <w:trPr>
          <w:trHeight w:val="77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763"/>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8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SUB TOTAL</w:t>
            </w:r>
          </w:p>
        </w:tc>
        <w:tc>
          <w:tcPr>
            <w:tcW w:w="18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A-1 - 2</w:t>
      </w:r>
    </w:p>
    <w:p>
      <w:pPr>
        <w:sectPr>
          <w:pgSz w:w="11900" w:h="16838" w:orient="portrait"/>
          <w:cols w:equalWidth="0" w:num="1">
            <w:col w:w="11440"/>
          </w:cols>
          <w:pgMar w:left="240" w:top="1058" w:right="219" w:bottom="1440" w:gutter="0" w:footer="0" w:header="0"/>
        </w:sectPr>
      </w:pPr>
    </w:p>
    <w:bookmarkStart w:id="266" w:name="page267"/>
    <w:bookmarkEnd w:id="266"/>
    <w:p>
      <w:pPr>
        <w:jc w:val="right"/>
        <w:spacing w:after="0"/>
        <w:rPr>
          <w:sz w:val="20"/>
          <w:szCs w:val="20"/>
          <w:color w:val="auto"/>
        </w:rPr>
      </w:pPr>
      <w:r>
        <w:rPr>
          <w:rFonts w:ascii="Arial" w:cs="Arial" w:eastAsia="Arial" w:hAnsi="Arial"/>
          <w:sz w:val="22"/>
          <w:szCs w:val="22"/>
          <w:b w:val="1"/>
          <w:bCs w:val="1"/>
          <w:color w:val="auto"/>
        </w:rPr>
        <w:t>Date: [November 1,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Attachment B to Transferred Assets Schedule [Closing]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ADJUSTED CONTRIBUTION TO [ *** </w:t>
      </w:r>
      <w:r>
        <w:rPr>
          <w:rFonts w:ascii="Arial" w:cs="Arial" w:eastAsia="Arial" w:hAnsi="Arial"/>
          <w:sz w:val="23"/>
          <w:szCs w:val="23"/>
          <w:b w:val="1"/>
          <w:bCs w:val="1"/>
          <w:color w:val="auto"/>
        </w:rPr>
        <w:t>]</w:t>
      </w:r>
      <w:r>
        <w:rPr>
          <w:rFonts w:ascii="Arial" w:cs="Arial" w:eastAsia="Arial" w:hAnsi="Arial"/>
          <w:sz w:val="22"/>
          <w:szCs w:val="22"/>
          <w:b w:val="1"/>
          <w:bCs w:val="1"/>
          <w:color w:val="auto"/>
        </w:rPr>
        <w:t xml:space="preserve"> (as of MM/DD/YY)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Assets: $ 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Income Assets: $_____________________</w:t>
      </w:r>
    </w:p>
    <w:p>
      <w:pPr>
        <w:spacing w:after="0" w:line="200" w:lineRule="exact"/>
        <w:rPr>
          <w:sz w:val="20"/>
          <w:szCs w:val="20"/>
          <w:color w:val="auto"/>
        </w:rPr>
      </w:pPr>
    </w:p>
    <w:p>
      <w:pPr>
        <w:spacing w:after="0" w:line="241" w:lineRule="exact"/>
        <w:rPr>
          <w:sz w:val="20"/>
          <w:szCs w:val="20"/>
          <w:color w:val="auto"/>
        </w:rPr>
      </w:pPr>
    </w:p>
    <w:p>
      <w:pPr>
        <w:ind w:left="120" w:hanging="112"/>
        <w:spacing w:after="0"/>
        <w:tabs>
          <w:tab w:leader="none" w:pos="1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 $_____________________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Income Assets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080" w:type="dxa"/>
            <w:vAlign w:val="bottom"/>
            <w:tcBorders>
              <w:top w:val="single" w:sz="8" w:color="auto"/>
              <w:left w:val="single" w:sz="8" w:color="auto"/>
              <w:right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right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80" w:type="dxa"/>
            <w:vAlign w:val="bottom"/>
            <w:tcBorders>
              <w:top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rPr>
              <w:t>MKT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rPr>
              <w:t>VALUE</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color w:val="auto"/>
              </w:rPr>
              <w:t>MATURITY</w:t>
            </w:r>
          </w:p>
        </w:tc>
        <w:tc>
          <w:tcPr>
            <w:tcW w:w="300" w:type="dxa"/>
            <w:vAlign w:val="bottom"/>
          </w:tcPr>
          <w:p>
            <w:pPr>
              <w:spacing w:after="0"/>
              <w:rPr>
                <w:sz w:val="18"/>
                <w:szCs w:val="18"/>
                <w:color w:val="auto"/>
              </w:rPr>
            </w:pPr>
          </w:p>
        </w:tc>
        <w:tc>
          <w:tcPr>
            <w:tcW w:w="1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PAR</w:t>
            </w:r>
          </w:p>
        </w:tc>
        <w:tc>
          <w:tcPr>
            <w:tcW w:w="200" w:type="dxa"/>
            <w:vAlign w:val="bottom"/>
          </w:tcPr>
          <w:p>
            <w:pPr>
              <w:spacing w:after="0"/>
              <w:rPr>
                <w:sz w:val="18"/>
                <w:szCs w:val="18"/>
                <w:color w:val="auto"/>
              </w:rPr>
            </w:pPr>
          </w:p>
        </w:tc>
        <w:tc>
          <w:tcPr>
            <w:tcW w:w="13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CREDIT</w:t>
            </w:r>
          </w:p>
        </w:tc>
        <w:tc>
          <w:tcPr>
            <w:tcW w:w="100" w:type="dxa"/>
            <w:vAlign w:val="bottom"/>
          </w:tcPr>
          <w:p>
            <w:pPr>
              <w:spacing w:after="0"/>
              <w:rPr>
                <w:sz w:val="18"/>
                <w:szCs w:val="18"/>
                <w:color w:val="auto"/>
              </w:rPr>
            </w:pPr>
          </w:p>
        </w:tc>
        <w:tc>
          <w:tcPr>
            <w:tcW w:w="17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(AS OF</w:t>
            </w:r>
          </w:p>
        </w:tc>
      </w:tr>
      <w:tr>
        <w:trPr>
          <w:trHeight w:val="230"/>
        </w:trPr>
        <w:tc>
          <w:tcPr>
            <w:tcW w:w="108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CUSIP</w:t>
            </w:r>
          </w:p>
        </w:tc>
        <w:tc>
          <w:tcPr>
            <w:tcW w:w="22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ISSUER</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COUPON</w:t>
            </w:r>
          </w:p>
        </w:tc>
        <w:tc>
          <w:tcPr>
            <w:tcW w:w="320" w:type="dxa"/>
            <w:vAlign w:val="bottom"/>
          </w:tcPr>
          <w:p>
            <w:pPr>
              <w:spacing w:after="0"/>
              <w:rPr>
                <w:sz w:val="20"/>
                <w:szCs w:val="20"/>
                <w:color w:val="auto"/>
              </w:rPr>
            </w:pPr>
          </w:p>
        </w:tc>
        <w:tc>
          <w:tcPr>
            <w:tcW w:w="14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5"/>
              </w:rPr>
              <w:t>DATE</w:t>
            </w:r>
          </w:p>
        </w:tc>
        <w:tc>
          <w:tcPr>
            <w:tcW w:w="300" w:type="dxa"/>
            <w:vAlign w:val="bottom"/>
          </w:tcPr>
          <w:p>
            <w:pPr>
              <w:spacing w:after="0"/>
              <w:rPr>
                <w:sz w:val="20"/>
                <w:szCs w:val="20"/>
                <w:color w:val="auto"/>
              </w:rPr>
            </w:pP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3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rPr>
              <w:t>QUALITY</w:t>
            </w:r>
          </w:p>
        </w:tc>
        <w:tc>
          <w:tcPr>
            <w:tcW w:w="100" w:type="dxa"/>
            <w:vAlign w:val="bottom"/>
          </w:tcPr>
          <w:p>
            <w:pPr>
              <w:spacing w:after="0"/>
              <w:rPr>
                <w:sz w:val="20"/>
                <w:szCs w:val="20"/>
                <w:color w:val="auto"/>
              </w:rPr>
            </w:pPr>
          </w:p>
        </w:tc>
        <w:tc>
          <w:tcPr>
            <w:tcW w:w="17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rPr>
              <w:t>MM/DD/YY)</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763"/>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r>
        <w:trPr>
          <w:trHeight w:val="763"/>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r>
        <w:trPr>
          <w:trHeight w:val="222"/>
        </w:trPr>
        <w:tc>
          <w:tcPr>
            <w:tcW w:w="10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SUB</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r>
      <w:tr>
        <w:trPr>
          <w:trHeight w:val="230"/>
        </w:trPr>
        <w:tc>
          <w:tcPr>
            <w:tcW w:w="108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642"/>
        </w:trPr>
        <w:tc>
          <w:tcPr>
            <w:tcW w:w="1080" w:type="dxa"/>
            <w:vAlign w:val="bottom"/>
          </w:tcPr>
          <w:p>
            <w:pPr>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35"/>
        </w:trPr>
        <w:tc>
          <w:tcPr>
            <w:tcW w:w="10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r>
      <w:tr>
        <w:trPr>
          <w:trHeight w:val="222"/>
        </w:trPr>
        <w:tc>
          <w:tcPr>
            <w:tcW w:w="10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5"/>
              </w:rPr>
              <w:t>NEWCO</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r>
      <w:tr>
        <w:trPr>
          <w:trHeight w:val="230"/>
        </w:trPr>
        <w:tc>
          <w:tcPr>
            <w:tcW w:w="1080" w:type="dxa"/>
            <w:vAlign w:val="bottom"/>
            <w:tcBorders>
              <w:left w:val="single" w:sz="8" w:color="auto"/>
            </w:tcBorders>
          </w:tcPr>
          <w:p>
            <w:pPr>
              <w:jc w:val="center"/>
              <w:ind w:left="43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Borders>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 *** ]</w:t>
            </w:r>
          </w:p>
        </w:tc>
        <w:tc>
          <w:tcPr>
            <w:tcW w:w="420" w:type="dxa"/>
            <w:vAlign w:val="bottom"/>
          </w:tcPr>
          <w:p>
            <w:pPr>
              <w:spacing w:after="0"/>
              <w:rPr>
                <w:sz w:val="20"/>
                <w:szCs w:val="20"/>
                <w:color w:val="auto"/>
              </w:rPr>
            </w:pPr>
          </w:p>
        </w:tc>
        <w:tc>
          <w:tcPr>
            <w:tcW w:w="1360" w:type="dxa"/>
            <w:vAlign w:val="bottom"/>
            <w:tcBorders>
              <w:right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 *** ]</w:t>
            </w:r>
          </w:p>
        </w:tc>
        <w:tc>
          <w:tcPr>
            <w:tcW w:w="420" w:type="dxa"/>
            <w:vAlign w:val="bottom"/>
          </w:tcPr>
          <w:p>
            <w:pPr>
              <w:spacing w:after="0"/>
              <w:rPr>
                <w:sz w:val="20"/>
                <w:szCs w:val="20"/>
                <w:color w:val="auto"/>
              </w:rPr>
            </w:pPr>
          </w:p>
        </w:tc>
        <w:tc>
          <w:tcPr>
            <w:tcW w:w="1460" w:type="dxa"/>
            <w:vAlign w:val="bottom"/>
            <w:gridSpan w:val="2"/>
          </w:tcPr>
          <w:p>
            <w:pPr>
              <w:jc w:val="right"/>
              <w:ind w:right="530"/>
              <w:spacing w:after="0"/>
              <w:rPr>
                <w:sz w:val="20"/>
                <w:szCs w:val="20"/>
                <w:color w:val="auto"/>
              </w:rPr>
            </w:pPr>
            <w:r>
              <w:rPr>
                <w:rFonts w:ascii="Arial" w:cs="Arial" w:eastAsia="Arial" w:hAnsi="Arial"/>
                <w:sz w:val="18"/>
                <w:szCs w:val="18"/>
                <w:color w:val="auto"/>
              </w:rPr>
              <w:t>[ *** ]</w:t>
            </w:r>
          </w:p>
        </w:tc>
        <w:tc>
          <w:tcPr>
            <w:tcW w:w="200" w:type="dxa"/>
            <w:vAlign w:val="bottom"/>
            <w:tcBorders>
              <w:right w:val="single" w:sz="8" w:color="auto"/>
            </w:tcBorders>
          </w:tcPr>
          <w:p>
            <w:pPr>
              <w:spacing w:after="0"/>
              <w:rPr>
                <w:sz w:val="20"/>
                <w:szCs w:val="20"/>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 *** ]</w:t>
            </w:r>
          </w:p>
        </w:tc>
      </w:tr>
      <w:tr>
        <w:trPr>
          <w:trHeight w:val="27"/>
        </w:trPr>
        <w:tc>
          <w:tcPr>
            <w:tcW w:w="1300" w:type="dxa"/>
            <w:vAlign w:val="bottom"/>
            <w:tcBorders>
              <w:left w:val="single" w:sz="8" w:color="auto"/>
              <w:bottom w:val="single" w:sz="8" w:color="auto"/>
            </w:tcBorders>
            <w:gridSpan w:val="2"/>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763"/>
        </w:trPr>
        <w:tc>
          <w:tcPr>
            <w:tcW w:w="10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r>
        <w:trPr>
          <w:trHeight w:val="222"/>
        </w:trPr>
        <w:tc>
          <w:tcPr>
            <w:tcW w:w="130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7"/>
              </w:rPr>
              <w:t>SUB</w:t>
            </w:r>
          </w:p>
        </w:tc>
        <w:tc>
          <w:tcPr>
            <w:tcW w:w="30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r>
      <w:tr>
        <w:trPr>
          <w:trHeight w:val="230"/>
        </w:trPr>
        <w:tc>
          <w:tcPr>
            <w:tcW w:w="130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9"/>
              </w:rPr>
              <w:t>TOTAL</w:t>
            </w:r>
          </w:p>
        </w:tc>
        <w:tc>
          <w:tcPr>
            <w:tcW w:w="30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tcBorders>
            <w:gridSpan w:val="2"/>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64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35"/>
        </w:trPr>
        <w:tc>
          <w:tcPr>
            <w:tcW w:w="10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r>
      <w:tr>
        <w:trPr>
          <w:trHeight w:val="222"/>
        </w:trPr>
        <w:tc>
          <w:tcPr>
            <w:tcW w:w="1080" w:type="dxa"/>
            <w:vAlign w:val="bottom"/>
            <w:tcBorders>
              <w:lef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rPr>
              <w:t>[MKT VALUE</w:t>
            </w:r>
          </w:p>
        </w:tc>
      </w:tr>
      <w:tr>
        <w:trPr>
          <w:trHeight w:val="216"/>
        </w:trPr>
        <w:tc>
          <w:tcPr>
            <w:tcW w:w="108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60" w:type="dxa"/>
            <w:vAlign w:val="bottom"/>
            <w:gridSpan w:val="2"/>
          </w:tcPr>
          <w:p>
            <w:pPr>
              <w:jc w:val="center"/>
              <w:ind w:left="190"/>
              <w:spacing w:after="0"/>
              <w:rPr>
                <w:sz w:val="20"/>
                <w:szCs w:val="20"/>
                <w:color w:val="auto"/>
              </w:rPr>
            </w:pPr>
            <w:r>
              <w:rPr>
                <w:rFonts w:ascii="Arial" w:cs="Arial" w:eastAsia="Arial" w:hAnsi="Arial"/>
                <w:sz w:val="18"/>
                <w:szCs w:val="18"/>
                <w:color w:val="auto"/>
              </w:rPr>
              <w:t>[MATURITY</w:t>
            </w:r>
          </w:p>
        </w:tc>
        <w:tc>
          <w:tcPr>
            <w:tcW w:w="3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[PAR</w:t>
            </w:r>
          </w:p>
        </w:tc>
        <w:tc>
          <w:tcPr>
            <w:tcW w:w="200" w:type="dxa"/>
            <w:vAlign w:val="bottom"/>
          </w:tcPr>
          <w:p>
            <w:pPr>
              <w:spacing w:after="0"/>
              <w:rPr>
                <w:sz w:val="18"/>
                <w:szCs w:val="18"/>
                <w:color w:val="auto"/>
              </w:rPr>
            </w:pPr>
          </w:p>
        </w:tc>
        <w:tc>
          <w:tcPr>
            <w:tcW w:w="13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[CREDIT</w:t>
            </w:r>
          </w:p>
        </w:tc>
        <w:tc>
          <w:tcPr>
            <w:tcW w:w="100" w:type="dxa"/>
            <w:vAlign w:val="bottom"/>
          </w:tcPr>
          <w:p>
            <w:pPr>
              <w:spacing w:after="0"/>
              <w:rPr>
                <w:sz w:val="18"/>
                <w:szCs w:val="18"/>
                <w:color w:val="auto"/>
              </w:rPr>
            </w:pPr>
          </w:p>
        </w:tc>
        <w:tc>
          <w:tcPr>
            <w:tcW w:w="17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(AS OF</w:t>
            </w:r>
          </w:p>
        </w:tc>
      </w:tr>
      <w:tr>
        <w:trPr>
          <w:trHeight w:val="230"/>
        </w:trPr>
        <w:tc>
          <w:tcPr>
            <w:tcW w:w="130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CUSIP</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2"/>
              </w:rPr>
              <w:t>ISSUER</w:t>
            </w:r>
          </w:p>
        </w:tc>
        <w:tc>
          <w:tcPr>
            <w:tcW w:w="1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w w:val="98"/>
              </w:rPr>
              <w:t>[COUPON]</w:t>
            </w:r>
          </w:p>
        </w:tc>
        <w:tc>
          <w:tcPr>
            <w:tcW w:w="320" w:type="dxa"/>
            <w:vAlign w:val="bottom"/>
            <w:tcBorders>
              <w:right w:val="single" w:sz="8" w:color="auto"/>
            </w:tcBorders>
          </w:tcPr>
          <w:p>
            <w:pPr>
              <w:spacing w:after="0"/>
              <w:rPr>
                <w:sz w:val="20"/>
                <w:szCs w:val="20"/>
                <w:color w:val="auto"/>
              </w:rPr>
            </w:pPr>
          </w:p>
        </w:tc>
        <w:tc>
          <w:tcPr>
            <w:tcW w:w="1460" w:type="dxa"/>
            <w:vAlign w:val="bottom"/>
            <w:gridSpan w:val="2"/>
          </w:tcPr>
          <w:p>
            <w:pPr>
              <w:jc w:val="center"/>
              <w:ind w:left="170"/>
              <w:spacing w:after="0"/>
              <w:rPr>
                <w:sz w:val="20"/>
                <w:szCs w:val="20"/>
                <w:color w:val="auto"/>
              </w:rPr>
            </w:pPr>
            <w:r>
              <w:rPr>
                <w:rFonts w:ascii="Arial" w:cs="Arial" w:eastAsia="Arial" w:hAnsi="Arial"/>
                <w:sz w:val="18"/>
                <w:szCs w:val="18"/>
                <w:color w:val="auto"/>
                <w:w w:val="98"/>
              </w:rPr>
              <w:t>DATE]</w:t>
            </w:r>
          </w:p>
        </w:tc>
        <w:tc>
          <w:tcPr>
            <w:tcW w:w="3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AMNT]</w:t>
            </w:r>
          </w:p>
        </w:tc>
        <w:tc>
          <w:tcPr>
            <w:tcW w:w="200" w:type="dxa"/>
            <w:vAlign w:val="bottom"/>
          </w:tcPr>
          <w:p>
            <w:pPr>
              <w:spacing w:after="0"/>
              <w:rPr>
                <w:sz w:val="20"/>
                <w:szCs w:val="20"/>
                <w:color w:val="auto"/>
              </w:rPr>
            </w:pPr>
          </w:p>
        </w:tc>
        <w:tc>
          <w:tcPr>
            <w:tcW w:w="13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rPr>
              <w:t>QUALITY]</w:t>
            </w:r>
          </w:p>
        </w:tc>
        <w:tc>
          <w:tcPr>
            <w:tcW w:w="100" w:type="dxa"/>
            <w:vAlign w:val="bottom"/>
          </w:tcPr>
          <w:p>
            <w:pPr>
              <w:spacing w:after="0"/>
              <w:rPr>
                <w:sz w:val="20"/>
                <w:szCs w:val="20"/>
                <w:color w:val="auto"/>
              </w:rPr>
            </w:pPr>
          </w:p>
        </w:tc>
        <w:tc>
          <w:tcPr>
            <w:tcW w:w="17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rPr>
              <w:t>MM/DD/YY)]</w:t>
            </w:r>
          </w:p>
        </w:tc>
      </w:tr>
      <w:tr>
        <w:trPr>
          <w:trHeight w:val="27"/>
        </w:trPr>
        <w:tc>
          <w:tcPr>
            <w:tcW w:w="1300" w:type="dxa"/>
            <w:vAlign w:val="bottom"/>
            <w:tcBorders>
              <w:left w:val="single" w:sz="8" w:color="auto"/>
              <w:bottom w:val="single" w:sz="8" w:color="auto"/>
              <w:right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480"/>
        </w:trPr>
        <w:tc>
          <w:tcPr>
            <w:tcW w:w="10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r>
        <w:trPr>
          <w:trHeight w:val="453"/>
        </w:trPr>
        <w:tc>
          <w:tcPr>
            <w:tcW w:w="10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r>
        <w:trPr>
          <w:trHeight w:val="222"/>
        </w:trPr>
        <w:tc>
          <w:tcPr>
            <w:tcW w:w="1300" w:type="dxa"/>
            <w:vAlign w:val="bottom"/>
            <w:tcBorders>
              <w:left w:val="single" w:sz="8" w:color="auto"/>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SUB</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r>
      <w:tr>
        <w:trPr>
          <w:trHeight w:val="230"/>
        </w:trPr>
        <w:tc>
          <w:tcPr>
            <w:tcW w:w="130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7"/>
        </w:trPr>
        <w:tc>
          <w:tcPr>
            <w:tcW w:w="10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963" w:right="239" w:bottom="584"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A-1 - 3</w:t>
      </w:r>
    </w:p>
    <w:p>
      <w:pPr>
        <w:sectPr>
          <w:pgSz w:w="11900" w:h="16838" w:orient="portrait"/>
          <w:cols w:equalWidth="0" w:num="1">
            <w:col w:w="11420"/>
          </w:cols>
          <w:pgMar w:left="240" w:top="963" w:right="239" w:bottom="584" w:gutter="0" w:footer="0" w:header="0"/>
          <w:type w:val="continuous"/>
        </w:sectPr>
      </w:pPr>
    </w:p>
    <w:bookmarkStart w:id="267" w:name="page268"/>
    <w:bookmarkEnd w:id="267"/>
    <w:p>
      <w:pPr>
        <w:jc w:val="right"/>
        <w:spacing w:after="0"/>
        <w:rPr>
          <w:sz w:val="20"/>
          <w:szCs w:val="20"/>
          <w:color w:val="auto"/>
        </w:rPr>
      </w:pPr>
      <w:r>
        <w:rPr>
          <w:rFonts w:ascii="Arial" w:cs="Arial" w:eastAsia="Arial" w:hAnsi="Arial"/>
          <w:sz w:val="22"/>
          <w:szCs w:val="22"/>
          <w:b w:val="1"/>
          <w:bCs w:val="1"/>
          <w:color w:val="auto"/>
        </w:rPr>
        <w:t>Date: [November 1,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Attachment C to Transferred Assets Schedule [Closing]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ADJUSTED CONTRIBUTION TO [ *** </w:t>
      </w:r>
      <w:r>
        <w:rPr>
          <w:rFonts w:ascii="Arial" w:cs="Arial" w:eastAsia="Arial" w:hAnsi="Arial"/>
          <w:sz w:val="23"/>
          <w:szCs w:val="23"/>
          <w:b w:val="1"/>
          <w:bCs w:val="1"/>
          <w:color w:val="auto"/>
        </w:rPr>
        <w:t>]</w:t>
      </w:r>
      <w:r>
        <w:rPr>
          <w:rFonts w:ascii="Arial" w:cs="Arial" w:eastAsia="Arial" w:hAnsi="Arial"/>
          <w:sz w:val="22"/>
          <w:szCs w:val="22"/>
          <w:b w:val="1"/>
          <w:bCs w:val="1"/>
          <w:color w:val="auto"/>
        </w:rPr>
        <w:t>, IF ANY (as of MM/DD/YY)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Assets: $ 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Income Assets: $_____________________</w:t>
      </w:r>
    </w:p>
    <w:p>
      <w:pPr>
        <w:spacing w:after="0" w:line="200" w:lineRule="exact"/>
        <w:rPr>
          <w:sz w:val="20"/>
          <w:szCs w:val="20"/>
          <w:color w:val="auto"/>
        </w:rPr>
      </w:pPr>
    </w:p>
    <w:p>
      <w:pPr>
        <w:spacing w:after="0" w:line="241" w:lineRule="exact"/>
        <w:rPr>
          <w:sz w:val="20"/>
          <w:szCs w:val="20"/>
          <w:color w:val="auto"/>
        </w:rPr>
      </w:pPr>
    </w:p>
    <w:p>
      <w:pPr>
        <w:ind w:left="120" w:hanging="112"/>
        <w:spacing w:after="0"/>
        <w:tabs>
          <w:tab w:leader="none" w:pos="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 $_____________________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$_____________________</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Income Assets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320" w:type="dxa"/>
            <w:vAlign w:val="bottom"/>
            <w:tcBorders>
              <w:top w:val="single" w:sz="8" w:color="auto"/>
              <w:left w:val="single" w:sz="8" w:color="auto"/>
              <w:right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0" w:type="dxa"/>
            <w:vAlign w:val="bottom"/>
            <w:tcBorders>
              <w:top w:val="single" w:sz="8" w:color="auto"/>
              <w:right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auto"/>
              <w:right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MKT VALUE</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460" w:type="dxa"/>
            <w:vAlign w:val="bottom"/>
            <w:gridSpan w:val="2"/>
          </w:tcPr>
          <w:p>
            <w:pPr>
              <w:jc w:val="center"/>
              <w:ind w:left="150"/>
              <w:spacing w:after="0"/>
              <w:rPr>
                <w:sz w:val="20"/>
                <w:szCs w:val="20"/>
                <w:color w:val="auto"/>
              </w:rPr>
            </w:pPr>
            <w:r>
              <w:rPr>
                <w:rFonts w:ascii="Arial" w:cs="Arial" w:eastAsia="Arial" w:hAnsi="Arial"/>
                <w:sz w:val="18"/>
                <w:szCs w:val="18"/>
                <w:color w:val="auto"/>
              </w:rPr>
              <w:t>MATURITY</w:t>
            </w:r>
          </w:p>
        </w:tc>
        <w:tc>
          <w:tcPr>
            <w:tcW w:w="240" w:type="dxa"/>
            <w:vAlign w:val="bottom"/>
            <w:tcBorders>
              <w:right w:val="single" w:sz="8" w:color="auto"/>
            </w:tcBorders>
          </w:tcPr>
          <w:p>
            <w:pPr>
              <w:spacing w:after="0"/>
              <w:rPr>
                <w:sz w:val="18"/>
                <w:szCs w:val="18"/>
                <w:color w:val="auto"/>
              </w:rPr>
            </w:pP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6"/>
              </w:rPr>
              <w:t>PAR</w:t>
            </w: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CREDIT</w:t>
            </w:r>
          </w:p>
        </w:tc>
        <w:tc>
          <w:tcPr>
            <w:tcW w:w="18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(AS OF</w:t>
            </w:r>
          </w:p>
        </w:tc>
      </w:tr>
      <w:tr>
        <w:trPr>
          <w:trHeight w:val="230"/>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CUSIP</w:t>
            </w:r>
          </w:p>
        </w:tc>
        <w:tc>
          <w:tcPr>
            <w:tcW w:w="1380" w:type="dxa"/>
            <w:vAlign w:val="bottom"/>
            <w:tcBorders>
              <w:right w:val="single" w:sz="8" w:color="auto"/>
            </w:tcBorders>
            <w:gridSpan w:val="3"/>
          </w:tcPr>
          <w:p>
            <w:pPr>
              <w:ind w:left="360"/>
              <w:spacing w:after="0"/>
              <w:rPr>
                <w:sz w:val="20"/>
                <w:szCs w:val="20"/>
                <w:color w:val="auto"/>
              </w:rPr>
            </w:pPr>
            <w:r>
              <w:rPr>
                <w:rFonts w:ascii="Arial" w:cs="Arial" w:eastAsia="Arial" w:hAnsi="Arial"/>
                <w:sz w:val="18"/>
                <w:szCs w:val="18"/>
                <w:color w:val="auto"/>
              </w:rPr>
              <w:t>ISSUER</w:t>
            </w:r>
          </w:p>
        </w:tc>
        <w:tc>
          <w:tcPr>
            <w:tcW w:w="20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COUPON</w:t>
            </w: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4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DATE</w:t>
            </w:r>
          </w:p>
        </w:tc>
        <w:tc>
          <w:tcPr>
            <w:tcW w:w="240" w:type="dxa"/>
            <w:vAlign w:val="bottom"/>
            <w:tcBorders>
              <w:right w:val="single" w:sz="8" w:color="auto"/>
            </w:tcBorders>
          </w:tcPr>
          <w:p>
            <w:pPr>
              <w:spacing w:after="0"/>
              <w:rPr>
                <w:sz w:val="20"/>
                <w:szCs w:val="20"/>
                <w:color w:val="auto"/>
              </w:rPr>
            </w:pP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rPr>
              <w:t>AMOUNT</w:t>
            </w:r>
          </w:p>
        </w:tc>
        <w:tc>
          <w:tcPr>
            <w:tcW w:w="26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QUALITY</w:t>
            </w:r>
          </w:p>
        </w:tc>
        <w:tc>
          <w:tcPr>
            <w:tcW w:w="182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MM/DD/YY)</w:t>
            </w: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453"/>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r>
      <w:tr>
        <w:trPr>
          <w:trHeight w:val="439"/>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r>
      <w:tr>
        <w:trPr>
          <w:trHeight w:val="222"/>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SUB</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r>
      <w:tr>
        <w:trPr>
          <w:trHeight w:val="230"/>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TOTAL</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698"/>
        </w:trPr>
        <w:tc>
          <w:tcPr>
            <w:tcW w:w="1320" w:type="dxa"/>
            <w:vAlign w:val="bottom"/>
          </w:tcPr>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3"/>
        </w:trPr>
        <w:tc>
          <w:tcPr>
            <w:tcW w:w="1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293"/>
        </w:trPr>
        <w:tc>
          <w:tcPr>
            <w:tcW w:w="1320" w:type="dxa"/>
            <w:vAlign w:val="bottom"/>
            <w:tcBorders>
              <w:left w:val="single" w:sz="8" w:color="auto"/>
            </w:tcBorders>
          </w:tcPr>
          <w:p>
            <w:pPr>
              <w:jc w:val="center"/>
              <w:ind w:left="307"/>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400" w:type="dxa"/>
            <w:vAlign w:val="bottom"/>
            <w:tcBorders>
              <w:right w:val="single" w:sz="8" w:color="auto"/>
            </w:tcBorders>
          </w:tcPr>
          <w:p>
            <w:pPr>
              <w:spacing w:after="0"/>
              <w:rPr>
                <w:sz w:val="24"/>
                <w:szCs w:val="24"/>
                <w:color w:val="auto"/>
              </w:rPr>
            </w:pPr>
          </w:p>
        </w:tc>
        <w:tc>
          <w:tcPr>
            <w:tcW w:w="1180" w:type="dxa"/>
            <w:vAlign w:val="bottom"/>
            <w:gridSpan w:val="3"/>
          </w:tcPr>
          <w:p>
            <w:pPr>
              <w:ind w:left="500"/>
              <w:spacing w:after="0"/>
              <w:rPr>
                <w:sz w:val="20"/>
                <w:szCs w:val="20"/>
                <w:color w:val="auto"/>
              </w:rPr>
            </w:pPr>
            <w:r>
              <w:rPr>
                <w:rFonts w:ascii="Arial" w:cs="Arial" w:eastAsia="Arial" w:hAnsi="Arial"/>
                <w:sz w:val="18"/>
                <w:szCs w:val="18"/>
                <w:color w:val="auto"/>
                <w:w w:val="95"/>
              </w:rPr>
              <w:t>NEWCO</w:t>
            </w:r>
          </w:p>
        </w:tc>
        <w:tc>
          <w:tcPr>
            <w:tcW w:w="50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Borders>
              <w:right w:val="single" w:sz="8" w:color="auto"/>
            </w:tcBorders>
            <w:gridSpan w:val="3"/>
          </w:tcPr>
          <w:p>
            <w:pPr>
              <w:jc w:val="right"/>
              <w:ind w:right="53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48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57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4"/>
                <w:szCs w:val="24"/>
                <w:color w:val="auto"/>
              </w:rPr>
            </w:pPr>
          </w:p>
        </w:tc>
        <w:tc>
          <w:tcPr>
            <w:tcW w:w="1620" w:type="dxa"/>
            <w:vAlign w:val="bottom"/>
            <w:tcBorders>
              <w:right w:val="single" w:sz="8" w:color="auto"/>
            </w:tcBorders>
          </w:tcPr>
          <w:p>
            <w:pPr>
              <w:ind w:left="42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00" w:type="dxa"/>
            <w:vAlign w:val="bottom"/>
          </w:tcPr>
          <w:p>
            <w:pPr>
              <w:spacing w:after="0"/>
              <w:rPr>
                <w:sz w:val="24"/>
                <w:szCs w:val="24"/>
                <w:color w:val="auto"/>
              </w:rPr>
            </w:pPr>
          </w:p>
        </w:tc>
      </w:tr>
      <w:tr>
        <w:trPr>
          <w:trHeight w:val="25"/>
        </w:trPr>
        <w:tc>
          <w:tcPr>
            <w:tcW w:w="132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480"/>
        </w:trPr>
        <w:tc>
          <w:tcPr>
            <w:tcW w:w="13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1320" w:type="dxa"/>
            <w:vAlign w:val="bottom"/>
            <w:tcBorders>
              <w:left w:val="single" w:sz="8" w:color="auto"/>
            </w:tcBorders>
          </w:tcPr>
          <w:p>
            <w:pPr>
              <w:jc w:val="center"/>
              <w:ind w:left="307"/>
              <w:spacing w:after="0"/>
              <w:rPr>
                <w:sz w:val="20"/>
                <w:szCs w:val="20"/>
                <w:color w:val="auto"/>
              </w:rPr>
            </w:pPr>
            <w:r>
              <w:rPr>
                <w:rFonts w:ascii="Arial" w:cs="Arial" w:eastAsia="Arial" w:hAnsi="Arial"/>
                <w:sz w:val="18"/>
                <w:szCs w:val="18"/>
                <w:color w:val="auto"/>
                <w:w w:val="97"/>
              </w:rPr>
              <w:t>SUB</w:t>
            </w:r>
          </w:p>
        </w:tc>
        <w:tc>
          <w:tcPr>
            <w:tcW w:w="40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1320" w:type="dxa"/>
            <w:vAlign w:val="bottom"/>
            <w:tcBorders>
              <w:left w:val="single" w:sz="8" w:color="auto"/>
            </w:tcBorders>
          </w:tcPr>
          <w:p>
            <w:pPr>
              <w:jc w:val="center"/>
              <w:ind w:left="307"/>
              <w:spacing w:after="0"/>
              <w:rPr>
                <w:sz w:val="20"/>
                <w:szCs w:val="20"/>
                <w:color w:val="auto"/>
              </w:rPr>
            </w:pPr>
            <w:r>
              <w:rPr>
                <w:rFonts w:ascii="Arial" w:cs="Arial" w:eastAsia="Arial" w:hAnsi="Arial"/>
                <w:sz w:val="18"/>
                <w:szCs w:val="18"/>
                <w:color w:val="auto"/>
                <w:w w:val="96"/>
              </w:rPr>
              <w:t>TOTAL</w:t>
            </w:r>
          </w:p>
        </w:tc>
        <w:tc>
          <w:tcPr>
            <w:tcW w:w="4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132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642"/>
        </w:trPr>
        <w:tc>
          <w:tcPr>
            <w:tcW w:w="13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5"/>
        </w:trPr>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2"/>
          </w:tcPr>
          <w:p>
            <w:pPr>
              <w:spacing w:after="0"/>
              <w:rPr>
                <w:sz w:val="11"/>
                <w:szCs w:val="11"/>
                <w:color w:val="auto"/>
              </w:rPr>
            </w:pPr>
          </w:p>
        </w:tc>
      </w:tr>
      <w:tr>
        <w:trPr>
          <w:trHeight w:val="222"/>
        </w:trPr>
        <w:tc>
          <w:tcPr>
            <w:tcW w:w="132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[MKT VALUE</w:t>
            </w:r>
          </w:p>
        </w:tc>
        <w:tc>
          <w:tcPr>
            <w:tcW w:w="200" w:type="dxa"/>
            <w:vAlign w:val="bottom"/>
          </w:tcPr>
          <w:p>
            <w:pPr>
              <w:spacing w:after="0"/>
              <w:rPr>
                <w:sz w:val="19"/>
                <w:szCs w:val="19"/>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2"/>
          </w:tcPr>
          <w:p>
            <w:pPr>
              <w:jc w:val="center"/>
              <w:ind w:left="70"/>
              <w:spacing w:after="0"/>
              <w:rPr>
                <w:sz w:val="20"/>
                <w:szCs w:val="20"/>
                <w:color w:val="auto"/>
              </w:rPr>
            </w:pPr>
            <w:r>
              <w:rPr>
                <w:rFonts w:ascii="Arial" w:cs="Arial" w:eastAsia="Arial" w:hAnsi="Arial"/>
                <w:sz w:val="18"/>
                <w:szCs w:val="18"/>
                <w:color w:val="auto"/>
              </w:rPr>
              <w:t>[MATURITY</w:t>
            </w:r>
          </w:p>
        </w:tc>
        <w:tc>
          <w:tcPr>
            <w:tcW w:w="2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9"/>
              </w:rPr>
              <w:t>[CREDIT</w:t>
            </w:r>
          </w:p>
        </w:tc>
        <w:tc>
          <w:tcPr>
            <w:tcW w:w="260" w:type="dxa"/>
            <w:vAlign w:val="bottom"/>
            <w:gridSpan w:val="2"/>
          </w:tcPr>
          <w:p>
            <w:pPr>
              <w:spacing w:after="0"/>
              <w:rPr>
                <w:sz w:val="18"/>
                <w:szCs w:val="18"/>
                <w:color w:val="auto"/>
              </w:rPr>
            </w:pPr>
          </w:p>
        </w:tc>
        <w:tc>
          <w:tcPr>
            <w:tcW w:w="16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(AS OF</w:t>
            </w:r>
          </w:p>
        </w:tc>
        <w:tc>
          <w:tcPr>
            <w:tcW w:w="200" w:type="dxa"/>
            <w:vAlign w:val="bottom"/>
          </w:tcPr>
          <w:p>
            <w:pPr>
              <w:spacing w:after="0"/>
              <w:rPr>
                <w:sz w:val="18"/>
                <w:szCs w:val="18"/>
                <w:color w:val="auto"/>
              </w:rPr>
            </w:pPr>
          </w:p>
        </w:tc>
      </w:tr>
      <w:tr>
        <w:trPr>
          <w:trHeight w:val="230"/>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CUSIP</w:t>
            </w:r>
          </w:p>
        </w:tc>
        <w:tc>
          <w:tcPr>
            <w:tcW w:w="12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ISSUER</w:t>
            </w:r>
          </w:p>
        </w:tc>
        <w:tc>
          <w:tcPr>
            <w:tcW w:w="340" w:type="dxa"/>
            <w:vAlign w:val="bottom"/>
            <w:gridSpan w:val="2"/>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[COUPON]</w:t>
            </w:r>
          </w:p>
        </w:tc>
        <w:tc>
          <w:tcPr>
            <w:tcW w:w="2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8"/>
              </w:rPr>
              <w:t>DATE]</w:t>
            </w:r>
          </w:p>
        </w:tc>
        <w:tc>
          <w:tcPr>
            <w:tcW w:w="2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[PAR AMNT]</w:t>
            </w:r>
          </w:p>
        </w:tc>
        <w:tc>
          <w:tcPr>
            <w:tcW w:w="18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rPr>
              <w:t>QUALITY]</w:t>
            </w:r>
          </w:p>
        </w:tc>
        <w:tc>
          <w:tcPr>
            <w:tcW w:w="260" w:type="dxa"/>
            <w:vAlign w:val="bottom"/>
            <w:gridSpan w:val="2"/>
          </w:tcPr>
          <w:p>
            <w:pPr>
              <w:spacing w:after="0"/>
              <w:rPr>
                <w:sz w:val="20"/>
                <w:szCs w:val="20"/>
                <w:color w:val="auto"/>
              </w:rPr>
            </w:pPr>
          </w:p>
        </w:tc>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MM/DD/YY)]</w:t>
            </w:r>
          </w:p>
        </w:tc>
        <w:tc>
          <w:tcPr>
            <w:tcW w:w="200" w:type="dxa"/>
            <w:vAlign w:val="bottom"/>
          </w:tcPr>
          <w:p>
            <w:pPr>
              <w:spacing w:after="0"/>
              <w:rPr>
                <w:sz w:val="20"/>
                <w:szCs w:val="20"/>
                <w:color w:val="auto"/>
              </w:rPr>
            </w:pP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480"/>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493"/>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SUB</w:t>
            </w:r>
          </w:p>
        </w:tc>
        <w:tc>
          <w:tcPr>
            <w:tcW w:w="4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TOTAL</w:t>
            </w:r>
          </w:p>
        </w:tc>
        <w:tc>
          <w:tcPr>
            <w:tcW w:w="4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A-1 - 4</w:t>
      </w:r>
    </w:p>
    <w:p>
      <w:pPr>
        <w:sectPr>
          <w:pgSz w:w="11900" w:h="16838" w:orient="portrait"/>
          <w:cols w:equalWidth="0" w:num="1">
            <w:col w:w="11420"/>
          </w:cols>
          <w:pgMar w:left="240" w:top="585" w:right="239" w:bottom="1440" w:gutter="0" w:footer="0" w:header="0"/>
          <w:type w:val="continuous"/>
        </w:sectPr>
      </w:pPr>
    </w:p>
    <w:bookmarkStart w:id="268" w:name="page269"/>
    <w:bookmarkEnd w:id="268"/>
    <w:p>
      <w:pPr>
        <w:jc w:val="right"/>
        <w:spacing w:after="0"/>
        <w:rPr>
          <w:sz w:val="20"/>
          <w:szCs w:val="20"/>
          <w:color w:val="auto"/>
        </w:rPr>
      </w:pPr>
      <w:r>
        <w:rPr>
          <w:rFonts w:ascii="Arial" w:cs="Arial" w:eastAsia="Arial" w:hAnsi="Arial"/>
          <w:sz w:val="22"/>
          <w:szCs w:val="22"/>
          <w:b w:val="1"/>
          <w:bCs w:val="1"/>
          <w:color w:val="auto"/>
        </w:rPr>
        <w:t>Date: [December 15, 2012]</w:t>
      </w:r>
    </w:p>
    <w:p>
      <w:pPr>
        <w:spacing w:after="0" w:line="200" w:lineRule="exact"/>
        <w:rPr>
          <w:sz w:val="20"/>
          <w:szCs w:val="20"/>
          <w:color w:val="auto"/>
        </w:rPr>
      </w:pPr>
    </w:p>
    <w:p>
      <w:pPr>
        <w:spacing w:after="0" w:line="236" w:lineRule="exact"/>
        <w:rPr>
          <w:sz w:val="20"/>
          <w:szCs w:val="20"/>
          <w:color w:val="auto"/>
        </w:rPr>
      </w:pPr>
    </w:p>
    <w:p>
      <w:pPr>
        <w:ind w:left="2080"/>
        <w:spacing w:after="0"/>
        <w:rPr>
          <w:sz w:val="20"/>
          <w:szCs w:val="20"/>
          <w:color w:val="auto"/>
        </w:rPr>
      </w:pPr>
      <w:r>
        <w:rPr>
          <w:rFonts w:ascii="Arial" w:cs="Arial" w:eastAsia="Arial" w:hAnsi="Arial"/>
          <w:sz w:val="22"/>
          <w:szCs w:val="22"/>
          <w:b w:val="1"/>
          <w:bCs w:val="1"/>
          <w:u w:val="single" w:color="auto"/>
          <w:color w:val="auto"/>
        </w:rPr>
        <w:t>TRANSFERRED ASSETS SCHEDULE [POST-CLOSING]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783"/>
        </w:trPr>
        <w:tc>
          <w:tcPr>
            <w:tcW w:w="71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62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Initial Total Contribution Amount determined as of [November 1, 2012]:</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465"/>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Re-Calculated Total Contribution Amount</w:t>
            </w:r>
          </w:p>
        </w:tc>
        <w:tc>
          <w:tcPr>
            <w:tcW w:w="2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85"/>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as of [December 15, 2012]</w:t>
            </w:r>
          </w:p>
        </w:tc>
        <w:tc>
          <w:tcPr>
            <w:tcW w:w="2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2"/>
              </w:rPr>
              <w:t>Underpayment (Overpayment) of Adjusted Contribution Amount resulting from</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Change in Total Contribution Amount between</w:t>
            </w:r>
          </w:p>
        </w:tc>
        <w:tc>
          <w:tcPr>
            <w:tcW w:w="2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85"/>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[November 1, 2012] and [December 15, 2012]:</w:t>
            </w:r>
          </w:p>
        </w:tc>
        <w:tc>
          <w:tcPr>
            <w:tcW w:w="2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3"/>
              </w:rPr>
              <w:t>Market Value of Transferred Securities as determined on [November 1, 2012]</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465"/>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Market Value of Transferred Securities as determined on</w:t>
            </w:r>
          </w:p>
        </w:tc>
        <w:tc>
          <w:tcPr>
            <w:tcW w:w="2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85"/>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[December 15, 2012]</w:t>
            </w:r>
          </w:p>
        </w:tc>
        <w:tc>
          <w:tcPr>
            <w:tcW w:w="2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1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w w:val="95"/>
              </w:rPr>
              <w:t>Underpayment (Overpayment) resulting from revised assessment of Market</w:t>
            </w:r>
          </w:p>
        </w:tc>
        <w:tc>
          <w:tcPr>
            <w:tcW w:w="2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85"/>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Value between [November 1, 2012] and [December 15, 2012]:</w:t>
            </w:r>
          </w:p>
        </w:tc>
        <w:tc>
          <w:tcPr>
            <w:tcW w:w="2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Payment to Prudential (from Prudential): Total</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1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 xml:space="preserve">To (From) [ *** </w:t>
            </w:r>
            <w:r>
              <w:rPr>
                <w:rFonts w:ascii="Arial" w:cs="Arial" w:eastAsia="Arial" w:hAnsi="Arial"/>
                <w:sz w:val="23"/>
                <w:szCs w:val="23"/>
                <w:color w:val="auto"/>
              </w:rPr>
              <w:t>]</w:t>
            </w:r>
          </w:p>
        </w:tc>
        <w:tc>
          <w:tcPr>
            <w:tcW w:w="2620" w:type="dxa"/>
            <w:vAlign w:val="bottom"/>
            <w:tcBorders>
              <w:right w:val="single" w:sz="8" w:color="auto"/>
            </w:tcBorders>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43"/>
        </w:trPr>
        <w:tc>
          <w:tcPr>
            <w:tcW w:w="7100" w:type="dxa"/>
            <w:vAlign w:val="bottom"/>
            <w:tcBorders>
              <w:left w:val="single" w:sz="8" w:color="auto"/>
              <w:right w:val="single" w:sz="8" w:color="auto"/>
            </w:tcBorders>
          </w:tcPr>
          <w:p>
            <w:pPr>
              <w:ind w:left="680"/>
              <w:spacing w:after="0" w:line="243" w:lineRule="exact"/>
              <w:rPr>
                <w:sz w:val="20"/>
                <w:szCs w:val="20"/>
                <w:color w:val="auto"/>
              </w:rPr>
            </w:pPr>
            <w:r>
              <w:rPr>
                <w:rFonts w:ascii="Arial" w:cs="Arial" w:eastAsia="Arial" w:hAnsi="Arial"/>
                <w:sz w:val="22"/>
                <w:szCs w:val="22"/>
                <w:color w:val="auto"/>
              </w:rPr>
              <w:t xml:space="preserve">To (From) [ *** </w:t>
            </w:r>
            <w:r>
              <w:rPr>
                <w:rFonts w:ascii="Arial" w:cs="Arial" w:eastAsia="Arial" w:hAnsi="Arial"/>
                <w:sz w:val="23"/>
                <w:szCs w:val="23"/>
                <w:color w:val="auto"/>
              </w:rPr>
              <w:t>]</w:t>
            </w:r>
          </w:p>
        </w:tc>
        <w:tc>
          <w:tcPr>
            <w:tcW w:w="26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[($XXX,XXX,XXX)]</w:t>
            </w:r>
          </w:p>
        </w:tc>
        <w:tc>
          <w:tcPr>
            <w:tcW w:w="0" w:type="dxa"/>
            <w:vAlign w:val="bottom"/>
          </w:tcPr>
          <w:p>
            <w:pPr>
              <w:spacing w:after="0"/>
              <w:rPr>
                <w:sz w:val="1"/>
                <w:szCs w:val="1"/>
                <w:color w:val="auto"/>
              </w:rPr>
            </w:pPr>
          </w:p>
        </w:tc>
      </w:tr>
      <w:tr>
        <w:trPr>
          <w:trHeight w:val="291"/>
        </w:trPr>
        <w:tc>
          <w:tcPr>
            <w:tcW w:w="71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[($XXX,XXX,XXX)]</w:t>
            </w:r>
          </w:p>
        </w:tc>
        <w:tc>
          <w:tcPr>
            <w:tcW w:w="0" w:type="dxa"/>
            <w:vAlign w:val="bottom"/>
          </w:tcPr>
          <w:p>
            <w:pPr>
              <w:spacing w:after="0"/>
              <w:rPr>
                <w:sz w:val="1"/>
                <w:szCs w:val="1"/>
                <w:color w:val="auto"/>
              </w:rPr>
            </w:pPr>
          </w:p>
        </w:tc>
      </w:tr>
      <w:tr>
        <w:trPr>
          <w:trHeight w:val="460"/>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AGGREGATE CONTRIBUTION RETAINED BY OR RECEIVED [ ***</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21"/>
                <w:szCs w:val="21"/>
                <w:color w:val="auto"/>
              </w:rPr>
              <w:t>at Closing:</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Agreed Market Value as of [November 1, 2012]:</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[$XXX,XXX,XXX]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Exhibit A-1 - 5</w:t>
      </w:r>
    </w:p>
    <w:p>
      <w:pPr>
        <w:sectPr>
          <w:pgSz w:w="11900" w:h="16838" w:orient="portrait"/>
          <w:cols w:equalWidth="0" w:num="1">
            <w:col w:w="10560"/>
          </w:cols>
          <w:pgMar w:left="1100" w:top="585" w:right="239" w:bottom="1440" w:gutter="0" w:footer="0" w:header="0"/>
        </w:sectPr>
      </w:pPr>
    </w:p>
    <w:bookmarkStart w:id="269" w:name="page270"/>
    <w:bookmarkEnd w:id="269"/>
    <w:tbl>
      <w:tblPr>
        <w:tblLayout w:type="fixed"/>
        <w:tblInd w:w="10" w:type="dxa"/>
        <w:tblCellMar>
          <w:top w:w="0" w:type="dxa"/>
          <w:left w:w="0" w:type="dxa"/>
          <w:bottom w:w="0" w:type="dxa"/>
          <w:right w:w="0" w:type="dxa"/>
        </w:tblCellMar>
      </w:tblPr>
      <w:tr>
        <w:trPr>
          <w:trHeight w:val="262"/>
        </w:trPr>
        <w:tc>
          <w:tcPr>
            <w:tcW w:w="7100" w:type="dxa"/>
            <w:vAlign w:val="bottom"/>
            <w:tcBorders>
              <w:top w:val="single" w:sz="8" w:color="auto"/>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Agreed Market Value as of</w:t>
            </w:r>
          </w:p>
        </w:tc>
        <w:tc>
          <w:tcPr>
            <w:tcW w:w="262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22"/>
                <w:szCs w:val="22"/>
                <w:b w:val="1"/>
                <w:bCs w:val="1"/>
                <w:color w:val="auto"/>
              </w:rPr>
              <w:t>[$XXX,XXX,XXX]</w:t>
            </w:r>
          </w:p>
        </w:tc>
        <w:tc>
          <w:tcPr>
            <w:tcW w:w="0" w:type="dxa"/>
            <w:vAlign w:val="bottom"/>
          </w:tcPr>
          <w:p>
            <w:pPr>
              <w:spacing w:after="0"/>
              <w:rPr>
                <w:sz w:val="1"/>
                <w:szCs w:val="1"/>
                <w:color w:val="auto"/>
              </w:rPr>
            </w:pPr>
          </w:p>
        </w:tc>
      </w:tr>
      <w:tr>
        <w:trPr>
          <w:trHeight w:val="275"/>
        </w:trPr>
        <w:tc>
          <w:tcPr>
            <w:tcW w:w="71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[December 15, 2012]:</w:t>
            </w:r>
          </w:p>
        </w:tc>
        <w:tc>
          <w:tcPr>
            <w:tcW w:w="2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70"/>
        </w:trPr>
        <w:tc>
          <w:tcPr>
            <w:tcW w:w="71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Amount of Decrease (Increase) from [November 1, 2012]:</w:t>
            </w:r>
          </w:p>
        </w:tc>
        <w:tc>
          <w:tcPr>
            <w:tcW w:w="262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22"/>
                <w:szCs w:val="22"/>
                <w:b w:val="1"/>
                <w:bCs w:val="1"/>
                <w:color w:val="auto"/>
              </w:rPr>
              <w:t>[$XXX,XXX,XXX]</w:t>
            </w:r>
          </w:p>
        </w:tc>
        <w:tc>
          <w:tcPr>
            <w:tcW w:w="0" w:type="dxa"/>
            <w:vAlign w:val="bottom"/>
          </w:tcPr>
          <w:p>
            <w:pPr>
              <w:spacing w:after="0"/>
              <w:rPr>
                <w:sz w:val="1"/>
                <w:szCs w:val="1"/>
                <w:color w:val="auto"/>
              </w:rPr>
            </w:pPr>
          </w:p>
        </w:tc>
      </w:tr>
      <w:tr>
        <w:trPr>
          <w:trHeight w:val="811"/>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AGGREGATE CONTRIBUTION RETAINED OR RECEIVED BY [ ***</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21"/>
                <w:szCs w:val="21"/>
                <w:color w:val="auto"/>
              </w:rPr>
              <w:t>IF ANY</w:t>
            </w:r>
          </w:p>
        </w:tc>
        <w:tc>
          <w:tcPr>
            <w:tcW w:w="2620" w:type="dxa"/>
            <w:vAlign w:val="bottom"/>
            <w:tcBorders>
              <w:right w:val="single" w:sz="8" w:color="auto"/>
            </w:tcBorders>
            <w:vMerge w:val="restart"/>
          </w:tcPr>
          <w:p>
            <w:pPr>
              <w:ind w:left="820"/>
              <w:spacing w:after="0"/>
              <w:rPr>
                <w:sz w:val="20"/>
                <w:szCs w:val="20"/>
                <w:color w:val="auto"/>
              </w:rPr>
            </w:pPr>
            <w:r>
              <w:rPr>
                <w:rFonts w:ascii="Arial" w:cs="Arial" w:eastAsia="Arial" w:hAnsi="Arial"/>
                <w:sz w:val="22"/>
                <w:szCs w:val="22"/>
                <w:b w:val="1"/>
                <w:bCs w:val="1"/>
                <w:color w:val="auto"/>
              </w:rPr>
              <w:t>[$XXX,XXX,XXX]</w:t>
            </w:r>
          </w:p>
        </w:tc>
        <w:tc>
          <w:tcPr>
            <w:tcW w:w="0" w:type="dxa"/>
            <w:vAlign w:val="bottom"/>
          </w:tcPr>
          <w:p>
            <w:pPr>
              <w:spacing w:after="0"/>
              <w:rPr>
                <w:sz w:val="1"/>
                <w:szCs w:val="1"/>
                <w:color w:val="auto"/>
              </w:rPr>
            </w:pPr>
          </w:p>
        </w:tc>
      </w:tr>
      <w:tr>
        <w:trPr>
          <w:trHeight w:val="251"/>
        </w:trPr>
        <w:tc>
          <w:tcPr>
            <w:tcW w:w="7100" w:type="dxa"/>
            <w:vAlign w:val="bottom"/>
            <w:tcBorders>
              <w:left w:val="single" w:sz="8" w:color="auto"/>
              <w:right w:val="single" w:sz="8" w:color="auto"/>
            </w:tcBorders>
            <w:vMerge w:val="restart"/>
          </w:tcPr>
          <w:p>
            <w:pPr>
              <w:ind w:left="680"/>
              <w:spacing w:after="0"/>
              <w:rPr>
                <w:sz w:val="20"/>
                <w:szCs w:val="20"/>
                <w:color w:val="auto"/>
              </w:rPr>
            </w:pPr>
            <w:r>
              <w:rPr>
                <w:rFonts w:ascii="Arial" w:cs="Arial" w:eastAsia="Arial" w:hAnsi="Arial"/>
                <w:sz w:val="22"/>
                <w:szCs w:val="22"/>
                <w:color w:val="auto"/>
              </w:rPr>
              <w:t>Agreed Market Value as of [November 1, 2012]:</w:t>
            </w:r>
          </w:p>
        </w:tc>
        <w:tc>
          <w:tcPr>
            <w:tcW w:w="26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00" w:type="dxa"/>
            <w:vAlign w:val="bottom"/>
            <w:tcBorders>
              <w:left w:val="single" w:sz="8" w:color="auto"/>
              <w:right w:val="single" w:sz="8" w:color="auto"/>
            </w:tcBorders>
            <w:vMerge w:val="continue"/>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100" w:type="dxa"/>
            <w:vAlign w:val="bottom"/>
            <w:tcBorders>
              <w:left w:val="single" w:sz="8" w:color="auto"/>
              <w:right w:val="single" w:sz="8" w:color="auto"/>
            </w:tcBorders>
            <w:vMerge w:val="restart"/>
          </w:tcPr>
          <w:p>
            <w:pPr>
              <w:ind w:left="680"/>
              <w:spacing w:after="0"/>
              <w:rPr>
                <w:sz w:val="20"/>
                <w:szCs w:val="20"/>
                <w:color w:val="auto"/>
              </w:rPr>
            </w:pPr>
            <w:r>
              <w:rPr>
                <w:rFonts w:ascii="Arial" w:cs="Arial" w:eastAsia="Arial" w:hAnsi="Arial"/>
                <w:sz w:val="22"/>
                <w:szCs w:val="22"/>
                <w:color w:val="auto"/>
              </w:rPr>
              <w:t>Agreed Market Value as of [December 15, 2012]:</w:t>
            </w:r>
          </w:p>
        </w:tc>
        <w:tc>
          <w:tcPr>
            <w:tcW w:w="2620" w:type="dxa"/>
            <w:vAlign w:val="bottom"/>
            <w:tcBorders>
              <w:right w:val="single" w:sz="8" w:color="auto"/>
            </w:tcBorders>
          </w:tcPr>
          <w:p>
            <w:pPr>
              <w:ind w:left="820"/>
              <w:spacing w:after="0"/>
              <w:rPr>
                <w:sz w:val="20"/>
                <w:szCs w:val="20"/>
                <w:color w:val="auto"/>
              </w:rPr>
            </w:pPr>
            <w:r>
              <w:rPr>
                <w:rFonts w:ascii="Arial" w:cs="Arial" w:eastAsia="Arial" w:hAnsi="Arial"/>
                <w:sz w:val="22"/>
                <w:szCs w:val="22"/>
                <w:b w:val="1"/>
                <w:bCs w:val="1"/>
                <w:color w:val="auto"/>
              </w:rPr>
              <w:t>[$XXX,XXX,XXX]</w:t>
            </w:r>
          </w:p>
        </w:tc>
        <w:tc>
          <w:tcPr>
            <w:tcW w:w="0" w:type="dxa"/>
            <w:vAlign w:val="bottom"/>
          </w:tcPr>
          <w:p>
            <w:pPr>
              <w:spacing w:after="0"/>
              <w:rPr>
                <w:sz w:val="1"/>
                <w:szCs w:val="1"/>
                <w:color w:val="auto"/>
              </w:rPr>
            </w:pPr>
          </w:p>
        </w:tc>
      </w:tr>
      <w:tr>
        <w:trPr>
          <w:trHeight w:val="216"/>
        </w:trPr>
        <w:tc>
          <w:tcPr>
            <w:tcW w:w="7100" w:type="dxa"/>
            <w:vAlign w:val="bottom"/>
            <w:tcBorders>
              <w:left w:val="single" w:sz="8" w:color="auto"/>
              <w:right w:val="single" w:sz="8" w:color="auto"/>
            </w:tcBorders>
            <w:vMerge w:val="continue"/>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71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Amount of Decrease (Increase) from [November 1, 2012]:</w:t>
            </w:r>
          </w:p>
        </w:tc>
        <w:tc>
          <w:tcPr>
            <w:tcW w:w="262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22"/>
                <w:szCs w:val="22"/>
                <w:b w:val="1"/>
                <w:bCs w:val="1"/>
                <w:color w:val="auto"/>
              </w:rPr>
              <w:t>[$XXX,XXX,XXX]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A-1 - 6</w:t>
      </w:r>
    </w:p>
    <w:p>
      <w:pPr>
        <w:sectPr>
          <w:pgSz w:w="11900" w:h="16838" w:orient="portrait"/>
          <w:cols w:equalWidth="0" w:num="1">
            <w:col w:w="9720"/>
          </w:cols>
          <w:pgMar w:left="1100" w:top="714" w:right="1079" w:bottom="1440" w:gutter="0" w:footer="0" w:header="0"/>
        </w:sectPr>
      </w:pPr>
    </w:p>
    <w:bookmarkStart w:id="270" w:name="page271"/>
    <w:bookmarkEnd w:id="270"/>
    <w:p>
      <w:pPr>
        <w:jc w:val="right"/>
        <w:spacing w:after="0"/>
        <w:rPr>
          <w:sz w:val="20"/>
          <w:szCs w:val="20"/>
          <w:color w:val="auto"/>
        </w:rPr>
      </w:pPr>
      <w:r>
        <w:rPr>
          <w:rFonts w:ascii="Arial" w:cs="Arial" w:eastAsia="Arial" w:hAnsi="Arial"/>
          <w:sz w:val="22"/>
          <w:szCs w:val="22"/>
          <w:b w:val="1"/>
          <w:bCs w:val="1"/>
          <w:color w:val="auto"/>
        </w:rPr>
        <w:t>Date: [December 15,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Attachment A to Transferred Assets Schedule [Post-Closing]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AGGREGATE CONTRIBUTION RETAINED BY OR RECEIVED BY</w:t>
      </w:r>
      <w:r>
        <w:rPr>
          <w:rFonts w:ascii="Arial" w:cs="Arial" w:eastAsia="Arial" w:hAnsi="Arial"/>
          <w:sz w:val="22"/>
          <w:szCs w:val="22"/>
          <w:color w:val="auto"/>
        </w:rPr>
        <w:t>[ ***</w:t>
      </w:r>
      <w:r>
        <w:rPr>
          <w:rFonts w:ascii="Arial" w:cs="Arial" w:eastAsia="Arial" w:hAnsi="Arial"/>
          <w:sz w:val="22"/>
          <w:szCs w:val="22"/>
          <w:b w:val="1"/>
          <w:bCs w:val="1"/>
          <w:color w:val="auto"/>
        </w:rPr>
        <w:t xml:space="preserve"> </w:t>
      </w:r>
      <w:r>
        <w:rPr>
          <w:rFonts w:ascii="Arial" w:cs="Arial" w:eastAsia="Arial" w:hAnsi="Arial"/>
          <w:sz w:val="23"/>
          <w:szCs w:val="23"/>
          <w:color w:val="auto"/>
        </w:rPr>
        <w:t>]</w:t>
      </w:r>
      <w:r>
        <w:rPr>
          <w:rFonts w:ascii="Arial" w:cs="Arial" w:eastAsia="Arial" w:hAnsi="Arial"/>
          <w:sz w:val="22"/>
          <w:szCs w:val="22"/>
          <w:b w:val="1"/>
          <w:bCs w:val="1"/>
          <w:color w:val="auto"/>
        </w:rPr>
        <w:t xml:space="preserve"> ON [NOVEMBER 1, 2012</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Showing market values as determined on [November 1, 2012] compared to as determined on [December 15, 2012]</w:t>
      </w:r>
      <w:r>
        <w:rPr>
          <w:rFonts w:ascii="Arial" w:cs="Arial" w:eastAsia="Arial" w:hAnsi="Arial"/>
          <w:sz w:val="22"/>
          <w:szCs w:val="22"/>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Contributions as determined on [December 15, 2012]:</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Cash Assets: $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Fixed Income Assets: $_________________</w:t>
      </w:r>
    </w:p>
    <w:p>
      <w:pPr>
        <w:spacing w:after="0" w:line="200" w:lineRule="exact"/>
        <w:rPr>
          <w:sz w:val="20"/>
          <w:szCs w:val="20"/>
          <w:color w:val="auto"/>
        </w:rPr>
      </w:pPr>
    </w:p>
    <w:p>
      <w:pPr>
        <w:spacing w:after="0" w:line="224" w:lineRule="exact"/>
        <w:rPr>
          <w:sz w:val="20"/>
          <w:szCs w:val="20"/>
          <w:color w:val="auto"/>
        </w:rPr>
      </w:pPr>
    </w:p>
    <w:p>
      <w:pPr>
        <w:ind w:left="780" w:hanging="124"/>
        <w:spacing w:after="0"/>
        <w:tabs>
          <w:tab w:leader="none" w:pos="78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$________________</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Assets: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Total Assets: $______________________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6757670" cy="1809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57670" cy="1809750"/>
                    </a:xfrm>
                    <a:prstGeom prst="rect">
                      <a:avLst/>
                    </a:prstGeom>
                    <a:noFill/>
                  </pic:spPr>
                </pic:pic>
              </a:graphicData>
            </a:graphic>
          </wp:anchor>
        </w:drawing>
      </w:r>
    </w:p>
    <w:p>
      <w:pPr>
        <w:spacing w:after="0" w:line="15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jc w:val="center"/>
              <w:ind w:left="230"/>
              <w:spacing w:after="0"/>
              <w:rPr>
                <w:sz w:val="20"/>
                <w:szCs w:val="20"/>
                <w:color w:val="auto"/>
              </w:rPr>
            </w:pPr>
            <w:r>
              <w:rPr>
                <w:rFonts w:ascii="Arial" w:cs="Arial" w:eastAsia="Arial" w:hAnsi="Arial"/>
                <w:sz w:val="18"/>
                <w:szCs w:val="18"/>
                <w:color w:val="auto"/>
                <w:w w:val="99"/>
              </w:rPr>
              <w:t>MKT VALUE</w:t>
            </w:r>
          </w:p>
        </w:tc>
      </w:tr>
      <w:tr>
        <w:trPr>
          <w:trHeight w:val="216"/>
        </w:trPr>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MATURITY</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PAR</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CREDIT</w:t>
            </w:r>
          </w:p>
        </w:tc>
        <w:tc>
          <w:tcPr>
            <w:tcW w:w="1340" w:type="dxa"/>
            <w:vAlign w:val="bottom"/>
          </w:tcPr>
          <w:p>
            <w:pPr>
              <w:jc w:val="center"/>
              <w:ind w:left="210"/>
              <w:spacing w:after="0"/>
              <w:rPr>
                <w:sz w:val="20"/>
                <w:szCs w:val="20"/>
                <w:color w:val="auto"/>
              </w:rPr>
            </w:pPr>
            <w:r>
              <w:rPr>
                <w:rFonts w:ascii="Arial" w:cs="Arial" w:eastAsia="Arial" w:hAnsi="Arial"/>
                <w:sz w:val="18"/>
                <w:szCs w:val="18"/>
                <w:color w:val="auto"/>
                <w:w w:val="93"/>
              </w:rPr>
              <w:t>(AS OF</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CUSIP</w:t>
            </w:r>
          </w:p>
        </w:tc>
        <w:tc>
          <w:tcPr>
            <w:tcW w:w="1520" w:type="dxa"/>
            <w:vAlign w:val="bottom"/>
          </w:tcPr>
          <w:p>
            <w:pPr>
              <w:ind w:left="500"/>
              <w:spacing w:after="0"/>
              <w:rPr>
                <w:sz w:val="20"/>
                <w:szCs w:val="20"/>
                <w:color w:val="auto"/>
              </w:rPr>
            </w:pPr>
            <w:r>
              <w:rPr>
                <w:rFonts w:ascii="Arial" w:cs="Arial" w:eastAsia="Arial" w:hAnsi="Arial"/>
                <w:sz w:val="18"/>
                <w:szCs w:val="18"/>
                <w:color w:val="auto"/>
              </w:rPr>
              <w:t>ISSUER</w:t>
            </w:r>
          </w:p>
        </w:tc>
        <w:tc>
          <w:tcPr>
            <w:tcW w:w="1520" w:type="dxa"/>
            <w:vAlign w:val="bottom"/>
          </w:tcPr>
          <w:p>
            <w:pPr>
              <w:ind w:left="420"/>
              <w:spacing w:after="0"/>
              <w:rPr>
                <w:sz w:val="20"/>
                <w:szCs w:val="20"/>
                <w:color w:val="auto"/>
              </w:rPr>
            </w:pPr>
            <w:r>
              <w:rPr>
                <w:rFonts w:ascii="Arial" w:cs="Arial" w:eastAsia="Arial" w:hAnsi="Arial"/>
                <w:sz w:val="18"/>
                <w:szCs w:val="18"/>
                <w:color w:val="auto"/>
              </w:rPr>
              <w:t>COUPON</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DATE</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AMOUNT</w:t>
            </w:r>
          </w:p>
        </w:tc>
        <w:tc>
          <w:tcPr>
            <w:tcW w:w="1400" w:type="dxa"/>
            <w:vAlign w:val="bottom"/>
          </w:tcPr>
          <w:p>
            <w:pPr>
              <w:jc w:val="center"/>
              <w:spacing w:after="0"/>
              <w:rPr>
                <w:sz w:val="20"/>
                <w:szCs w:val="20"/>
                <w:color w:val="auto"/>
              </w:rPr>
            </w:pPr>
            <w:r>
              <w:rPr>
                <w:rFonts w:ascii="Arial" w:cs="Arial" w:eastAsia="Arial" w:hAnsi="Arial"/>
                <w:sz w:val="18"/>
                <w:szCs w:val="18"/>
                <w:color w:val="auto"/>
              </w:rPr>
              <w:t>QUALITY</w:t>
            </w:r>
          </w:p>
        </w:tc>
        <w:tc>
          <w:tcPr>
            <w:tcW w:w="1340" w:type="dxa"/>
            <w:vAlign w:val="bottom"/>
          </w:tcPr>
          <w:p>
            <w:pPr>
              <w:jc w:val="center"/>
              <w:ind w:left="210"/>
              <w:spacing w:after="0"/>
              <w:rPr>
                <w:sz w:val="20"/>
                <w:szCs w:val="20"/>
                <w:color w:val="auto"/>
              </w:rPr>
            </w:pPr>
            <w:r>
              <w:rPr>
                <w:rFonts w:ascii="Arial" w:cs="Arial" w:eastAsia="Arial" w:hAnsi="Arial"/>
                <w:sz w:val="18"/>
                <w:szCs w:val="18"/>
                <w:color w:val="auto"/>
              </w:rPr>
              <w:t>MM/DD/YY)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780"/>
        <w:spacing w:after="0"/>
        <w:rPr>
          <w:sz w:val="20"/>
          <w:szCs w:val="20"/>
          <w:color w:val="auto"/>
        </w:rPr>
      </w:pPr>
      <w:r>
        <w:rPr>
          <w:rFonts w:ascii="Arial" w:cs="Arial" w:eastAsia="Arial" w:hAnsi="Arial"/>
          <w:sz w:val="22"/>
          <w:szCs w:val="22"/>
          <w:color w:val="auto"/>
        </w:rPr>
        <w:t>SUB</w:t>
      </w:r>
    </w:p>
    <w:p>
      <w:pPr>
        <w:spacing w:after="0" w:line="8" w:lineRule="exact"/>
        <w:rPr>
          <w:sz w:val="20"/>
          <w:szCs w:val="20"/>
          <w:color w:val="auto"/>
        </w:rPr>
      </w:pPr>
    </w:p>
    <w:p>
      <w:pPr>
        <w:jc w:val="center"/>
        <w:ind w:right="9780"/>
        <w:spacing w:after="0"/>
        <w:rPr>
          <w:sz w:val="20"/>
          <w:szCs w:val="20"/>
          <w:color w:val="auto"/>
        </w:rPr>
      </w:pPr>
      <w:r>
        <w:rPr>
          <w:rFonts w:ascii="Arial" w:cs="Arial" w:eastAsia="Arial" w:hAnsi="Arial"/>
          <w:sz w:val="22"/>
          <w:szCs w:val="22"/>
          <w:color w:val="auto"/>
        </w:rPr>
        <w:t>TOTAL</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612255" cy="1071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1071880"/>
                    </a:xfrm>
                    <a:prstGeom prst="rect">
                      <a:avLst/>
                    </a:prstGeom>
                    <a:noFill/>
                  </pic:spPr>
                </pic:pic>
              </a:graphicData>
            </a:graphic>
          </wp:anchor>
        </w:drawing>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99"/>
        </w:trPr>
        <w:tc>
          <w:tcPr>
            <w:tcW w:w="1140" w:type="dxa"/>
            <w:vAlign w:val="bottom"/>
          </w:tcPr>
          <w:p>
            <w:pPr>
              <w:jc w:val="right"/>
              <w:ind w:right="45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1680" w:type="dxa"/>
            <w:vAlign w:val="bottom"/>
          </w:tcPr>
          <w:p>
            <w:pPr>
              <w:ind w:left="540"/>
              <w:spacing w:after="0"/>
              <w:rPr>
                <w:sz w:val="20"/>
                <w:szCs w:val="20"/>
                <w:color w:val="auto"/>
              </w:rPr>
            </w:pPr>
            <w:r>
              <w:rPr>
                <w:rFonts w:ascii="Arial" w:cs="Arial" w:eastAsia="Arial" w:hAnsi="Arial"/>
                <w:sz w:val="18"/>
                <w:szCs w:val="18"/>
                <w:color w:val="auto"/>
              </w:rPr>
              <w:t>NEWCO</w:t>
            </w:r>
          </w:p>
        </w:tc>
        <w:tc>
          <w:tcPr>
            <w:tcW w:w="1600" w:type="dxa"/>
            <w:vAlign w:val="bottom"/>
          </w:tcPr>
          <w:p>
            <w:pPr>
              <w:jc w:val="right"/>
              <w:ind w:right="43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1840" w:type="dxa"/>
            <w:vAlign w:val="bottom"/>
          </w:tcPr>
          <w:p>
            <w:pPr>
              <w:ind w:left="540"/>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520"/>
        <w:spacing w:after="0"/>
        <w:rPr>
          <w:sz w:val="20"/>
          <w:szCs w:val="20"/>
          <w:color w:val="auto"/>
        </w:rPr>
      </w:pPr>
      <w:r>
        <w:rPr>
          <w:rFonts w:ascii="Arial" w:cs="Arial" w:eastAsia="Arial" w:hAnsi="Arial"/>
          <w:sz w:val="22"/>
          <w:szCs w:val="22"/>
          <w:color w:val="auto"/>
        </w:rPr>
        <w:t>SUB</w:t>
      </w:r>
    </w:p>
    <w:p>
      <w:pPr>
        <w:spacing w:after="0" w:line="8" w:lineRule="exact"/>
        <w:rPr>
          <w:sz w:val="20"/>
          <w:szCs w:val="20"/>
          <w:color w:val="auto"/>
        </w:rPr>
      </w:pPr>
    </w:p>
    <w:p>
      <w:pPr>
        <w:jc w:val="center"/>
        <w:ind w:right="9520"/>
        <w:spacing w:after="0"/>
        <w:rPr>
          <w:sz w:val="20"/>
          <w:szCs w:val="20"/>
          <w:color w:val="auto"/>
        </w:rPr>
      </w:pPr>
      <w:r>
        <w:rPr>
          <w:rFonts w:ascii="Arial" w:cs="Arial" w:eastAsia="Arial" w:hAnsi="Arial"/>
          <w:sz w:val="22"/>
          <w:szCs w:val="22"/>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Assets</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A-1 - 7</w:t>
      </w:r>
    </w:p>
    <w:p>
      <w:pPr>
        <w:sectPr>
          <w:pgSz w:w="11900" w:h="16838" w:orient="portrait"/>
          <w:cols w:equalWidth="0" w:num="1">
            <w:col w:w="11420"/>
          </w:cols>
          <w:pgMar w:left="240" w:top="585" w:right="239" w:bottom="1440" w:gutter="0" w:footer="0" w:header="0"/>
          <w:type w:val="continuous"/>
        </w:sectPr>
      </w:pPr>
    </w:p>
    <w:bookmarkStart w:id="271" w:name="page272"/>
    <w:bookmarkEnd w:id="271"/>
    <w:tbl>
      <w:tblPr>
        <w:tblLayout w:type="fixed"/>
        <w:tblInd w:w="30" w:type="dxa"/>
        <w:tblCellMar>
          <w:top w:w="0" w:type="dxa"/>
          <w:left w:w="0" w:type="dxa"/>
          <w:bottom w:w="0" w:type="dxa"/>
          <w:right w:w="0" w:type="dxa"/>
        </w:tblCellMar>
      </w:tblPr>
      <w:tr>
        <w:trPr>
          <w:trHeight w:val="242"/>
        </w:trPr>
        <w:tc>
          <w:tcPr>
            <w:tcW w:w="1160" w:type="dxa"/>
            <w:vAlign w:val="bottom"/>
            <w:tcBorders>
              <w:top w:val="single" w:sz="8" w:color="auto"/>
              <w:left w:val="single" w:sz="8" w:color="auto"/>
              <w:right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spacing w:after="0"/>
              <w:rPr>
                <w:sz w:val="21"/>
                <w:szCs w:val="21"/>
                <w:color w:val="auto"/>
              </w:rPr>
            </w:pPr>
          </w:p>
        </w:tc>
        <w:tc>
          <w:tcPr>
            <w:tcW w:w="1500" w:type="dxa"/>
            <w:vAlign w:val="bottom"/>
            <w:tcBorders>
              <w:top w:val="single" w:sz="8" w:color="auto"/>
              <w:right w:val="single" w:sz="8" w:color="auto"/>
            </w:tcBorders>
          </w:tcPr>
          <w:p>
            <w:pPr>
              <w:spacing w:after="0"/>
              <w:rPr>
                <w:sz w:val="21"/>
                <w:szCs w:val="21"/>
                <w:color w:val="auto"/>
              </w:rPr>
            </w:pPr>
          </w:p>
        </w:tc>
        <w:tc>
          <w:tcPr>
            <w:tcW w:w="2040" w:type="dxa"/>
            <w:vAlign w:val="bottom"/>
            <w:tcBorders>
              <w:top w:val="single" w:sz="8" w:color="auto"/>
              <w:right w:val="single" w:sz="8" w:color="auto"/>
            </w:tcBorders>
          </w:tcPr>
          <w:p>
            <w:pPr>
              <w:spacing w:after="0"/>
              <w:rPr>
                <w:sz w:val="21"/>
                <w:szCs w:val="21"/>
                <w:color w:val="auto"/>
              </w:rPr>
            </w:pPr>
          </w:p>
        </w:tc>
        <w:tc>
          <w:tcPr>
            <w:tcW w:w="148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spacing w:after="0"/>
              <w:rPr>
                <w:sz w:val="21"/>
                <w:szCs w:val="21"/>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[MKT VALUE</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[MATURITY</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[PAR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[CREDIT</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(AS OF</w:t>
            </w:r>
          </w:p>
        </w:tc>
      </w:tr>
      <w:tr>
        <w:trPr>
          <w:trHeight w:val="230"/>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CUSIP</w:t>
            </w:r>
          </w:p>
        </w:tc>
        <w:tc>
          <w:tcPr>
            <w:tcW w:w="172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ISSUER</w:t>
            </w:r>
          </w:p>
        </w:tc>
        <w:tc>
          <w:tcPr>
            <w:tcW w:w="1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[COUPON]</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DATE]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AMNT]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QUALITY]</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MM/DD/YY)]</w:t>
            </w:r>
          </w:p>
        </w:tc>
      </w:tr>
      <w:tr>
        <w:trPr>
          <w:trHeight w:val="27"/>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65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61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2"/>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SUB</w:t>
            </w:r>
          </w:p>
        </w:tc>
        <w:tc>
          <w:tcPr>
            <w:tcW w:w="1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TOTAL</w:t>
            </w:r>
          </w:p>
        </w:tc>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7"/>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Contribution as determined on [November 1, 2012]:</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Cash Assets: $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Fixed Income Assets: $_________________</w:t>
      </w:r>
    </w:p>
    <w:p>
      <w:pPr>
        <w:spacing w:after="0" w:line="200" w:lineRule="exact"/>
        <w:rPr>
          <w:sz w:val="20"/>
          <w:szCs w:val="20"/>
          <w:color w:val="auto"/>
        </w:rPr>
      </w:pPr>
    </w:p>
    <w:p>
      <w:pPr>
        <w:spacing w:after="0" w:line="224" w:lineRule="exact"/>
        <w:rPr>
          <w:sz w:val="20"/>
          <w:szCs w:val="20"/>
          <w:color w:val="auto"/>
        </w:rPr>
      </w:pPr>
    </w:p>
    <w:p>
      <w:pPr>
        <w:ind w:left="780" w:hanging="124"/>
        <w:spacing w:after="0"/>
        <w:tabs>
          <w:tab w:leader="none" w:pos="7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$________________</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Assets: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Total Assets: $______________________</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A-1 - 8</w:t>
      </w:r>
    </w:p>
    <w:p>
      <w:pPr>
        <w:sectPr>
          <w:pgSz w:w="11900" w:h="16838" w:orient="portrait"/>
          <w:cols w:equalWidth="0" w:num="1">
            <w:col w:w="11420"/>
          </w:cols>
          <w:pgMar w:left="240" w:top="714" w:right="239" w:bottom="1440" w:gutter="0" w:footer="0" w:header="0"/>
        </w:sectPr>
      </w:pPr>
    </w:p>
    <w:bookmarkStart w:id="272" w:name="page273"/>
    <w:bookmarkEnd w:id="272"/>
    <w:p>
      <w:pPr>
        <w:ind w:left="8980"/>
        <w:spacing w:after="0"/>
        <w:rPr>
          <w:sz w:val="20"/>
          <w:szCs w:val="20"/>
          <w:color w:val="auto"/>
        </w:rPr>
      </w:pPr>
      <w:r>
        <w:rPr>
          <w:rFonts w:ascii="Arial" w:cs="Arial" w:eastAsia="Arial" w:hAnsi="Arial"/>
          <w:sz w:val="19"/>
          <w:szCs w:val="19"/>
          <w:b w:val="1"/>
          <w:bCs w:val="1"/>
          <w:color w:val="auto"/>
        </w:rPr>
        <w:t>Date: [December 15, 2012]</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Attachment B to Transferred Assets Schedule [Post-Closing]</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xml:space="preserve">AGGREGATE CONTRIBUTION RETAINED BY OR RECEIVED BY </w:t>
      </w:r>
      <w:r>
        <w:rPr>
          <w:rFonts w:ascii="Arial" w:cs="Arial" w:eastAsia="Arial" w:hAnsi="Arial"/>
          <w:sz w:val="22"/>
          <w:szCs w:val="22"/>
          <w:color w:val="auto"/>
        </w:rPr>
        <w:t>[ ***</w:t>
      </w:r>
      <w:r>
        <w:rPr>
          <w:rFonts w:ascii="Arial" w:cs="Arial" w:eastAsia="Arial" w:hAnsi="Arial"/>
          <w:sz w:val="22"/>
          <w:szCs w:val="22"/>
          <w:b w:val="1"/>
          <w:bCs w:val="1"/>
          <w:color w:val="auto"/>
        </w:rPr>
        <w:t xml:space="preserve"> </w:t>
      </w:r>
      <w:r>
        <w:rPr>
          <w:rFonts w:ascii="Arial" w:cs="Arial" w:eastAsia="Arial" w:hAnsi="Arial"/>
          <w:sz w:val="23"/>
          <w:szCs w:val="23"/>
          <w:color w:val="auto"/>
        </w:rPr>
        <w:t>]</w:t>
      </w:r>
      <w:r>
        <w:rPr>
          <w:rFonts w:ascii="Arial" w:cs="Arial" w:eastAsia="Arial" w:hAnsi="Arial"/>
          <w:sz w:val="22"/>
          <w:szCs w:val="22"/>
          <w:b w:val="1"/>
          <w:bCs w:val="1"/>
          <w:color w:val="auto"/>
        </w:rPr>
        <w:t>, IF ANY, ON [NOVEMBER 1, 2012]</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Showing market values as determined on [November 1, 2012] compared to as determined on [December 15, 2012</w:t>
      </w:r>
      <w:r>
        <w:rPr>
          <w:rFonts w:ascii="Arial" w:cs="Arial" w:eastAsia="Arial" w:hAnsi="Arial"/>
          <w:sz w:val="22"/>
          <w:szCs w:val="22"/>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Contributions as determined on [December 15, 2012]:</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Cash Assets: $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Fixed Income Assets: $_________________</w:t>
      </w:r>
    </w:p>
    <w:p>
      <w:pPr>
        <w:spacing w:after="0" w:line="200" w:lineRule="exact"/>
        <w:rPr>
          <w:sz w:val="20"/>
          <w:szCs w:val="20"/>
          <w:color w:val="auto"/>
        </w:rPr>
      </w:pPr>
    </w:p>
    <w:p>
      <w:pPr>
        <w:spacing w:after="0" w:line="224" w:lineRule="exact"/>
        <w:rPr>
          <w:sz w:val="20"/>
          <w:szCs w:val="20"/>
          <w:color w:val="auto"/>
        </w:rPr>
      </w:pPr>
    </w:p>
    <w:p>
      <w:pPr>
        <w:ind w:left="780" w:hanging="124"/>
        <w:spacing w:after="0"/>
        <w:tabs>
          <w:tab w:leader="none" w:pos="78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$________________</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Assets: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Total Assets: $______________________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880" w:type="dxa"/>
            <w:vAlign w:val="bottom"/>
            <w:tcBorders>
              <w:top w:val="single" w:sz="8" w:color="auto"/>
              <w:left w:val="single" w:sz="8" w:color="auto"/>
            </w:tcBorders>
          </w:tcPr>
          <w:p>
            <w:pPr>
              <w:spacing w:after="0"/>
              <w:rPr>
                <w:sz w:val="21"/>
                <w:szCs w:val="21"/>
                <w:color w:val="auto"/>
              </w:rPr>
            </w:pPr>
          </w:p>
        </w:tc>
        <w:tc>
          <w:tcPr>
            <w:tcW w:w="22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right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8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20" w:type="dxa"/>
            <w:vAlign w:val="bottom"/>
            <w:tcBorders>
              <w:top w:val="single" w:sz="8" w:color="auto"/>
              <w:right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40" w:type="dxa"/>
            <w:vAlign w:val="bottom"/>
            <w:tcBorders>
              <w:top w:val="single" w:sz="8" w:color="auto"/>
              <w:right w:val="single" w:sz="8" w:color="auto"/>
            </w:tcBorders>
          </w:tcPr>
          <w:p>
            <w:pPr>
              <w:spacing w:after="0"/>
              <w:rPr>
                <w:sz w:val="21"/>
                <w:szCs w:val="21"/>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MKT VALUE</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3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MATURITY</w:t>
            </w:r>
          </w:p>
        </w:tc>
        <w:tc>
          <w:tcPr>
            <w:tcW w:w="2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1"/>
              </w:rPr>
              <w:t>PAR</w:t>
            </w:r>
          </w:p>
        </w:tc>
        <w:tc>
          <w:tcPr>
            <w:tcW w:w="14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8"/>
              </w:rPr>
              <w:t>CREDIT</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(AS OF</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jc w:val="center"/>
              <w:ind w:left="125"/>
              <w:spacing w:after="0"/>
              <w:rPr>
                <w:sz w:val="20"/>
                <w:szCs w:val="20"/>
                <w:color w:val="auto"/>
              </w:rPr>
            </w:pPr>
            <w:r>
              <w:rPr>
                <w:rFonts w:ascii="Arial" w:cs="Arial" w:eastAsia="Arial" w:hAnsi="Arial"/>
                <w:sz w:val="18"/>
                <w:szCs w:val="18"/>
                <w:color w:val="auto"/>
                <w:w w:val="90"/>
              </w:rPr>
              <w:t>CUSIP</w:t>
            </w:r>
          </w:p>
        </w:tc>
        <w:tc>
          <w:tcPr>
            <w:tcW w:w="22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ISSUER</w:t>
            </w:r>
          </w:p>
        </w:tc>
        <w:tc>
          <w:tcPr>
            <w:tcW w:w="80" w:type="dxa"/>
            <w:vAlign w:val="bottom"/>
          </w:tcPr>
          <w:p>
            <w:pPr>
              <w:spacing w:after="0"/>
              <w:rPr>
                <w:sz w:val="20"/>
                <w:szCs w:val="20"/>
                <w:color w:val="auto"/>
              </w:rPr>
            </w:pPr>
          </w:p>
        </w:tc>
        <w:tc>
          <w:tcPr>
            <w:tcW w:w="1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COUPON</w:t>
            </w:r>
          </w:p>
        </w:tc>
        <w:tc>
          <w:tcPr>
            <w:tcW w:w="134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DATE</w:t>
            </w:r>
          </w:p>
        </w:tc>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AMOUNT</w:t>
            </w:r>
          </w:p>
        </w:tc>
        <w:tc>
          <w:tcPr>
            <w:tcW w:w="14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QUALITY</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MM/DD/YY)</w:t>
            </w: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615"/>
        </w:trPr>
        <w:tc>
          <w:tcPr>
            <w:tcW w:w="8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588"/>
        </w:trPr>
        <w:tc>
          <w:tcPr>
            <w:tcW w:w="8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2"/>
        </w:trPr>
        <w:tc>
          <w:tcPr>
            <w:tcW w:w="880" w:type="dxa"/>
            <w:vAlign w:val="bottom"/>
            <w:tcBorders>
              <w:left w:val="single" w:sz="8" w:color="auto"/>
            </w:tcBorders>
          </w:tcPr>
          <w:p>
            <w:pPr>
              <w:jc w:val="center"/>
              <w:ind w:left="125"/>
              <w:spacing w:after="0"/>
              <w:rPr>
                <w:sz w:val="20"/>
                <w:szCs w:val="20"/>
                <w:color w:val="auto"/>
              </w:rPr>
            </w:pPr>
            <w:r>
              <w:rPr>
                <w:rFonts w:ascii="Arial" w:cs="Arial" w:eastAsia="Arial" w:hAnsi="Arial"/>
                <w:sz w:val="18"/>
                <w:szCs w:val="18"/>
                <w:color w:val="auto"/>
                <w:w w:val="91"/>
              </w:rPr>
              <w:t>SUB</w:t>
            </w:r>
          </w:p>
        </w:tc>
        <w:tc>
          <w:tcPr>
            <w:tcW w:w="22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880" w:type="dxa"/>
            <w:vAlign w:val="bottom"/>
            <w:tcBorders>
              <w:left w:val="single" w:sz="8" w:color="auto"/>
            </w:tcBorders>
          </w:tcPr>
          <w:p>
            <w:pPr>
              <w:jc w:val="center"/>
              <w:ind w:left="125"/>
              <w:spacing w:after="0"/>
              <w:rPr>
                <w:sz w:val="20"/>
                <w:szCs w:val="20"/>
                <w:color w:val="auto"/>
              </w:rPr>
            </w:pPr>
            <w:r>
              <w:rPr>
                <w:rFonts w:ascii="Arial" w:cs="Arial" w:eastAsia="Arial" w:hAnsi="Arial"/>
                <w:sz w:val="18"/>
                <w:szCs w:val="18"/>
                <w:color w:val="auto"/>
                <w:w w:val="99"/>
              </w:rPr>
              <w:t>TOTAL</w:t>
            </w:r>
          </w:p>
        </w:tc>
        <w:tc>
          <w:tcPr>
            <w:tcW w:w="22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698"/>
        </w:trPr>
        <w:tc>
          <w:tcPr>
            <w:tcW w:w="880" w:type="dxa"/>
            <w:vAlign w:val="bottom"/>
          </w:tcPr>
          <w:p>
            <w:pPr>
              <w:jc w:val="right"/>
              <w:ind w:right="185"/>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9"/>
        </w:trPr>
        <w:tc>
          <w:tcPr>
            <w:tcW w:w="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93"/>
        </w:trPr>
        <w:tc>
          <w:tcPr>
            <w:tcW w:w="880" w:type="dxa"/>
            <w:vAlign w:val="bottom"/>
            <w:tcBorders>
              <w:left w:val="single" w:sz="8" w:color="auto"/>
            </w:tcBorders>
          </w:tcPr>
          <w:p>
            <w:pPr>
              <w:spacing w:after="0"/>
              <w:rPr>
                <w:sz w:val="24"/>
                <w:szCs w:val="24"/>
                <w:color w:val="auto"/>
              </w:rPr>
            </w:pPr>
          </w:p>
        </w:tc>
        <w:tc>
          <w:tcPr>
            <w:tcW w:w="1480" w:type="dxa"/>
            <w:vAlign w:val="bottom"/>
            <w:gridSpan w:val="2"/>
          </w:tcPr>
          <w:p>
            <w:pPr>
              <w:jc w:val="center"/>
              <w:ind w:right="73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80" w:type="dxa"/>
            <w:vAlign w:val="bottom"/>
            <w:tcBorders>
              <w:right w:val="single" w:sz="8" w:color="auto"/>
            </w:tcBorders>
          </w:tcPr>
          <w:p>
            <w:pPr>
              <w:spacing w:after="0"/>
              <w:rPr>
                <w:sz w:val="24"/>
                <w:szCs w:val="24"/>
                <w:color w:val="auto"/>
              </w:rPr>
            </w:pPr>
          </w:p>
        </w:tc>
        <w:tc>
          <w:tcPr>
            <w:tcW w:w="1280" w:type="dxa"/>
            <w:vAlign w:val="bottom"/>
          </w:tcPr>
          <w:p>
            <w:pPr>
              <w:ind w:left="620"/>
              <w:spacing w:after="0"/>
              <w:rPr>
                <w:sz w:val="20"/>
                <w:szCs w:val="20"/>
                <w:color w:val="auto"/>
              </w:rPr>
            </w:pPr>
            <w:r>
              <w:rPr>
                <w:rFonts w:ascii="Arial" w:cs="Arial" w:eastAsia="Arial" w:hAnsi="Arial"/>
                <w:sz w:val="18"/>
                <w:szCs w:val="18"/>
                <w:color w:val="auto"/>
                <w:w w:val="89"/>
              </w:rPr>
              <w:t>NEWCO</w:t>
            </w:r>
          </w:p>
        </w:tc>
        <w:tc>
          <w:tcPr>
            <w:tcW w:w="6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gridSpan w:val="3"/>
          </w:tcPr>
          <w:p>
            <w:pPr>
              <w:jc w:val="right"/>
              <w:ind w:right="490"/>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520" w:type="dxa"/>
            <w:vAlign w:val="bottom"/>
          </w:tcPr>
          <w:p>
            <w:pPr>
              <w:spacing w:after="0"/>
              <w:rPr>
                <w:sz w:val="24"/>
                <w:szCs w:val="24"/>
                <w:color w:val="auto"/>
              </w:rPr>
            </w:pPr>
          </w:p>
        </w:tc>
        <w:tc>
          <w:tcPr>
            <w:tcW w:w="1400" w:type="dxa"/>
            <w:vAlign w:val="bottom"/>
            <w:tcBorders>
              <w:right w:val="single" w:sz="8" w:color="auto"/>
            </w:tcBorders>
          </w:tcPr>
          <w:p>
            <w:pPr>
              <w:jc w:val="right"/>
              <w:ind w:right="584"/>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40" w:type="dxa"/>
            <w:vAlign w:val="bottom"/>
          </w:tcPr>
          <w:p>
            <w:pPr>
              <w:spacing w:after="0"/>
              <w:rPr>
                <w:sz w:val="24"/>
                <w:szCs w:val="24"/>
                <w:color w:val="auto"/>
              </w:rPr>
            </w:pPr>
          </w:p>
        </w:tc>
        <w:tc>
          <w:tcPr>
            <w:tcW w:w="1640" w:type="dxa"/>
            <w:vAlign w:val="bottom"/>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r>
      <w:tr>
        <w:trPr>
          <w:trHeight w:val="25"/>
        </w:trPr>
        <w:tc>
          <w:tcPr>
            <w:tcW w:w="88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601"/>
        </w:trPr>
        <w:tc>
          <w:tcPr>
            <w:tcW w:w="8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1480" w:type="dxa"/>
            <w:vAlign w:val="bottom"/>
            <w:gridSpan w:val="2"/>
          </w:tcPr>
          <w:p>
            <w:pPr>
              <w:jc w:val="center"/>
              <w:ind w:right="710"/>
              <w:spacing w:after="0"/>
              <w:rPr>
                <w:sz w:val="20"/>
                <w:szCs w:val="20"/>
                <w:color w:val="auto"/>
              </w:rPr>
            </w:pPr>
            <w:r>
              <w:rPr>
                <w:rFonts w:ascii="Arial" w:cs="Arial" w:eastAsia="Arial" w:hAnsi="Arial"/>
                <w:sz w:val="18"/>
                <w:szCs w:val="18"/>
                <w:color w:val="auto"/>
                <w:w w:val="97"/>
              </w:rPr>
              <w:t>SUB</w:t>
            </w:r>
          </w:p>
        </w:tc>
        <w:tc>
          <w:tcPr>
            <w:tcW w:w="8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1480" w:type="dxa"/>
            <w:vAlign w:val="bottom"/>
            <w:gridSpan w:val="2"/>
          </w:tcPr>
          <w:p>
            <w:pPr>
              <w:jc w:val="center"/>
              <w:ind w:right="710"/>
              <w:spacing w:after="0"/>
              <w:rPr>
                <w:sz w:val="20"/>
                <w:szCs w:val="20"/>
                <w:color w:val="auto"/>
              </w:rPr>
            </w:pPr>
            <w:r>
              <w:rPr>
                <w:rFonts w:ascii="Arial" w:cs="Arial" w:eastAsia="Arial" w:hAnsi="Arial"/>
                <w:sz w:val="18"/>
                <w:szCs w:val="18"/>
                <w:color w:val="auto"/>
                <w:w w:val="96"/>
              </w:rPr>
              <w:t>TOTAL</w:t>
            </w:r>
          </w:p>
        </w:tc>
        <w:tc>
          <w:tcPr>
            <w:tcW w:w="8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453"/>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rPr>
              <w:t>Exhibit A-1 - 9</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585" w:right="21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b w:val="1"/>
          <w:bCs w:val="1"/>
          <w:color w:val="auto"/>
        </w:rPr>
        <w:t>Other Assets</w:t>
      </w:r>
    </w:p>
    <w:p>
      <w:pPr>
        <w:spacing w:after="0" w:line="349" w:lineRule="exact"/>
        <w:rPr>
          <w:sz w:val="20"/>
          <w:szCs w:val="20"/>
          <w:color w:val="auto"/>
        </w:rPr>
      </w:pPr>
    </w:p>
    <w:tbl>
      <w:tblPr>
        <w:tblLayout w:type="fixed"/>
        <w:tblInd w:w="50" w:type="dxa"/>
        <w:tblCellMar>
          <w:top w:w="0" w:type="dxa"/>
          <w:left w:w="0" w:type="dxa"/>
          <w:bottom w:w="0" w:type="dxa"/>
          <w:right w:w="0" w:type="dxa"/>
        </w:tblCellMar>
      </w:tblPr>
      <w:tr>
        <w:trPr>
          <w:trHeight w:val="242"/>
        </w:trPr>
        <w:tc>
          <w:tcPr>
            <w:tcW w:w="1400" w:type="dxa"/>
            <w:vAlign w:val="bottom"/>
            <w:tcBorders>
              <w:top w:val="single" w:sz="8" w:color="auto"/>
              <w:left w:val="single" w:sz="8" w:color="auto"/>
              <w:right w:val="single" w:sz="8" w:color="auto"/>
            </w:tcBorders>
          </w:tcPr>
          <w:p>
            <w:pPr>
              <w:spacing w:after="0"/>
              <w:rPr>
                <w:sz w:val="21"/>
                <w:szCs w:val="21"/>
                <w:color w:val="auto"/>
              </w:rPr>
            </w:pPr>
          </w:p>
        </w:tc>
        <w:tc>
          <w:tcPr>
            <w:tcW w:w="2040" w:type="dxa"/>
            <w:vAlign w:val="bottom"/>
            <w:tcBorders>
              <w:top w:val="single" w:sz="8" w:color="auto"/>
              <w:right w:val="single" w:sz="8" w:color="auto"/>
            </w:tcBorders>
          </w:tcPr>
          <w:p>
            <w:pPr>
              <w:spacing w:after="0"/>
              <w:rPr>
                <w:sz w:val="21"/>
                <w:szCs w:val="21"/>
                <w:color w:val="auto"/>
              </w:rPr>
            </w:pPr>
          </w:p>
        </w:tc>
        <w:tc>
          <w:tcPr>
            <w:tcW w:w="148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148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[MKT VALUE</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[MATURITY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[PAR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[CREDIT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(AS OF</w:t>
            </w:r>
          </w:p>
        </w:tc>
      </w:tr>
      <w:tr>
        <w:trPr>
          <w:trHeight w:val="23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CUSIP</w:t>
            </w:r>
          </w:p>
        </w:tc>
        <w:tc>
          <w:tcPr>
            <w:tcW w:w="20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ISSUER</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[COUPON]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DATE]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AMNT]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QUALITY]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MM/DD/YY)]</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60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r>
        <w:trPr>
          <w:trHeight w:val="615"/>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r>
        <w:trPr>
          <w:trHeight w:val="222"/>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SUB</w:t>
            </w:r>
          </w:p>
        </w:tc>
        <w:tc>
          <w:tcPr>
            <w:tcW w:w="204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r>
      <w:tr>
        <w:trPr>
          <w:trHeight w:val="23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TOTAL</w:t>
            </w:r>
          </w:p>
        </w:tc>
        <w:tc>
          <w:tcPr>
            <w:tcW w:w="20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Contribution as determined on [November 1, 2012]:</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Cash Assets: $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Fixed Income Assets: $_________________</w:t>
      </w:r>
    </w:p>
    <w:p>
      <w:pPr>
        <w:spacing w:after="0" w:line="200" w:lineRule="exact"/>
        <w:rPr>
          <w:sz w:val="20"/>
          <w:szCs w:val="20"/>
          <w:color w:val="auto"/>
        </w:rPr>
      </w:pPr>
    </w:p>
    <w:p>
      <w:pPr>
        <w:spacing w:after="0" w:line="224" w:lineRule="exact"/>
        <w:rPr>
          <w:sz w:val="20"/>
          <w:szCs w:val="20"/>
          <w:color w:val="auto"/>
        </w:rPr>
      </w:pPr>
    </w:p>
    <w:p>
      <w:pPr>
        <w:ind w:left="780" w:hanging="124"/>
        <w:spacing w:after="0"/>
        <w:tabs>
          <w:tab w:leader="none" w:pos="78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3"/>
          <w:szCs w:val="23"/>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$________________</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Assets: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Total Assets: $______________________</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A-1 - 10</w:t>
      </w:r>
    </w:p>
    <w:p>
      <w:pPr>
        <w:sectPr>
          <w:pgSz w:w="11900" w:h="16838" w:orient="portrait"/>
          <w:cols w:equalWidth="0" w:num="1">
            <w:col w:w="11400"/>
          </w:cols>
          <w:pgMar w:left="240" w:top="801" w:right="259" w:bottom="1440" w:gutter="0" w:footer="0" w:header="0"/>
        </w:sectPr>
      </w:pPr>
    </w:p>
    <w:bookmarkStart w:id="274" w:name="page275"/>
    <w:bookmarkEnd w:id="274"/>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PLAN TRUSTEE AGREEMENT</w:t>
      </w:r>
    </w:p>
    <w:p>
      <w:pPr>
        <w:spacing w:after="0" w:line="200" w:lineRule="exact"/>
        <w:rPr>
          <w:sz w:val="20"/>
          <w:szCs w:val="20"/>
          <w:color w:val="auto"/>
        </w:rPr>
      </w:pPr>
    </w:p>
    <w:p>
      <w:pPr>
        <w:spacing w:after="0" w:line="242"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This PLAN TRUSTEE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dated as of [•], and effective as of [DTFA Closing], by and among The Prudential Insurance Company of America, a New Jersey life insurance company (the “</w:t>
      </w:r>
      <w:r>
        <w:rPr>
          <w:rFonts w:ascii="Arial" w:cs="Arial" w:eastAsia="Arial" w:hAnsi="Arial"/>
          <w:sz w:val="22"/>
          <w:szCs w:val="22"/>
          <w:u w:val="single" w:color="auto"/>
          <w:color w:val="auto"/>
        </w:rPr>
        <w:t>Insurer</w:t>
      </w:r>
      <w:r>
        <w:rPr>
          <w:rFonts w:ascii="Arial" w:cs="Arial" w:eastAsia="Arial" w:hAnsi="Arial"/>
          <w:sz w:val="22"/>
          <w:szCs w:val="22"/>
          <w:color w:val="auto"/>
        </w:rPr>
        <w:t>”), the independent fiduciary of the General Motors Retirement Program for Salaried Employees (the “</w:t>
      </w:r>
      <w:r>
        <w:rPr>
          <w:rFonts w:ascii="Arial" w:cs="Arial" w:eastAsia="Arial" w:hAnsi="Arial"/>
          <w:sz w:val="22"/>
          <w:szCs w:val="22"/>
          <w:u w:val="single" w:color="auto"/>
          <w:color w:val="auto"/>
        </w:rPr>
        <w:t>Plan</w:t>
      </w:r>
      <w:r>
        <w:rPr>
          <w:rFonts w:ascii="Arial" w:cs="Arial" w:eastAsia="Arial" w:hAnsi="Arial"/>
          <w:sz w:val="22"/>
          <w:szCs w:val="22"/>
          <w:color w:val="auto"/>
        </w:rPr>
        <w:t>”) with authority and responsibility to represent the Plan and its participants and beneficiaries in regard to the transactions set forth herein (the “</w:t>
      </w:r>
      <w:r>
        <w:rPr>
          <w:rFonts w:ascii="Arial" w:cs="Arial" w:eastAsia="Arial" w:hAnsi="Arial"/>
          <w:sz w:val="22"/>
          <w:szCs w:val="22"/>
          <w:u w:val="single" w:color="auto"/>
          <w:color w:val="auto"/>
        </w:rPr>
        <w:t>Independent Fiduciary</w:t>
      </w:r>
      <w:r>
        <w:rPr>
          <w:rFonts w:ascii="Arial" w:cs="Arial" w:eastAsia="Arial" w:hAnsi="Arial"/>
          <w:sz w:val="22"/>
          <w:szCs w:val="22"/>
          <w:color w:val="auto"/>
        </w:rPr>
        <w:t>”) and [the trustee of the Plan intended to hold the Guaranteed Annuity Contract], in its capacity as trustee for one or more trusts that hold Plan assets (the “</w:t>
      </w:r>
      <w:r>
        <w:rPr>
          <w:rFonts w:ascii="Arial" w:cs="Arial" w:eastAsia="Arial" w:hAnsi="Arial"/>
          <w:sz w:val="22"/>
          <w:szCs w:val="22"/>
          <w:u w:val="single" w:color="auto"/>
          <w:color w:val="auto"/>
        </w:rPr>
        <w:t>Plan Trustee</w:t>
      </w:r>
      <w:r>
        <w:rPr>
          <w:rFonts w:ascii="Arial" w:cs="Arial" w:eastAsia="Arial" w:hAnsi="Arial"/>
          <w:sz w:val="22"/>
          <w:szCs w:val="22"/>
          <w:color w:val="auto"/>
        </w:rPr>
        <w:t>”). The Insurer, the Independent Fiduciary and the Plan Trustee are referred to collectively herein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0" w:lineRule="exact"/>
        <w:rPr>
          <w:sz w:val="20"/>
          <w:szCs w:val="20"/>
          <w:color w:val="auto"/>
        </w:rPr>
      </w:pPr>
    </w:p>
    <w:p>
      <w:pPr>
        <w:spacing w:after="0" w:line="236"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WHEREAS, the Insurer, Prudential Financial, Inc., the Independent Fiduciary and General Motors LLC have entered into that certain Definitive Transaction Framework Agreement, dated as of May 30, 2012 (the “</w:t>
      </w:r>
      <w:r>
        <w:rPr>
          <w:rFonts w:ascii="Arial" w:cs="Arial" w:eastAsia="Arial" w:hAnsi="Arial"/>
          <w:sz w:val="22"/>
          <w:szCs w:val="22"/>
          <w:u w:val="single" w:color="auto"/>
          <w:color w:val="auto"/>
        </w:rPr>
        <w:t>DTFA</w:t>
      </w:r>
      <w:r>
        <w:rPr>
          <w:rFonts w:ascii="Arial" w:cs="Arial" w:eastAsia="Arial" w:hAnsi="Arial"/>
          <w:sz w:val="22"/>
          <w:szCs w:val="22"/>
          <w:color w:val="auto"/>
        </w:rPr>
        <w:t>”);</w:t>
      </w:r>
    </w:p>
    <w:p>
      <w:pPr>
        <w:spacing w:after="0" w:line="391"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WHEREAS, from time to time pursuant to the terms of the DTFA, the Independent Fiduciary will direct the Plan Trustee to pay certain amounts to the Insurer and to take certain other actions;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DTFA contemplates that the Plan Trustee will make the payments and take such actions if and when the Independent Fiduciary gives it an instruction to do so subject to the terms and conditions of the DTFA;</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Independent Fiduciary, in its capacity as an investment manager as defined in § 3(38) of the Employee Retirement Income Security Act of 1974, as amended (“</w:t>
      </w:r>
      <w:r>
        <w:rPr>
          <w:rFonts w:ascii="Arial" w:cs="Arial" w:eastAsia="Arial" w:hAnsi="Arial"/>
          <w:sz w:val="22"/>
          <w:szCs w:val="22"/>
          <w:u w:val="single" w:color="auto"/>
          <w:color w:val="auto"/>
        </w:rPr>
        <w:t>ERISA</w:t>
      </w:r>
      <w:r>
        <w:rPr>
          <w:rFonts w:ascii="Arial" w:cs="Arial" w:eastAsia="Arial" w:hAnsi="Arial"/>
          <w:sz w:val="22"/>
          <w:szCs w:val="22"/>
          <w:color w:val="auto"/>
        </w:rPr>
        <w:t>”), has the authority to (</w:t>
      </w:r>
      <w:r>
        <w:rPr>
          <w:rFonts w:ascii="Arial" w:cs="Arial" w:eastAsia="Arial" w:hAnsi="Arial"/>
          <w:sz w:val="22"/>
          <w:szCs w:val="22"/>
          <w:u w:val="single" w:color="auto"/>
          <w:color w:val="auto"/>
        </w:rPr>
        <w:t>i</w:t>
      </w:r>
      <w:r>
        <w:rPr>
          <w:rFonts w:ascii="Arial" w:cs="Arial" w:eastAsia="Arial" w:hAnsi="Arial"/>
          <w:sz w:val="22"/>
          <w:szCs w:val="22"/>
          <w:color w:val="auto"/>
        </w:rPr>
        <w:t>) direct the Plan Trustee to pay such amounts and take such actions and (</w:t>
      </w:r>
      <w:r>
        <w:rPr>
          <w:rFonts w:ascii="Arial" w:cs="Arial" w:eastAsia="Arial" w:hAnsi="Arial"/>
          <w:sz w:val="22"/>
          <w:szCs w:val="22"/>
          <w:u w:val="single" w:color="auto"/>
          <w:color w:val="auto"/>
        </w:rPr>
        <w:t>ii</w:t>
      </w:r>
      <w:r>
        <w:rPr>
          <w:rFonts w:ascii="Arial" w:cs="Arial" w:eastAsia="Arial" w:hAnsi="Arial"/>
          <w:sz w:val="22"/>
          <w:szCs w:val="22"/>
          <w:color w:val="auto"/>
        </w:rPr>
        <w:t>) direct the Plan Trustee to enter into this Agreement, in each case in the Plan Trustee's capacity as trustee for one or more trusts that hold Plan assets; and</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WHEREAS, the Independent Fiduciary has determined that the transactions contemplated by the DTFA, including the entering into and amendment of the non-participating group annuity contract issued by the Insurer substantially in the form of Appendix 1.1 to the DTFA, and the transferring of certain assets in connection therewith, satisfies ERISA, including but not limited to the requirements of Department of Labor Interpretive Bulletin 95-1.</w:t>
      </w:r>
    </w:p>
    <w:p>
      <w:pPr>
        <w:spacing w:after="0" w:line="200" w:lineRule="exact"/>
        <w:rPr>
          <w:sz w:val="20"/>
          <w:szCs w:val="20"/>
          <w:color w:val="auto"/>
        </w:rPr>
      </w:pP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NOW THEREFORE, in consideration of the mutual covenants herein contained, and other good and valuable consideration, the receipt and adequacy of which are hereby expressly acknowledged, the Parties hereto agree as follows:</w:t>
      </w:r>
    </w:p>
    <w:p>
      <w:pPr>
        <w:spacing w:after="0" w:line="368" w:lineRule="exact"/>
        <w:rPr>
          <w:sz w:val="20"/>
          <w:szCs w:val="20"/>
          <w:color w:val="auto"/>
        </w:rPr>
      </w:pPr>
    </w:p>
    <w:p>
      <w:pPr>
        <w:ind w:right="40" w:firstLine="648"/>
        <w:spacing w:after="0" w:line="30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Independent Fiduciary Directions</w:t>
      </w:r>
      <w:r>
        <w:rPr>
          <w:rFonts w:ascii="Arial" w:cs="Arial" w:eastAsia="Arial" w:hAnsi="Arial"/>
          <w:sz w:val="19"/>
          <w:szCs w:val="19"/>
          <w:color w:val="auto"/>
        </w:rPr>
        <w:t>. The Plan Trustee covenants and agrees with the Insurer that it shall promptly and unconditionally comply with any direction given to it by the Independent Fiduciary that directs the Plan Trustee to (</w:t>
      </w:r>
      <w:r>
        <w:rPr>
          <w:rFonts w:ascii="Arial" w:cs="Arial" w:eastAsia="Arial" w:hAnsi="Arial"/>
          <w:sz w:val="19"/>
          <w:szCs w:val="19"/>
          <w:u w:val="single" w:color="auto"/>
          <w:color w:val="auto"/>
        </w:rPr>
        <w:t>a</w:t>
      </w:r>
      <w:r>
        <w:rPr>
          <w:rFonts w:ascii="Arial" w:cs="Arial" w:eastAsia="Arial" w:hAnsi="Arial"/>
          <w:sz w:val="19"/>
          <w:szCs w:val="19"/>
          <w:color w:val="auto"/>
        </w:rPr>
        <w:t>) pay to the Insurer any amounts or (</w:t>
      </w:r>
      <w:r>
        <w:rPr>
          <w:rFonts w:ascii="Arial" w:cs="Arial" w:eastAsia="Arial" w:hAnsi="Arial"/>
          <w:sz w:val="19"/>
          <w:szCs w:val="19"/>
          <w:u w:val="single" w:color="auto"/>
          <w:color w:val="auto"/>
        </w:rPr>
        <w:t>b</w:t>
      </w:r>
      <w:r>
        <w:rPr>
          <w:rFonts w:ascii="Arial" w:cs="Arial" w:eastAsia="Arial" w:hAnsi="Arial"/>
          <w:sz w:val="19"/>
          <w:szCs w:val="19"/>
          <w:color w:val="auto"/>
        </w:rPr>
        <w:t>) take any other actions in relation to the Insurer, including, without limitation, executing amendments to the non-participating group annuity contract issued by the Insurer substantially in the form of Appendix 1.1 to the DTFA.</w:t>
      </w:r>
    </w:p>
    <w:p>
      <w:pPr>
        <w:spacing w:after="0" w:line="354" w:lineRule="exact"/>
        <w:rPr>
          <w:sz w:val="20"/>
          <w:szCs w:val="20"/>
          <w:color w:val="auto"/>
        </w:rPr>
      </w:pPr>
    </w:p>
    <w:p>
      <w:pPr>
        <w:ind w:right="260" w:firstLine="648"/>
        <w:spacing w:after="0" w:line="27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Party represents and warrants to each of the other Parties that, as of the date hereof, such Party has received all appropriate approvals and</w:t>
      </w:r>
    </w:p>
    <w:p>
      <w:pPr>
        <w:sectPr>
          <w:pgSz w:w="11900" w:h="16838" w:orient="portrait"/>
          <w:cols w:equalWidth="0" w:num="1">
            <w:col w:w="11420"/>
          </w:cols>
          <w:pgMar w:left="240" w:top="801"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B - 1</w:t>
      </w:r>
    </w:p>
    <w:p>
      <w:pPr>
        <w:sectPr>
          <w:pgSz w:w="11900" w:h="16838" w:orient="portrait"/>
          <w:cols w:equalWidth="0" w:num="1">
            <w:col w:w="11420"/>
          </w:cols>
          <w:pgMar w:left="240" w:top="801" w:right="239" w:bottom="1440" w:gutter="0" w:footer="0" w:header="0"/>
          <w:type w:val="continuous"/>
        </w:sectPr>
      </w:pPr>
    </w:p>
    <w:bookmarkStart w:id="275" w:name="page276"/>
    <w:bookmarkEnd w:id="275"/>
    <w:p>
      <w:pPr>
        <w:ind w:right="140"/>
        <w:spacing w:after="0" w:line="261" w:lineRule="auto"/>
        <w:rPr>
          <w:sz w:val="20"/>
          <w:szCs w:val="20"/>
          <w:color w:val="auto"/>
        </w:rPr>
      </w:pPr>
      <w:r>
        <w:rPr>
          <w:rFonts w:ascii="Arial" w:cs="Arial" w:eastAsia="Arial" w:hAnsi="Arial"/>
          <w:sz w:val="21"/>
          <w:szCs w:val="21"/>
          <w:color w:val="auto"/>
        </w:rPr>
        <w:t>authorizations and no other action on the part of such Party or any other person or entity is necessary to authorize the execution, delivery and performance of this Agreement and the consummation of the transactions contemplated to be undertaken by such Party under this Agreement. This Agreement is duly executed and delivered by such Party and is a valid and binding obligation of such Party and enforceable such Party, in accordance with its terms, except to the extent that its enforceability may be subject to applicable bankruptcy, insolvency, reorganization, moratorium and similar law affecting the enforcement of creditors' rights generally and by general equitable principles.</w:t>
      </w:r>
    </w:p>
    <w:p>
      <w:pPr>
        <w:spacing w:after="0" w:line="39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No amendment of any provision of this Agreement will be valid unless the same will be in writing and signed by each party thereto, except as expressly provided herein. No waiver of any breach of this Agreement will be construed as an implied amendment or agreement to amend or modify any provision of this Agreement. No waiver by any Party of any default, misrepresentation or breach of warranty or covenant hereunder, whether intentional or not, will be valid unless the same will be in writing and signed by the Party making such waiver, nor will such waiver be deemed to extend to any prior or subsequent default, misrepresentation or breach of warranty or covenant hereunder or affect in any way any rights arising by virtue of any prior or subsequent default, misrepresentation or breach of warranty or covenant. No conditions, course of dealing or performance, understanding or agreement purporting to modify, vary, explain or supplement the terms or conditions of this Agreement will be binding unless this Agreement is amended or modified in writing pursuant to the first sentence of this </w:t>
      </w:r>
      <w:r>
        <w:rPr>
          <w:rFonts w:ascii="Arial" w:cs="Arial" w:eastAsia="Arial" w:hAnsi="Arial"/>
          <w:sz w:val="19"/>
          <w:szCs w:val="19"/>
          <w:u w:val="single" w:color="auto"/>
          <w:color w:val="auto"/>
        </w:rPr>
        <w:t>Section 3</w:t>
      </w:r>
      <w:r>
        <w:rPr>
          <w:rFonts w:ascii="Arial" w:cs="Arial" w:eastAsia="Arial" w:hAnsi="Arial"/>
          <w:sz w:val="19"/>
          <w:szCs w:val="19"/>
          <w:color w:val="auto"/>
        </w:rPr>
        <w:t>. Except where a specific period for action or inaction is provided herein, no delay on the part of any Party in exercising any right, power or privilege hereunder will operate as a waiver thereof.</w:t>
      </w:r>
    </w:p>
    <w:p>
      <w:pPr>
        <w:spacing w:after="0" w:line="374" w:lineRule="exact"/>
        <w:rPr>
          <w:sz w:val="20"/>
          <w:szCs w:val="20"/>
          <w:color w:val="auto"/>
        </w:rPr>
      </w:pPr>
    </w:p>
    <w:p>
      <w:pPr>
        <w:ind w:right="320" w:firstLine="648"/>
        <w:spacing w:after="0" w:line="26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Succession and Assignment</w:t>
      </w:r>
      <w:r>
        <w:rPr>
          <w:rFonts w:ascii="Arial" w:cs="Arial" w:eastAsia="Arial" w:hAnsi="Arial"/>
          <w:sz w:val="22"/>
          <w:szCs w:val="22"/>
          <w:color w:val="auto"/>
        </w:rPr>
        <w:t>. This Agreement will be binding upon and inure to the benefit of the Parties and their respective successors and permitted assigns. No Party may assign either this Agreement or any of its rights, interests or obligations hereunder without the prior written consent of the other Parties.</w:t>
      </w:r>
    </w:p>
    <w:p>
      <w:pPr>
        <w:spacing w:after="0" w:line="393"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claims and other communications hereunder will be in writing except as expressly provided herein. Any notice, request, demand, claim or other communication hereunder will be deemed duly given (</w:t>
      </w:r>
      <w:r>
        <w:rPr>
          <w:rFonts w:ascii="Arial" w:cs="Arial" w:eastAsia="Arial" w:hAnsi="Arial"/>
          <w:sz w:val="22"/>
          <w:szCs w:val="22"/>
          <w:u w:val="single" w:color="auto"/>
          <w:color w:val="auto"/>
        </w:rPr>
        <w:t>a</w:t>
      </w:r>
      <w:r>
        <w:rPr>
          <w:rFonts w:ascii="Arial" w:cs="Arial" w:eastAsia="Arial" w:hAnsi="Arial"/>
          <w:sz w:val="22"/>
          <w:szCs w:val="22"/>
          <w:color w:val="auto"/>
        </w:rPr>
        <w:t>) when delivered personally to the recipient; or (</w:t>
      </w:r>
      <w:r>
        <w:rPr>
          <w:rFonts w:ascii="Arial" w:cs="Arial" w:eastAsia="Arial" w:hAnsi="Arial"/>
          <w:sz w:val="22"/>
          <w:szCs w:val="22"/>
          <w:u w:val="single" w:color="auto"/>
          <w:color w:val="auto"/>
        </w:rPr>
        <w:t>b</w:t>
      </w:r>
      <w:r>
        <w:rPr>
          <w:rFonts w:ascii="Arial" w:cs="Arial" w:eastAsia="Arial" w:hAnsi="Arial"/>
          <w:sz w:val="22"/>
          <w:szCs w:val="22"/>
          <w:color w:val="auto"/>
        </w:rPr>
        <w:t>) 1 business day after being sent to the recipient by reputable overnight courier service (charges prepaid), addressed as set forth below, with copies provided by email to those indicated below (including the recipient):</w:t>
      </w:r>
    </w:p>
    <w:p>
      <w:pPr>
        <w:spacing w:after="0" w:line="200" w:lineRule="exact"/>
        <w:rPr>
          <w:sz w:val="20"/>
          <w:szCs w:val="20"/>
          <w:color w:val="auto"/>
        </w:rPr>
      </w:pPr>
    </w:p>
    <w:p>
      <w:pPr>
        <w:spacing w:after="0" w:line="354" w:lineRule="exact"/>
        <w:rPr>
          <w:sz w:val="20"/>
          <w:szCs w:val="20"/>
          <w:color w:val="auto"/>
        </w:rPr>
      </w:pPr>
    </w:p>
    <w:p>
      <w:pPr>
        <w:ind w:left="4780" w:right="5200" w:hanging="4429"/>
        <w:spacing w:after="0" w:line="326" w:lineRule="auto"/>
        <w:tabs>
          <w:tab w:leader="none" w:pos="4760" w:val="left"/>
        </w:tabs>
        <w:rPr>
          <w:sz w:val="20"/>
          <w:szCs w:val="20"/>
          <w:color w:val="auto"/>
        </w:rPr>
      </w:pPr>
      <w:r>
        <w:rPr>
          <w:rFonts w:ascii="Arial" w:cs="Arial" w:eastAsia="Arial" w:hAnsi="Arial"/>
          <w:sz w:val="22"/>
          <w:szCs w:val="22"/>
          <w:color w:val="auto"/>
        </w:rPr>
        <w:t>If to the Plan Trustee</w:t>
      </w:r>
      <w:r>
        <w:rPr>
          <w:sz w:val="20"/>
          <w:szCs w:val="20"/>
          <w:color w:val="auto"/>
        </w:rPr>
        <w:tab/>
      </w:r>
      <w:r>
        <w:rPr>
          <w:rFonts w:ascii="Arial" w:cs="Arial" w:eastAsia="Arial" w:hAnsi="Arial"/>
          <w:sz w:val="19"/>
          <w:szCs w:val="19"/>
          <w:color w:val="auto"/>
        </w:rPr>
        <w:t>[Company] [Street Address]</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[City, State, Zip Code, Country]</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Attention: [Contact]</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Email: [Email]</w:t>
      </w:r>
    </w:p>
    <w:p>
      <w:pPr>
        <w:spacing w:after="0" w:line="34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With a copy (which will not constitute notice to the</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Company) to:</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[Firm]</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[Street address]</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[City, State, Zip Code, Country]</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Attention: [Contact]</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Email: [Email]</w:t>
      </w:r>
    </w:p>
    <w:p>
      <w:pPr>
        <w:sectPr>
          <w:pgSz w:w="11900" w:h="16838" w:orient="portrait"/>
          <w:cols w:equalWidth="0" w:num="1">
            <w:col w:w="11400"/>
          </w:cols>
          <w:pgMar w:left="240" w:top="807" w:right="2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B - 2</w:t>
      </w:r>
    </w:p>
    <w:p>
      <w:pPr>
        <w:sectPr>
          <w:pgSz w:w="11900" w:h="16838" w:orient="portrait"/>
          <w:cols w:equalWidth="0" w:num="1">
            <w:col w:w="11400"/>
          </w:cols>
          <w:pgMar w:left="240" w:top="807" w:right="259" w:bottom="1440" w:gutter="0" w:footer="0" w:header="0"/>
          <w:type w:val="continuous"/>
        </w:sectPr>
      </w:pPr>
    </w:p>
    <w:bookmarkStart w:id="276" w:name="page277"/>
    <w:bookmarkEnd w:id="276"/>
    <w:p>
      <w:pPr>
        <w:spacing w:after="0" w:line="205" w:lineRule="exact"/>
        <w:rPr>
          <w:sz w:val="20"/>
          <w:szCs w:val="20"/>
          <w:color w:val="auto"/>
        </w:rPr>
      </w:pPr>
    </w:p>
    <w:p>
      <w:pPr>
        <w:ind w:left="4780" w:right="5180" w:hanging="4429"/>
        <w:spacing w:after="0" w:line="326" w:lineRule="auto"/>
        <w:tabs>
          <w:tab w:leader="none" w:pos="4760" w:val="left"/>
        </w:tabs>
        <w:rPr>
          <w:sz w:val="20"/>
          <w:szCs w:val="20"/>
          <w:color w:val="auto"/>
        </w:rPr>
      </w:pPr>
      <w:r>
        <w:rPr>
          <w:rFonts w:ascii="Arial" w:cs="Arial" w:eastAsia="Arial" w:hAnsi="Arial"/>
          <w:sz w:val="22"/>
          <w:szCs w:val="22"/>
          <w:color w:val="auto"/>
        </w:rPr>
        <w:t>If to the Insurer</w:t>
      </w:r>
      <w:r>
        <w:rPr>
          <w:sz w:val="20"/>
          <w:szCs w:val="20"/>
          <w:color w:val="auto"/>
        </w:rPr>
        <w:tab/>
      </w:r>
      <w:r>
        <w:rPr>
          <w:rFonts w:ascii="Arial" w:cs="Arial" w:eastAsia="Arial" w:hAnsi="Arial"/>
          <w:sz w:val="19"/>
          <w:szCs w:val="19"/>
          <w:color w:val="auto"/>
        </w:rPr>
        <w:t>[Company] [Street Address]</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[City, State, Zip Code, Country]</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Attention: [Contact]</w:t>
      </w:r>
    </w:p>
    <w:p>
      <w:pPr>
        <w:spacing w:after="0" w:line="44"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Email: [Email]</w:t>
      </w:r>
    </w:p>
    <w:p>
      <w:pPr>
        <w:spacing w:after="0" w:line="34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With a copy (which will not constitute notice to the</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Insurer) to:</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[Firm]</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[Street address]</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[City, State, Zip Code, Country]</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Attention: [Contact]</w:t>
      </w:r>
    </w:p>
    <w:p>
      <w:pPr>
        <w:spacing w:after="0" w:line="44"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Email: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780" w:right="4500" w:hanging="4429"/>
        <w:spacing w:after="0" w:line="326" w:lineRule="auto"/>
        <w:tabs>
          <w:tab w:leader="none" w:pos="4760" w:val="left"/>
        </w:tabs>
        <w:rPr>
          <w:sz w:val="20"/>
          <w:szCs w:val="20"/>
          <w:color w:val="auto"/>
        </w:rPr>
      </w:pPr>
      <w:r>
        <w:rPr>
          <w:rFonts w:ascii="Arial" w:cs="Arial" w:eastAsia="Arial" w:hAnsi="Arial"/>
          <w:sz w:val="22"/>
          <w:szCs w:val="22"/>
          <w:color w:val="auto"/>
        </w:rPr>
        <w:t>If to Independent Fiduciary:</w:t>
      </w:r>
      <w:r>
        <w:rPr>
          <w:sz w:val="20"/>
          <w:szCs w:val="20"/>
          <w:color w:val="auto"/>
        </w:rPr>
        <w:tab/>
      </w:r>
      <w:r>
        <w:rPr>
          <w:rFonts w:ascii="Arial" w:cs="Arial" w:eastAsia="Arial" w:hAnsi="Arial"/>
          <w:sz w:val="19"/>
          <w:szCs w:val="19"/>
          <w:color w:val="auto"/>
        </w:rPr>
        <w:t>[Independent Fiduciary] [Street Address]</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[City, State, Zip Code, Country]</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Attention: [Contact]</w:t>
      </w:r>
    </w:p>
    <w:p>
      <w:pPr>
        <w:spacing w:after="0" w:line="44"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Email: [Email]</w:t>
      </w:r>
    </w:p>
    <w:p>
      <w:pPr>
        <w:spacing w:after="0" w:line="34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With a copy (which will not constitute notice to the</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Independent Fiduciary) to:</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[Firm]</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[Street address]</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[City, State, Zip Code, Country]</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Attention: [Contact]</w:t>
      </w:r>
    </w:p>
    <w:p>
      <w:pPr>
        <w:spacing w:after="0" w:line="44"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Email: [Email]</w:t>
      </w:r>
    </w:p>
    <w:p>
      <w:pPr>
        <w:spacing w:after="0" w:line="200" w:lineRule="exact"/>
        <w:rPr>
          <w:sz w:val="20"/>
          <w:szCs w:val="20"/>
          <w:color w:val="auto"/>
        </w:rPr>
      </w:pPr>
    </w:p>
    <w:p>
      <w:pPr>
        <w:spacing w:after="0" w:line="26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 xml:space="preserve">Any Party may change the address to which notices, requests, demands, claims and other communications hereunder are to be delivered by giving the other Parties notice in the manner set forth in this </w:t>
      </w:r>
      <w:r>
        <w:rPr>
          <w:rFonts w:ascii="Arial" w:cs="Arial" w:eastAsia="Arial" w:hAnsi="Arial"/>
          <w:sz w:val="22"/>
          <w:szCs w:val="22"/>
          <w:u w:val="single" w:color="auto"/>
          <w:color w:val="auto"/>
        </w:rPr>
        <w:t>Section 5</w:t>
      </w:r>
      <w:r>
        <w:rPr>
          <w:rFonts w:ascii="Arial" w:cs="Arial" w:eastAsia="Arial" w:hAnsi="Arial"/>
          <w:sz w:val="22"/>
          <w:szCs w:val="22"/>
          <w:color w:val="auto"/>
        </w:rPr>
        <w:t>.</w:t>
      </w:r>
    </w:p>
    <w:p>
      <w:pPr>
        <w:spacing w:after="0" w:line="391" w:lineRule="exact"/>
        <w:rPr>
          <w:sz w:val="20"/>
          <w:szCs w:val="20"/>
          <w:color w:val="auto"/>
        </w:rPr>
      </w:pPr>
    </w:p>
    <w:p>
      <w:pPr>
        <w:ind w:firstLine="648"/>
        <w:spacing w:after="0" w:line="32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Governing Law</w:t>
      </w:r>
      <w:r>
        <w:rPr>
          <w:rFonts w:ascii="Arial" w:cs="Arial" w:eastAsia="Arial" w:hAnsi="Arial"/>
          <w:sz w:val="19"/>
          <w:szCs w:val="19"/>
          <w:color w:val="auto"/>
        </w:rPr>
        <w:t>. Except to the extent preempted by applicable Federal law, this Agreement will be governed by, and construed in accordance with, the laws of the State of New York, without regard to any principles of conflicts of law thereof that are not mandatorily applicable by law and would permit or require the application of the laws of another jurisdiction.</w:t>
      </w:r>
    </w:p>
    <w:p>
      <w:pPr>
        <w:spacing w:after="0" w:line="342" w:lineRule="exact"/>
        <w:rPr>
          <w:sz w:val="20"/>
          <w:szCs w:val="20"/>
          <w:color w:val="auto"/>
        </w:rPr>
      </w:pPr>
    </w:p>
    <w:p>
      <w:pPr>
        <w:ind w:right="80" w:firstLine="648"/>
        <w:spacing w:after="0" w:line="264"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Submission to Jurisdiction; Service of Process</w:t>
      </w:r>
      <w:r>
        <w:rPr>
          <w:rFonts w:ascii="Arial" w:cs="Arial" w:eastAsia="Arial" w:hAnsi="Arial"/>
          <w:sz w:val="21"/>
          <w:szCs w:val="21"/>
          <w:color w:val="auto"/>
        </w:rPr>
        <w:t>. Each of the Parties irrevocably and unconditionally submits to the jurisdiction of any state or federal court, and only federal court if diversity of Parties exists, sitting in New York County, New York in any Dispute arising out of or relating to this Agreement and agrees that all claims in respect of such action may be heard and determined in any such court. Each Party also agrees not to bring any action arising out of or relating to this Agreement in any other court. Each of the Parties irrevocably and unconditionally waives any objection to personal jurisdiction, venue, and any defense of inconvenient forum to the maintenance of, any action so brought</w:t>
      </w:r>
    </w:p>
    <w:p>
      <w:pPr>
        <w:sectPr>
          <w:pgSz w:w="11900" w:h="16838" w:orient="portrait"/>
          <w:cols w:equalWidth="0" w:num="1">
            <w:col w:w="11380"/>
          </w:cols>
          <w:pgMar w:left="240" w:top="1440" w:right="279" w:bottom="867"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Exhibit B - 3</w:t>
      </w:r>
    </w:p>
    <w:p>
      <w:pPr>
        <w:sectPr>
          <w:pgSz w:w="11900" w:h="16838" w:orient="portrait"/>
          <w:cols w:equalWidth="0" w:num="1">
            <w:col w:w="11380"/>
          </w:cols>
          <w:pgMar w:left="240" w:top="1440" w:right="279" w:bottom="867" w:gutter="0" w:footer="0" w:header="0"/>
          <w:type w:val="continuous"/>
        </w:sectPr>
      </w:pPr>
    </w:p>
    <w:bookmarkStart w:id="277" w:name="page278"/>
    <w:bookmarkEnd w:id="277"/>
    <w:p>
      <w:pPr>
        <w:jc w:val="both"/>
        <w:ind w:right="40"/>
        <w:spacing w:after="0" w:line="265" w:lineRule="auto"/>
        <w:rPr>
          <w:sz w:val="20"/>
          <w:szCs w:val="20"/>
          <w:color w:val="auto"/>
        </w:rPr>
      </w:pPr>
      <w:r>
        <w:rPr>
          <w:rFonts w:ascii="Arial" w:cs="Arial" w:eastAsia="Arial" w:hAnsi="Arial"/>
          <w:sz w:val="21"/>
          <w:szCs w:val="21"/>
          <w:color w:val="auto"/>
        </w:rPr>
        <w:t xml:space="preserve">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provided, however, that nothing in this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will affect the right of any Party to serve legal process in any other manner permitted by law or in equity.</w:t>
      </w:r>
    </w:p>
    <w:p>
      <w:pPr>
        <w:spacing w:after="0" w:line="392" w:lineRule="exact"/>
        <w:rPr>
          <w:sz w:val="20"/>
          <w:szCs w:val="20"/>
          <w:color w:val="auto"/>
        </w:rPr>
      </w:pPr>
    </w:p>
    <w:p>
      <w:pPr>
        <w:ind w:right="120" w:firstLine="648"/>
        <w:spacing w:after="0" w:line="254"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Waivers of Jury Trial</w:t>
      </w:r>
      <w:r>
        <w:rPr>
          <w:rFonts w:ascii="Arial" w:cs="Arial" w:eastAsia="Arial" w:hAnsi="Arial"/>
          <w:sz w:val="22"/>
          <w:szCs w:val="22"/>
          <w:color w:val="auto"/>
        </w:rPr>
        <w:t>. EACH PARTY IRREVOCABLY AND UNCONDITIONALLY WAIVES ANY RIGHT IT MAY HAVE TO A TRIAL BY JURY IN RESPECT OF ANY ACTION DIRECTLY OR INDIRECTLY ARISING OUT OF, UNDER OR IN CONNECTION WITH THIS AGREEMENT OR THE TRANSACTIONS CONTEMPLATED BY THIS AGREEMENT.</w:t>
      </w:r>
    </w:p>
    <w:p>
      <w:pPr>
        <w:spacing w:after="0" w:line="200" w:lineRule="exact"/>
        <w:rPr>
          <w:sz w:val="20"/>
          <w:szCs w:val="20"/>
          <w:color w:val="auto"/>
        </w:rPr>
      </w:pPr>
    </w:p>
    <w:p>
      <w:pPr>
        <w:spacing w:after="0" w:line="201"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The Parties agree that irreparable damage may occur if any of the provisions of this Agreement were not performed in accordance with their specific terms or were otherwise breached. Accordingly, each Party will be entitled to an injunction or injunctions to prevent breaches of this Agreement by the breaching Party and to enforce specifically the terms and provisions of this Agreement, in addition to any other remedy to which such Party is entitled at law or in equity. The Parties further agree that by seeking the remedies provided for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 Party will not in any respect waive its right to seek any other form of relief that may be available to such Party under this Agreement (including monetary damages) if the remedies provided for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are not available or otherwise are not granted.</w:t>
      </w:r>
    </w:p>
    <w:p>
      <w:pPr>
        <w:spacing w:after="0" w:line="368"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This Agreement will not confer any rights or remedies upon any person or entity other than the Parties and the respective successors and permitted assigns of the foregoing.</w:t>
      </w:r>
    </w:p>
    <w:p>
      <w:pPr>
        <w:spacing w:after="0" w:line="377" w:lineRule="exact"/>
        <w:rPr>
          <w:sz w:val="20"/>
          <w:szCs w:val="20"/>
          <w:color w:val="auto"/>
        </w:rPr>
      </w:pPr>
    </w:p>
    <w:p>
      <w:pPr>
        <w:ind w:right="160" w:firstLine="648"/>
        <w:spacing w:after="0" w:line="254"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Counterparts; Facsimile and Electronic Signatures</w:t>
      </w:r>
      <w:r>
        <w:rPr>
          <w:rFonts w:ascii="Arial" w:cs="Arial" w:eastAsia="Arial" w:hAnsi="Arial"/>
          <w:sz w:val="22"/>
          <w:szCs w:val="22"/>
          <w:color w:val="auto"/>
        </w:rPr>
        <w:t xml:space="preserve">. This Agreement may be executed in one or more counterparts, each of which will be deemed an original but all of which together will constitute one and the same instrument. This Agreement or any counterpart may be executed and delivered to the recipients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by electronic communications by portable document format (.pdf), each of which will be deemed an original.</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 - 4</w:t>
      </w:r>
    </w:p>
    <w:p>
      <w:pPr>
        <w:sectPr>
          <w:pgSz w:w="11900" w:h="16838" w:orient="portrait"/>
          <w:cols w:equalWidth="0" w:num="1">
            <w:col w:w="11400"/>
          </w:cols>
          <w:pgMar w:left="240" w:top="807" w:right="259" w:bottom="1440" w:gutter="0" w:footer="0" w:header="0"/>
        </w:sectPr>
      </w:pPr>
    </w:p>
    <w:bookmarkStart w:id="278" w:name="page279"/>
    <w:bookmarkEnd w:id="278"/>
    <w:p>
      <w:pPr>
        <w:spacing w:after="0" w:line="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as of the date first above written.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[PLAN TRUSTEE]</w:t>
      </w:r>
    </w:p>
    <w:p>
      <w:pPr>
        <w:spacing w:after="0" w:line="36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24765</wp:posOffset>
            </wp:positionV>
            <wp:extent cx="37560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w:t>
      </w:r>
    </w:p>
    <w:p>
      <w:pPr>
        <w:spacing w:after="0" w:line="36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THE PRUDENTIAL INSURANCE</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COMPANY OF AMERICA</w:t>
      </w:r>
    </w:p>
    <w:p>
      <w:pPr>
        <w:spacing w:after="0" w:line="36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24765</wp:posOffset>
            </wp:positionV>
            <wp:extent cx="37560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w:t>
      </w:r>
    </w:p>
    <w:p>
      <w:pPr>
        <w:spacing w:after="0" w:line="36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STATE STREET BANK AND TRUST</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COMPANY, solely in its capacity as</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Independent Fiduciary of the General Motors</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Retirement Program for Salaried Employees</w:t>
      </w:r>
    </w:p>
    <w:p>
      <w:pPr>
        <w:spacing w:after="0" w:line="36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24765</wp:posOffset>
            </wp:positionV>
            <wp:extent cx="37560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B - 5</w:t>
      </w:r>
    </w:p>
    <w:p>
      <w:pPr>
        <w:sectPr>
          <w:pgSz w:w="11900" w:h="16838" w:orient="portrait"/>
          <w:cols w:equalWidth="0" w:num="1">
            <w:col w:w="11220"/>
          </w:cols>
          <w:pgMar w:left="240" w:top="1440" w:right="439" w:bottom="1440" w:gutter="0" w:footer="0" w:header="0"/>
        </w:sectPr>
      </w:pPr>
    </w:p>
    <w:bookmarkStart w:id="279" w:name="page280"/>
    <w:bookmarkEnd w:id="279"/>
    <w:p>
      <w:pPr>
        <w:ind w:left="10360"/>
        <w:spacing w:after="0"/>
        <w:tabs>
          <w:tab w:leader="none" w:pos="11320" w:val="left"/>
        </w:tabs>
        <w:rPr>
          <w:sz w:val="20"/>
          <w:szCs w:val="20"/>
          <w:color w:val="auto"/>
        </w:rPr>
      </w:pPr>
      <w:r>
        <w:rPr>
          <w:rFonts w:ascii="Arial" w:cs="Arial" w:eastAsia="Arial" w:hAnsi="Arial"/>
          <w:sz w:val="22"/>
          <w:szCs w:val="22"/>
          <w:b w:val="1"/>
          <w:bCs w:val="1"/>
          <w:color w:val="auto"/>
        </w:rPr>
        <w:t>Date: [</w:t>
      </w:r>
      <w:r>
        <w:rPr>
          <w:sz w:val="20"/>
          <w:szCs w:val="20"/>
          <w:color w:val="auto"/>
        </w:rPr>
        <w:tab/>
      </w:r>
      <w:r>
        <w:rPr>
          <w:rFonts w:ascii="Arial" w:cs="Arial" w:eastAsia="Arial" w:hAnsi="Arial"/>
          <w:sz w:val="22"/>
          <w:szCs w:val="22"/>
          <w:b w:val="1"/>
          <w:bCs w:val="1"/>
          <w:color w:val="auto"/>
        </w:rPr>
        <w:t>]</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Exhibit 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OF FINAL ASSET STATEMENT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200" w:type="dxa"/>
            <w:vAlign w:val="bottom"/>
            <w:tcBorders>
              <w:top w:val="single" w:sz="8" w:color="auto"/>
              <w:left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100" w:type="dxa"/>
            <w:vAlign w:val="bottom"/>
            <w:tcBorders>
              <w:top w:val="single" w:sz="8" w:color="auto"/>
              <w:right w:val="single" w:sz="8" w:color="auto"/>
            </w:tcBorders>
          </w:tcPr>
          <w:p>
            <w:pPr>
              <w:spacing w:after="0"/>
              <w:rPr>
                <w:sz w:val="21"/>
                <w:szCs w:val="21"/>
                <w:color w:val="auto"/>
              </w:rPr>
            </w:pPr>
          </w:p>
        </w:tc>
        <w:tc>
          <w:tcPr>
            <w:tcW w:w="160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99"/>
              </w:rPr>
              <w:t>MATURITY</w:t>
            </w:r>
          </w:p>
        </w:tc>
        <w:tc>
          <w:tcPr>
            <w:tcW w:w="2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86"/>
              </w:rPr>
              <w:t>PAR</w:t>
            </w: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8"/>
              </w:rPr>
              <w:t>CREDIT</w:t>
            </w:r>
          </w:p>
        </w:tc>
      </w:tr>
      <w:tr>
        <w:trPr>
          <w:trHeight w:val="230"/>
        </w:trPr>
        <w:tc>
          <w:tcPr>
            <w:tcW w:w="23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CUSIP</w:t>
            </w:r>
          </w:p>
        </w:tc>
        <w:tc>
          <w:tcPr>
            <w:tcW w:w="2280" w:type="dxa"/>
            <w:vAlign w:val="bottom"/>
            <w:tcBorders>
              <w:right w:val="single" w:sz="8" w:color="auto"/>
            </w:tcBorders>
            <w:gridSpan w:val="2"/>
          </w:tcPr>
          <w:p>
            <w:pPr>
              <w:ind w:left="820"/>
              <w:spacing w:after="0"/>
              <w:rPr>
                <w:sz w:val="20"/>
                <w:szCs w:val="20"/>
                <w:color w:val="auto"/>
              </w:rPr>
            </w:pPr>
            <w:r>
              <w:rPr>
                <w:rFonts w:ascii="Arial" w:cs="Arial" w:eastAsia="Arial" w:hAnsi="Arial"/>
                <w:sz w:val="18"/>
                <w:szCs w:val="18"/>
                <w:color w:val="auto"/>
              </w:rPr>
              <w:t>ISSUER</w:t>
            </w:r>
          </w:p>
        </w:tc>
        <w:tc>
          <w:tcPr>
            <w:tcW w:w="16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COUPON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w w:val="95"/>
              </w:rPr>
              <w:t>DATE</w:t>
            </w:r>
          </w:p>
        </w:tc>
        <w:tc>
          <w:tcPr>
            <w:tcW w:w="240" w:type="dxa"/>
            <w:vAlign w:val="bottom"/>
          </w:tcPr>
          <w:p>
            <w:pPr>
              <w:spacing w:after="0"/>
              <w:rPr>
                <w:sz w:val="20"/>
                <w:szCs w:val="20"/>
                <w:color w:val="auto"/>
              </w:rPr>
            </w:pPr>
          </w:p>
        </w:tc>
        <w:tc>
          <w:tcPr>
            <w:tcW w:w="158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4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rPr>
              <w:t>QUALITY</w:t>
            </w: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547"/>
        </w:trPr>
        <w:tc>
          <w:tcPr>
            <w:tcW w:w="22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507"/>
        </w:trPr>
        <w:tc>
          <w:tcPr>
            <w:tcW w:w="22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222"/>
        </w:trPr>
        <w:tc>
          <w:tcPr>
            <w:tcW w:w="23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SUB</w:t>
            </w:r>
          </w:p>
        </w:tc>
        <w:tc>
          <w:tcPr>
            <w:tcW w:w="21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30"/>
        </w:trPr>
        <w:tc>
          <w:tcPr>
            <w:tcW w:w="23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TOTAL</w:t>
            </w:r>
          </w:p>
        </w:tc>
        <w:tc>
          <w:tcPr>
            <w:tcW w:w="21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482"/>
        </w:trPr>
        <w:tc>
          <w:tcPr>
            <w:tcW w:w="2200" w:type="dxa"/>
            <w:vAlign w:val="bottom"/>
          </w:tcPr>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23"/>
                <w:szCs w:val="23"/>
                <w:color w:val="auto"/>
              </w:rPr>
              <w:t>]</w:t>
            </w: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49"/>
        </w:trPr>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20"/>
                <w:szCs w:val="20"/>
                <w:color w:val="auto"/>
              </w:rPr>
            </w:pPr>
          </w:p>
        </w:tc>
        <w:tc>
          <w:tcPr>
            <w:tcW w:w="21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NEWCO [ *** ]</w:t>
            </w:r>
          </w:p>
        </w:tc>
        <w:tc>
          <w:tcPr>
            <w:tcW w:w="100" w:type="dxa"/>
            <w:vAlign w:val="bottom"/>
          </w:tcPr>
          <w:p>
            <w:pPr>
              <w:spacing w:after="0"/>
              <w:rPr>
                <w:sz w:val="20"/>
                <w:szCs w:val="20"/>
                <w:color w:val="auto"/>
              </w:rPr>
            </w:pPr>
          </w:p>
        </w:tc>
        <w:tc>
          <w:tcPr>
            <w:tcW w:w="1600" w:type="dxa"/>
            <w:vAlign w:val="bottom"/>
          </w:tcPr>
          <w:p>
            <w:pPr>
              <w:ind w:left="680"/>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[OTHER]</w:t>
            </w:r>
          </w:p>
        </w:tc>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 *** ]</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547"/>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22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SUB</w:t>
            </w:r>
          </w:p>
        </w:tc>
        <w:tc>
          <w:tcPr>
            <w:tcW w:w="12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3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TOTAL</w:t>
            </w:r>
          </w:p>
        </w:tc>
        <w:tc>
          <w:tcPr>
            <w:tcW w:w="120" w:type="dxa"/>
            <w:vAlign w:val="bottom"/>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476"/>
        </w:trPr>
        <w:tc>
          <w:tcPr>
            <w:tcW w:w="2320" w:type="dxa"/>
            <w:vAlign w:val="bottom"/>
            <w:gridSpan w:val="2"/>
          </w:tcPr>
          <w:p>
            <w:pPr>
              <w:spacing w:after="0"/>
              <w:rPr>
                <w:sz w:val="20"/>
                <w:szCs w:val="20"/>
                <w:color w:val="auto"/>
              </w:rPr>
            </w:pPr>
            <w:r>
              <w:rPr>
                <w:rFonts w:ascii="Arial" w:cs="Arial" w:eastAsia="Arial" w:hAnsi="Arial"/>
                <w:sz w:val="22"/>
                <w:szCs w:val="22"/>
                <w:b w:val="1"/>
                <w:bCs w:val="1"/>
                <w:color w:val="auto"/>
              </w:rPr>
              <w:t>Other Assets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41"/>
        </w:trPr>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22"/>
        </w:trPr>
        <w:tc>
          <w:tcPr>
            <w:tcW w:w="2200" w:type="dxa"/>
            <w:vAlign w:val="bottom"/>
            <w:tcBorders>
              <w:left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[MATURITY</w:t>
            </w:r>
          </w:p>
        </w:tc>
        <w:tc>
          <w:tcPr>
            <w:tcW w:w="2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color w:val="auto"/>
                <w:w w:val="95"/>
              </w:rPr>
              <w:t>[PAR</w:t>
            </w:r>
          </w:p>
        </w:tc>
        <w:tc>
          <w:tcPr>
            <w:tcW w:w="1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[CREDIT</w:t>
            </w:r>
          </w:p>
        </w:tc>
      </w:tr>
      <w:tr>
        <w:trPr>
          <w:trHeight w:val="23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CUSIP</w:t>
            </w:r>
          </w:p>
        </w:tc>
        <w:tc>
          <w:tcPr>
            <w:tcW w:w="120" w:type="dxa"/>
            <w:vAlign w:val="bottom"/>
          </w:tcPr>
          <w:p>
            <w:pPr>
              <w:spacing w:after="0"/>
              <w:rPr>
                <w:sz w:val="20"/>
                <w:szCs w:val="20"/>
                <w:color w:val="auto"/>
              </w:rPr>
            </w:pPr>
          </w:p>
        </w:tc>
        <w:tc>
          <w:tcPr>
            <w:tcW w:w="228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ISSUER</w:t>
            </w:r>
          </w:p>
        </w:tc>
        <w:tc>
          <w:tcPr>
            <w:tcW w:w="1600" w:type="dxa"/>
            <w:vAlign w:val="bottom"/>
          </w:tcPr>
          <w:p>
            <w:pPr>
              <w:ind w:left="420"/>
              <w:spacing w:after="0"/>
              <w:rPr>
                <w:sz w:val="20"/>
                <w:szCs w:val="20"/>
                <w:color w:val="auto"/>
              </w:rPr>
            </w:pPr>
            <w:r>
              <w:rPr>
                <w:rFonts w:ascii="Arial" w:cs="Arial" w:eastAsia="Arial" w:hAnsi="Arial"/>
                <w:sz w:val="18"/>
                <w:szCs w:val="18"/>
                <w:color w:val="auto"/>
              </w:rPr>
              <w:t>[COUPON]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DATE]</w:t>
            </w:r>
          </w:p>
        </w:tc>
        <w:tc>
          <w:tcPr>
            <w:tcW w:w="2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color w:val="auto"/>
              </w:rPr>
              <w:t>AMNT]</w:t>
            </w:r>
          </w:p>
        </w:tc>
        <w:tc>
          <w:tcPr>
            <w:tcW w:w="1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QUALITY]</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642"/>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588"/>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22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SUB</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3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TOTAL</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885"/>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ind w:left="640"/>
              <w:spacing w:after="0"/>
              <w:rPr>
                <w:sz w:val="20"/>
                <w:szCs w:val="20"/>
                <w:color w:val="auto"/>
              </w:rPr>
            </w:pPr>
            <w:r>
              <w:rPr>
                <w:rFonts w:ascii="Arial" w:cs="Arial" w:eastAsia="Arial" w:hAnsi="Arial"/>
                <w:sz w:val="18"/>
                <w:szCs w:val="18"/>
                <w:color w:val="auto"/>
                <w:w w:val="93"/>
              </w:rPr>
              <w:t>Exhibit C - 1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40"/>
          </w:cols>
          <w:pgMar w:left="240" w:top="1179" w:right="219" w:bottom="1440" w:gutter="0" w:footer="0" w:header="0"/>
        </w:sectPr>
      </w:pPr>
    </w:p>
    <w:bookmarkStart w:id="280" w:name="page281"/>
    <w:bookmarkEnd w:id="280"/>
    <w:p>
      <w:pPr>
        <w:jc w:val="center"/>
        <w:ind w:right="-179"/>
        <w:spacing w:after="0"/>
        <w:rPr>
          <w:sz w:val="20"/>
          <w:szCs w:val="20"/>
          <w:color w:val="auto"/>
        </w:rPr>
      </w:pPr>
      <w:r>
        <w:rPr>
          <w:rFonts w:ascii="Arial" w:cs="Arial" w:eastAsia="Arial" w:hAnsi="Arial"/>
          <w:sz w:val="22"/>
          <w:szCs w:val="22"/>
          <w:b w:val="1"/>
          <w:bCs w:val="1"/>
          <w:u w:val="single" w:color="auto"/>
          <w:color w:val="auto"/>
        </w:rPr>
        <w:t>Exhibit D</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NOTICE OF TERMINATION</w:t>
      </w:r>
      <w:r>
        <w:rPr>
          <w:rFonts w:ascii="Arial" w:cs="Arial" w:eastAsia="Arial" w:hAnsi="Arial"/>
          <w:sz w:val="22"/>
          <w:szCs w:val="22"/>
          <w:color w:val="auto"/>
        </w:rPr>
        <w: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w:t>
      </w:r>
      <w:r>
        <w:rPr>
          <w:rFonts w:ascii="Arial" w:cs="Arial" w:eastAsia="Arial" w:hAnsi="Arial"/>
          <w:sz w:val="21"/>
          <w:szCs w:val="21"/>
          <w:color w:val="auto"/>
        </w:rPr>
        <w:t>[ ***</w:t>
      </w:r>
      <w:r>
        <w:rPr>
          <w:rFonts w:ascii="Arial" w:cs="Arial" w:eastAsia="Arial" w:hAnsi="Arial"/>
          <w:sz w:val="20"/>
          <w:szCs w:val="20"/>
          <w:color w:val="auto"/>
        </w:rPr>
        <w:t xml:space="preserve"> </w:t>
      </w:r>
      <w:r>
        <w:rPr>
          <w:rFonts w:ascii="Arial" w:cs="Arial" w:eastAsia="Arial" w:hAnsi="Arial"/>
          <w:sz w:val="23"/>
          <w:szCs w:val="23"/>
          <w:color w:val="auto"/>
        </w:rPr>
        <w:t>]</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General Counsel</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w:t>
      </w:r>
    </w:p>
    <w:p>
      <w:pPr>
        <w:spacing w:after="0" w:line="200" w:lineRule="exact"/>
        <w:rPr>
          <w:sz w:val="20"/>
          <w:szCs w:val="20"/>
          <w:color w:val="auto"/>
        </w:rPr>
      </w:pPr>
    </w:p>
    <w:p>
      <w:pPr>
        <w:spacing w:after="0" w:line="259" w:lineRule="exact"/>
        <w:rPr>
          <w:sz w:val="20"/>
          <w:szCs w:val="20"/>
          <w:color w:val="auto"/>
        </w:rPr>
      </w:pPr>
    </w:p>
    <w:p>
      <w:pPr>
        <w:ind w:right="180"/>
        <w:spacing w:after="0" w:line="279" w:lineRule="auto"/>
        <w:rPr>
          <w:sz w:val="20"/>
          <w:szCs w:val="20"/>
          <w:color w:val="auto"/>
        </w:rPr>
      </w:pPr>
      <w:r>
        <w:rPr>
          <w:rFonts w:ascii="Arial" w:cs="Arial" w:eastAsia="Arial" w:hAnsi="Arial"/>
          <w:sz w:val="20"/>
          <w:szCs w:val="20"/>
          <w:color w:val="auto"/>
        </w:rPr>
        <w:t xml:space="preserve">Reference is made to the Investment Management Agreement, made as of May 25, 2012 (the “Agreement”), by and among General Motors Investment Management Corporation (“GMIMCo”), in its capacity as the Named Fiduciary (as such term is defined by the Employee Retirement Income Security Act of 1974, as amended (“ERISA”)) for investments of the General Motors Retirement Program for Salaried Employees (the “Salary Plan”), The Prudential Insurance Company of America, an entity organized under the laws of New Jersey (“Prudential”), and </w:t>
      </w:r>
      <w:r>
        <w:rPr>
          <w:rFonts w:ascii="Arial" w:cs="Arial" w:eastAsia="Arial" w:hAnsi="Arial"/>
          <w:sz w:val="21"/>
          <w:szCs w:val="21"/>
          <w:color w:val="auto"/>
        </w:rPr>
        <w:t>[ ***</w:t>
      </w:r>
      <w:r>
        <w:rPr>
          <w:rFonts w:ascii="Arial" w:cs="Arial" w:eastAsia="Arial" w:hAnsi="Arial"/>
          <w:sz w:val="20"/>
          <w:szCs w:val="20"/>
          <w:color w:val="auto"/>
        </w:rPr>
        <w:t xml:space="preserve"> </w:t>
      </w:r>
      <w:r>
        <w:rPr>
          <w:rFonts w:ascii="Arial" w:cs="Arial" w:eastAsia="Arial" w:hAnsi="Arial"/>
          <w:sz w:val="23"/>
          <w:szCs w:val="23"/>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used herein and not defined have the same meanings as are ascribed thereto in the Agreement.</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This serves as notice to you from GMIMCo and Prudential under Section 16(a) of the Agreement that the Agreement shall terminate effective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THE PRUDENTIAL INSURANCE COMPANY OF</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AMERICA</w:t>
      </w:r>
    </w:p>
    <w:p>
      <w:pPr>
        <w:spacing w:after="0" w:line="38"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By: _______________________________</w:t>
      </w:r>
    </w:p>
    <w:p>
      <w:pPr>
        <w:spacing w:after="0" w:line="54"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______________________________</w:t>
      </w:r>
    </w:p>
    <w:p>
      <w:pPr>
        <w:spacing w:after="0" w:line="378"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GENERAL MOTORS INVESTMENT</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MANAGEMENT CORPORATION</w:t>
      </w:r>
    </w:p>
    <w:p>
      <w:pPr>
        <w:spacing w:after="0" w:line="38"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By: _______________________________</w:t>
      </w:r>
    </w:p>
    <w:p>
      <w:pPr>
        <w:spacing w:after="0" w:line="54"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D - 1</w:t>
      </w:r>
    </w:p>
    <w:p>
      <w:pPr>
        <w:sectPr>
          <w:pgSz w:w="11900" w:h="16838" w:orient="portrait"/>
          <w:cols w:equalWidth="0" w:num="1">
            <w:col w:w="11240"/>
          </w:cols>
          <w:pgMar w:left="240" w:top="585" w:right="41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225" w:lineRule="exact"/>
        <w:rPr>
          <w:sz w:val="20"/>
          <w:szCs w:val="20"/>
          <w:color w:val="auto"/>
        </w:rPr>
      </w:pPr>
    </w:p>
    <w:p>
      <w:pPr>
        <w:ind w:left="380" w:hanging="183"/>
        <w:spacing w:after="0"/>
        <w:tabs>
          <w:tab w:leader="none" w:pos="3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June 30, 2012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ectPr>
          <w:pgSz w:w="11900" w:h="16838" w:orient="portrait"/>
          <w:cols w:equalWidth="0" w:num="1">
            <w:col w:w="11420"/>
          </w:cols>
          <w:pgMar w:left="240" w:top="580"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225" w:lineRule="exact"/>
        <w:rPr>
          <w:sz w:val="20"/>
          <w:szCs w:val="20"/>
          <w:color w:val="auto"/>
        </w:rPr>
      </w:pPr>
    </w:p>
    <w:p>
      <w:pPr>
        <w:ind w:left="380" w:hanging="183"/>
        <w:spacing w:after="0"/>
        <w:tabs>
          <w:tab w:leader="none" w:pos="3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June 30, 2012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ectPr>
          <w:pgSz w:w="11900" w:h="16838" w:orient="portrait"/>
          <w:cols w:equalWidth="0" w:num="1">
            <w:col w:w="11420"/>
          </w:cols>
          <w:pgMar w:left="240" w:top="581"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June 30, 2012 as filed with the Securities and Exchange Commission on the date hereof (the “Report”), I, Daniel F. Akerson, Chairman and Chief Executive Officer of the Company, certify, pursuant to 18 U.S.C. § 1350, as adopted pursuant to § 906 of the Sarbanes-Oxley Act of 2002, that to the best of my knowledge:</w:t>
      </w:r>
    </w:p>
    <w:p>
      <w:pPr>
        <w:spacing w:after="0" w:line="166" w:lineRule="exact"/>
        <w:rPr>
          <w:sz w:val="20"/>
          <w:szCs w:val="20"/>
          <w:color w:val="auto"/>
        </w:rPr>
      </w:pPr>
    </w:p>
    <w:p>
      <w:pPr>
        <w:ind w:left="720" w:hanging="172"/>
        <w:spacing w:after="0"/>
        <w:tabs>
          <w:tab w:leader="none" w:pos="7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ectPr>
          <w:pgSz w:w="11900" w:h="16838" w:orient="portrait"/>
          <w:cols w:equalWidth="0" w:num="1">
            <w:col w:w="11420"/>
          </w:cols>
          <w:pgMar w:left="240" w:top="580"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June 30, 2012 as filed with the Securities and Exchange Commission on the date hereof (the “Report”), I, Daniel Ammann, Senior Vice President and Chief Financial Officer of the Company, certify, pursuant to 18 U.S.C. § 1350, as adopted pursuant to § 906 of the Sarbanes-Oxley Act of 2002, that to the best of my knowledge:</w:t>
      </w:r>
    </w:p>
    <w:p>
      <w:pPr>
        <w:spacing w:after="0" w:line="166" w:lineRule="exact"/>
        <w:rPr>
          <w:sz w:val="20"/>
          <w:szCs w:val="20"/>
          <w:color w:val="auto"/>
        </w:rPr>
      </w:pPr>
    </w:p>
    <w:p>
      <w:pPr>
        <w:ind w:left="720" w:hanging="172"/>
        <w:spacing w:after="0"/>
        <w:tabs>
          <w:tab w:leader="none" w:pos="7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B012B3"/>
    <w:multiLevelType w:val="hybridMultilevel"/>
    <w:lvl w:ilvl="0">
      <w:lvlJc w:val="left"/>
      <w:lvlText w:val="☑"/>
      <w:numFmt w:val="bullet"/>
      <w:start w:val="1"/>
    </w:lvl>
  </w:abstractNum>
  <w:abstractNum w:abstractNumId="1">
    <w:nsid w:val="2708C9AF"/>
    <w:multiLevelType w:val="hybridMultilevel"/>
    <w:lvl w:ilvl="0">
      <w:lvlJc w:val="left"/>
      <w:lvlText w:val="☐"/>
      <w:numFmt w:val="bullet"/>
      <w:start w:val="1"/>
    </w:lvl>
  </w:abstractNum>
  <w:abstractNum w:abstractNumId="2">
    <w:nsid w:val="5B25ACE2"/>
    <w:multiLevelType w:val="hybridMultilevel"/>
    <w:lvl w:ilvl="0">
      <w:lvlJc w:val="left"/>
      <w:lvlText w:val="%1"/>
      <w:numFmt w:val="decimal"/>
      <w:start w:val="20"/>
    </w:lvl>
  </w:abstractNum>
  <w:abstractNum w:abstractNumId="3">
    <w:nsid w:val="175DFCF0"/>
    <w:multiLevelType w:val="hybridMultilevel"/>
    <w:lvl w:ilvl="0">
      <w:lvlJc w:val="left"/>
      <w:lvlText w:val="(%1)"/>
      <w:numFmt w:val="decimal"/>
      <w:start w:val="275"/>
    </w:lvl>
  </w:abstractNum>
  <w:abstractNum w:abstractNumId="4">
    <w:nsid w:val="4F97E3E4"/>
    <w:multiLevelType w:val="hybridMultilevel"/>
    <w:lvl w:ilvl="0">
      <w:lvlJc w:val="left"/>
      <w:lvlText w:val="(%1)"/>
      <w:numFmt w:val="decimal"/>
      <w:start w:val="610"/>
    </w:lvl>
  </w:abstractNum>
  <w:abstractNum w:abstractNumId="5">
    <w:nsid w:val="53B0A9E"/>
    <w:multiLevelType w:val="hybridMultilevel"/>
    <w:lvl w:ilvl="0">
      <w:lvlJc w:val="left"/>
      <w:lvlText w:val="(%1)"/>
      <w:numFmt w:val="decimal"/>
      <w:start w:val="140"/>
    </w:lvl>
  </w:abstractNum>
  <w:abstractNum w:abstractNumId="6">
    <w:nsid w:val="34FD6B4F"/>
    <w:multiLevelType w:val="hybridMultilevel"/>
    <w:lvl w:ilvl="0">
      <w:lvlJc w:val="left"/>
      <w:lvlText w:val="(%1)"/>
      <w:numFmt w:val="decimal"/>
      <w:start w:val="825"/>
    </w:lvl>
  </w:abstractNum>
  <w:abstractNum w:abstractNumId="7">
    <w:nsid w:val="5915FF32"/>
    <w:multiLevelType w:val="hybridMultilevel"/>
    <w:lvl w:ilvl="0">
      <w:lvlJc w:val="left"/>
      <w:lvlText w:val="(%1)"/>
      <w:numFmt w:val="lowerLetter"/>
      <w:start w:val="1"/>
    </w:lvl>
  </w:abstractNum>
  <w:abstractNum w:abstractNumId="8">
    <w:nsid w:val="56438D15"/>
    <w:multiLevelType w:val="hybridMultilevel"/>
    <w:lvl w:ilvl="0">
      <w:lvlJc w:val="left"/>
      <w:lvlText w:val="(%1)"/>
      <w:numFmt w:val="lowerLetter"/>
      <w:start w:val="1"/>
    </w:lvl>
  </w:abstractNum>
  <w:abstractNum w:abstractNumId="9">
    <w:nsid w:val="519E3149"/>
    <w:multiLevelType w:val="hybridMultilevel"/>
    <w:lvl w:ilvl="0">
      <w:lvlJc w:val="left"/>
      <w:lvlText w:val="(%1)"/>
      <w:numFmt w:val="lowerLetter"/>
      <w:start w:val="1"/>
    </w:lvl>
  </w:abstractNum>
  <w:abstractNum w:abstractNumId="10">
    <w:nsid w:val="2C6E4AFD"/>
    <w:multiLevelType w:val="hybridMultilevel"/>
    <w:lvl w:ilvl="0">
      <w:lvlJc w:val="left"/>
      <w:lvlText w:val="•"/>
      <w:numFmt w:val="bullet"/>
      <w:start w:val="1"/>
    </w:lvl>
  </w:abstractNum>
  <w:abstractNum w:abstractNumId="11">
    <w:nsid w:val="17A1B582"/>
    <w:multiLevelType w:val="hybridMultilevel"/>
    <w:lvl w:ilvl="0">
      <w:lvlJc w:val="left"/>
      <w:lvlText w:val="(%1)"/>
      <w:numFmt w:val="lowerLetter"/>
      <w:start w:val="1"/>
    </w:lvl>
  </w:abstractNum>
  <w:abstractNum w:abstractNumId="12">
    <w:nsid w:val="4DF72E4E"/>
    <w:multiLevelType w:val="hybridMultilevel"/>
    <w:lvl w:ilvl="0">
      <w:lvlJc w:val="left"/>
      <w:lvlText w:val="(%1)"/>
      <w:numFmt w:val="lowerLetter"/>
      <w:start w:val="1"/>
    </w:lvl>
  </w:abstractNum>
  <w:abstractNum w:abstractNumId="13">
    <w:nsid w:val="5046B5A9"/>
    <w:multiLevelType w:val="hybridMultilevel"/>
    <w:lvl w:ilvl="0">
      <w:lvlJc w:val="left"/>
      <w:lvlText w:val="(%1)"/>
      <w:numFmt w:val="lowerLetter"/>
      <w:start w:val="1"/>
    </w:lvl>
  </w:abstractNum>
  <w:abstractNum w:abstractNumId="14">
    <w:nsid w:val="5D888A08"/>
    <w:multiLevelType w:val="hybridMultilevel"/>
    <w:lvl w:ilvl="0">
      <w:lvlJc w:val="left"/>
      <w:lvlText w:val="(%1)"/>
      <w:numFmt w:val="lowerLetter"/>
      <w:start w:val="1"/>
    </w:lvl>
  </w:abstractNum>
  <w:abstractNum w:abstractNumId="15">
    <w:nsid w:val="2A082C70"/>
    <w:multiLevelType w:val="hybridMultilevel"/>
    <w:lvl w:ilvl="0">
      <w:lvlJc w:val="left"/>
      <w:lvlText w:val="(%1)"/>
      <w:numFmt w:val="lowerLetter"/>
      <w:start w:val="1"/>
    </w:lvl>
  </w:abstractNum>
  <w:abstractNum w:abstractNumId="16">
    <w:nsid w:val="5EC6AFD4"/>
    <w:multiLevelType w:val="hybridMultilevel"/>
    <w:lvl w:ilvl="0">
      <w:lvlJc w:val="left"/>
      <w:lvlText w:val="(%1)"/>
      <w:numFmt w:val="lowerLetter"/>
      <w:start w:val="1"/>
    </w:lvl>
  </w:abstractNum>
  <w:abstractNum w:abstractNumId="17">
    <w:nsid w:val="19E21BB2"/>
    <w:multiLevelType w:val="hybridMultilevel"/>
    <w:lvl w:ilvl="0">
      <w:lvlJc w:val="left"/>
      <w:lvlText w:val="(%1)"/>
      <w:numFmt w:val="lowerLetter"/>
      <w:start w:val="1"/>
    </w:lvl>
  </w:abstractNum>
  <w:abstractNum w:abstractNumId="18">
    <w:nsid w:val="75E0858A"/>
    <w:multiLevelType w:val="hybridMultilevel"/>
    <w:lvl w:ilvl="0">
      <w:lvlJc w:val="left"/>
      <w:lvlText w:val="(%1)"/>
      <w:numFmt w:val="lowerLetter"/>
      <w:start w:val="1"/>
    </w:lvl>
  </w:abstractNum>
  <w:abstractNum w:abstractNumId="19">
    <w:nsid w:val="57A61A29"/>
    <w:multiLevelType w:val="hybridMultilevel"/>
    <w:lvl w:ilvl="0">
      <w:lvlJc w:val="left"/>
      <w:lvlText w:val="(%1)"/>
      <w:numFmt w:val="lowerLetter"/>
      <w:start w:val="1"/>
    </w:lvl>
  </w:abstractNum>
  <w:abstractNum w:abstractNumId="20">
    <w:nsid w:val="5399C654"/>
    <w:multiLevelType w:val="hybridMultilevel"/>
    <w:lvl w:ilvl="0">
      <w:lvlJc w:val="left"/>
      <w:lvlText w:val="(%1)"/>
      <w:numFmt w:val="lowerLetter"/>
      <w:start w:val="1"/>
    </w:lvl>
  </w:abstractNum>
  <w:abstractNum w:abstractNumId="21">
    <w:nsid w:val="20EE1348"/>
    <w:multiLevelType w:val="hybridMultilevel"/>
    <w:lvl w:ilvl="0">
      <w:lvlJc w:val="left"/>
      <w:lvlText w:val="(%1)"/>
      <w:numFmt w:val="lowerLetter"/>
      <w:start w:val="1"/>
    </w:lvl>
  </w:abstractNum>
  <w:abstractNum w:abstractNumId="22">
    <w:nsid w:val="4427069A"/>
    <w:multiLevelType w:val="hybridMultilevel"/>
    <w:lvl w:ilvl="0">
      <w:lvlJc w:val="left"/>
      <w:lvlText w:val="(%1)"/>
      <w:numFmt w:val="lowerLetter"/>
      <w:start w:val="1"/>
    </w:lvl>
  </w:abstractNum>
  <w:abstractNum w:abstractNumId="23">
    <w:nsid w:val="B37E80A"/>
    <w:multiLevelType w:val="hybridMultilevel"/>
    <w:lvl w:ilvl="0">
      <w:lvlJc w:val="left"/>
      <w:lvlText w:val="(%1)"/>
      <w:numFmt w:val="lowerLetter"/>
      <w:start w:val="1"/>
    </w:lvl>
  </w:abstractNum>
  <w:abstractNum w:abstractNumId="24">
    <w:nsid w:val="2157F6BC"/>
    <w:multiLevelType w:val="hybridMultilevel"/>
    <w:lvl w:ilvl="0">
      <w:lvlJc w:val="left"/>
      <w:lvlText w:val="(%1)"/>
      <w:numFmt w:val="lowerLetter"/>
      <w:start w:val="1"/>
    </w:lvl>
  </w:abstractNum>
  <w:abstractNum w:abstractNumId="25">
    <w:nsid w:val="704E1DD5"/>
    <w:multiLevelType w:val="hybridMultilevel"/>
    <w:lvl w:ilvl="0">
      <w:lvlJc w:val="left"/>
      <w:lvlText w:val="(%1)"/>
      <w:numFmt w:val="lowerLetter"/>
      <w:start w:val="1"/>
    </w:lvl>
  </w:abstractNum>
  <w:abstractNum w:abstractNumId="26">
    <w:nsid w:val="57D2F10E"/>
    <w:multiLevelType w:val="hybridMultilevel"/>
    <w:lvl w:ilvl="0">
      <w:lvlJc w:val="left"/>
      <w:lvlText w:val="(%1)"/>
      <w:numFmt w:val="lowerLetter"/>
      <w:start w:val="1"/>
    </w:lvl>
  </w:abstractNum>
  <w:abstractNum w:abstractNumId="27">
    <w:nsid w:val="BFFAE18"/>
    <w:multiLevelType w:val="hybridMultilevel"/>
    <w:lvl w:ilvl="0">
      <w:lvlJc w:val="left"/>
      <w:lvlText w:val="(%1)"/>
      <w:numFmt w:val="lowerLetter"/>
      <w:start w:val="2"/>
    </w:lvl>
  </w:abstractNum>
  <w:abstractNum w:abstractNumId="28">
    <w:nsid w:val="E3E47A8"/>
    <w:multiLevelType w:val="hybridMultilevel"/>
    <w:lvl w:ilvl="0">
      <w:lvlJc w:val="left"/>
      <w:lvlText w:val="(%1)"/>
      <w:numFmt w:val="lowerLetter"/>
      <w:start w:val="1"/>
    </w:lvl>
  </w:abstractNum>
  <w:abstractNum w:abstractNumId="29">
    <w:nsid w:val="2E48F044"/>
    <w:multiLevelType w:val="hybridMultilevel"/>
    <w:lvl w:ilvl="0">
      <w:lvlJc w:val="left"/>
      <w:lvlText w:val="(%1)"/>
      <w:numFmt w:val="lowerLetter"/>
      <w:start w:val="1"/>
    </w:lvl>
  </w:abstractNum>
  <w:abstractNum w:abstractNumId="30">
    <w:nsid w:val="49D0FEAC"/>
    <w:multiLevelType w:val="hybridMultilevel"/>
    <w:lvl w:ilvl="0">
      <w:lvlJc w:val="left"/>
      <w:lvlText w:val="(%1)"/>
      <w:numFmt w:val="lowerLetter"/>
      <w:start w:val="1"/>
    </w:lvl>
  </w:abstractNum>
  <w:abstractNum w:abstractNumId="31">
    <w:nsid w:val="4BEE5A5B"/>
    <w:multiLevelType w:val="hybridMultilevel"/>
    <w:lvl w:ilvl="0">
      <w:lvlJc w:val="left"/>
      <w:lvlText w:val="•"/>
      <w:numFmt w:val="bullet"/>
      <w:start w:val="1"/>
    </w:lvl>
  </w:abstractNum>
  <w:abstractNum w:abstractNumId="32">
    <w:nsid w:val="5551B9F3"/>
    <w:multiLevelType w:val="hybridMultilevel"/>
    <w:lvl w:ilvl="0">
      <w:lvlJc w:val="left"/>
      <w:lvlText w:val="•"/>
      <w:numFmt w:val="bullet"/>
      <w:start w:val="1"/>
    </w:lvl>
  </w:abstractNum>
  <w:abstractNum w:abstractNumId="33">
    <w:nsid w:val="24F6AB8E"/>
    <w:multiLevelType w:val="hybridMultilevel"/>
    <w:lvl w:ilvl="0">
      <w:lvlJc w:val="left"/>
      <w:lvlText w:val="(%1)"/>
      <w:numFmt w:val="lowerLetter"/>
      <w:start w:val="1"/>
    </w:lvl>
  </w:abstractNum>
  <w:abstractNum w:abstractNumId="34">
    <w:nsid w:val="634C574C"/>
    <w:multiLevelType w:val="hybridMultilevel"/>
    <w:lvl w:ilvl="0">
      <w:lvlJc w:val="left"/>
      <w:lvlText w:val="(%1)"/>
      <w:numFmt w:val="lowerLetter"/>
      <w:start w:val="1"/>
    </w:lvl>
  </w:abstractNum>
  <w:abstractNum w:abstractNumId="35">
    <w:nsid w:val="24E99DD7"/>
    <w:multiLevelType w:val="hybridMultilevel"/>
    <w:lvl w:ilvl="0">
      <w:lvlJc w:val="left"/>
      <w:lvlText w:val="(%1)"/>
      <w:numFmt w:val="lowerLetter"/>
      <w:start w:val="3"/>
    </w:lvl>
  </w:abstractNum>
  <w:abstractNum w:abstractNumId="36">
    <w:nsid w:val="2A31B62D"/>
    <w:multiLevelType w:val="hybridMultilevel"/>
    <w:lvl w:ilvl="0">
      <w:lvlJc w:val="left"/>
      <w:lvlText w:val="(%1)"/>
      <w:numFmt w:val="decimal"/>
      <w:start w:val="1"/>
    </w:lvl>
  </w:abstractNum>
  <w:abstractNum w:abstractNumId="37">
    <w:nsid w:val="1849C29B"/>
    <w:multiLevelType w:val="hybridMultilevel"/>
    <w:lvl w:ilvl="0">
      <w:lvlJc w:val="left"/>
      <w:lvlText w:val="(%1)"/>
      <w:numFmt w:val="lowerLetter"/>
      <w:start w:val="1"/>
    </w:lvl>
  </w:abstractNum>
  <w:abstractNum w:abstractNumId="38">
    <w:nsid w:val="7DFF9D09"/>
    <w:multiLevelType w:val="hybridMultilevel"/>
    <w:lvl w:ilvl="0">
      <w:lvlJc w:val="left"/>
      <w:lvlText w:val="(%1)"/>
      <w:numFmt w:val="lowerLetter"/>
      <w:start w:val="1"/>
    </w:lvl>
  </w:abstractNum>
  <w:abstractNum w:abstractNumId="39">
    <w:nsid w:val="754342"/>
    <w:multiLevelType w:val="hybridMultilevel"/>
    <w:lvl w:ilvl="0">
      <w:lvlJc w:val="left"/>
      <w:lvlText w:val="(%1)"/>
      <w:numFmt w:val="lowerLetter"/>
      <w:start w:val="1"/>
    </w:lvl>
  </w:abstractNum>
  <w:abstractNum w:abstractNumId="40">
    <w:nsid w:val="69E7F3E5"/>
    <w:multiLevelType w:val="hybridMultilevel"/>
    <w:lvl w:ilvl="0">
      <w:lvlJc w:val="left"/>
      <w:lvlText w:val="•"/>
      <w:numFmt w:val="bullet"/>
      <w:start w:val="1"/>
    </w:lvl>
  </w:abstractNum>
  <w:abstractNum w:abstractNumId="41">
    <w:nsid w:val="2A6DE806"/>
    <w:multiLevelType w:val="hybridMultilevel"/>
    <w:lvl w:ilvl="0">
      <w:lvlJc w:val="left"/>
      <w:lvlText w:val="•"/>
      <w:numFmt w:val="bullet"/>
      <w:start w:val="1"/>
    </w:lvl>
  </w:abstractNum>
  <w:abstractNum w:abstractNumId="42">
    <w:nsid w:val="1816F8C4"/>
    <w:multiLevelType w:val="hybridMultilevel"/>
    <w:lvl w:ilvl="0">
      <w:lvlJc w:val="left"/>
      <w:lvlText w:val="•"/>
      <w:numFmt w:val="bullet"/>
      <w:start w:val="1"/>
    </w:lvl>
  </w:abstractNum>
  <w:abstractNum w:abstractNumId="43">
    <w:nsid w:val="37DF2233"/>
    <w:multiLevelType w:val="hybridMultilevel"/>
    <w:lvl w:ilvl="0">
      <w:lvlJc w:val="left"/>
      <w:lvlText w:val="*"/>
      <w:numFmt w:val="bullet"/>
      <w:start w:val="1"/>
    </w:lvl>
  </w:abstractNum>
  <w:abstractNum w:abstractNumId="44">
    <w:nsid w:val="7AB49DAF"/>
    <w:multiLevelType w:val="hybridMultilevel"/>
    <w:lvl w:ilvl="0">
      <w:lvlJc w:val="left"/>
      <w:lvlText w:val="]"/>
      <w:numFmt w:val="bullet"/>
      <w:start w:val="1"/>
    </w:lvl>
  </w:abstractNum>
  <w:abstractNum w:abstractNumId="45">
    <w:nsid w:val="759F82CD"/>
    <w:multiLevelType w:val="hybridMultilevel"/>
    <w:lvl w:ilvl="0">
      <w:lvlJc w:val="left"/>
      <w:lvlText w:val="(%1)"/>
      <w:numFmt w:val="lowerLetter"/>
      <w:start w:val="1"/>
    </w:lvl>
  </w:abstractNum>
  <w:abstractNum w:abstractNumId="46">
    <w:nsid w:val="61E74EA3"/>
    <w:multiLevelType w:val="hybridMultilevel"/>
    <w:lvl w:ilvl="0">
      <w:lvlJc w:val="left"/>
      <w:lvlText w:val="(%1)"/>
      <w:numFmt w:val="lowerLetter"/>
      <w:start w:val="4"/>
    </w:lvl>
  </w:abstractNum>
  <w:abstractNum w:abstractNumId="47">
    <w:nsid w:val="597B4D84"/>
    <w:multiLevelType w:val="hybridMultilevel"/>
    <w:lvl w:ilvl="0">
      <w:lvlJc w:val="left"/>
      <w:lvlText w:val="%1."/>
      <w:numFmt w:val="upperLetter"/>
      <w:start w:val="1"/>
    </w:lvl>
    <w:lvl w:ilvl="1">
      <w:lvlJc w:val="left"/>
      <w:lvlText w:val="(%2)"/>
      <w:numFmt w:val="lowerLetter"/>
      <w:start w:val="1"/>
    </w:lvl>
  </w:abstractNum>
  <w:abstractNum w:abstractNumId="48">
    <w:nsid w:val="F819E7F"/>
    <w:multiLevelType w:val="hybridMultilevel"/>
    <w:lvl w:ilvl="0">
      <w:lvlJc w:val="left"/>
      <w:lvlText w:val="(%1)"/>
      <w:numFmt w:val="lowerLetter"/>
      <w:start w:val="1"/>
    </w:lvl>
    <w:lvl w:ilvl="1">
      <w:lvlJc w:val="left"/>
      <w:lvlText w:val="(%2)"/>
      <w:numFmt w:val="lowerRoman"/>
      <w:start w:val="1"/>
    </w:lvl>
  </w:abstractNum>
  <w:abstractNum w:abstractNumId="49">
    <w:nsid w:val="57C7D42D"/>
    <w:multiLevelType w:val="hybridMultilevel"/>
    <w:lvl w:ilvl="0">
      <w:lvlJc w:val="left"/>
      <w:lvlText w:val="(%1)"/>
      <w:numFmt w:val="lowerRoman"/>
      <w:start w:val="4"/>
    </w:lvl>
  </w:abstractNum>
  <w:abstractNum w:abstractNumId="50">
    <w:nsid w:val="312167AD"/>
    <w:multiLevelType w:val="hybridMultilevel"/>
    <w:lvl w:ilvl="0">
      <w:lvlJc w:val="left"/>
      <w:lvlText w:val="(%1)"/>
      <w:numFmt w:val="lowerLetter"/>
      <w:start w:val="2"/>
    </w:lvl>
    <w:lvl w:ilvl="1">
      <w:lvlJc w:val="left"/>
      <w:lvlText w:val="(%2)"/>
      <w:numFmt w:val="lowerRoman"/>
      <w:start w:val="1"/>
    </w:lvl>
  </w:abstractNum>
  <w:abstractNum w:abstractNumId="51">
    <w:nsid w:val="631B64D4"/>
    <w:multiLevelType w:val="hybridMultilevel"/>
    <w:lvl w:ilvl="0">
      <w:lvlJc w:val="left"/>
      <w:lvlText w:val="(%1)"/>
      <w:numFmt w:val="lowerRoman"/>
      <w:start w:val="4"/>
    </w:lvl>
  </w:abstractNum>
  <w:abstractNum w:abstractNumId="52">
    <w:nsid w:val="78B5E776"/>
    <w:multiLevelType w:val="hybridMultilevel"/>
    <w:lvl w:ilvl="0">
      <w:lvlJc w:val="left"/>
      <w:lvlText w:val="(%1)"/>
      <w:numFmt w:val="lowerLetter"/>
      <w:start w:val="1"/>
    </w:lvl>
  </w:abstractNum>
  <w:abstractNum w:abstractNumId="53">
    <w:nsid w:val="75486E47"/>
    <w:multiLevelType w:val="hybridMultilevel"/>
    <w:lvl w:ilvl="0">
      <w:lvlJc w:val="left"/>
      <w:lvlText w:val="%1"/>
      <w:numFmt w:val="upperLetter"/>
      <w:start w:val="1"/>
    </w:lvl>
    <w:lvl w:ilvl="1">
      <w:lvlJc w:val="left"/>
      <w:lvlText w:val="(%2)"/>
      <w:numFmt w:val="lowerLetter"/>
      <w:start w:val="4"/>
    </w:lvl>
  </w:abstractNum>
  <w:abstractNum w:abstractNumId="54">
    <w:nsid w:val="6E534CDE"/>
    <w:multiLevelType w:val="hybridMultilevel"/>
    <w:lvl w:ilvl="0">
      <w:lvlJc w:val="left"/>
      <w:lvlText w:val="%1."/>
      <w:numFmt w:val="upperLetter"/>
      <w:start w:val="2"/>
    </w:lvl>
    <w:lvl w:ilvl="1">
      <w:lvlJc w:val="left"/>
      <w:lvlText w:val="%2"/>
      <w:numFmt w:val="lowerLetter"/>
      <w:start w:val="1"/>
    </w:lvl>
  </w:abstractNum>
  <w:abstractNum w:abstractNumId="55">
    <w:nsid w:val="1A0DDE32"/>
    <w:multiLevelType w:val="hybridMultilevel"/>
    <w:lvl w:ilvl="0">
      <w:lvlJc w:val="left"/>
      <w:lvlText w:val="(%1)"/>
      <w:numFmt w:val="lowerLetter"/>
      <w:start w:val="1"/>
    </w:lvl>
  </w:abstractNum>
  <w:abstractNum w:abstractNumId="56">
    <w:nsid w:val="65968C1C"/>
    <w:multiLevelType w:val="hybridMultilevel"/>
    <w:lvl w:ilvl="0">
      <w:lvlJc w:val="left"/>
      <w:lvlText w:val="(%1)"/>
      <w:numFmt w:val="lowerLetter"/>
      <w:start w:val="2"/>
    </w:lvl>
  </w:abstractNum>
  <w:abstractNum w:abstractNumId="57">
    <w:nsid w:val="46263DEC"/>
    <w:multiLevelType w:val="hybridMultilevel"/>
    <w:lvl w:ilvl="0">
      <w:lvlJc w:val="left"/>
      <w:lvlText w:val="(%1)"/>
      <w:numFmt w:val="lowerLetter"/>
      <w:start w:val="3"/>
    </w:lvl>
  </w:abstractNum>
  <w:abstractNum w:abstractNumId="58">
    <w:nsid w:val="260D8C4A"/>
    <w:multiLevelType w:val="hybridMultilevel"/>
    <w:lvl w:ilvl="0">
      <w:lvlJc w:val="left"/>
      <w:lvlText w:val="(%1)"/>
      <w:numFmt w:val="lowerLetter"/>
      <w:start w:val="4"/>
    </w:lvl>
  </w:abstractNum>
  <w:abstractNum w:abstractNumId="59">
    <w:nsid w:val="73D4D3C4"/>
    <w:multiLevelType w:val="hybridMultilevel"/>
    <w:lvl w:ilvl="0">
      <w:lvlJc w:val="left"/>
      <w:lvlText w:val="(%1)"/>
      <w:numFmt w:val="lowerLetter"/>
      <w:start w:val="5"/>
    </w:lvl>
  </w:abstractNum>
  <w:abstractNum w:abstractNumId="60">
    <w:nsid w:val="746F2E30"/>
    <w:multiLevelType w:val="hybridMultilevel"/>
    <w:lvl w:ilvl="0">
      <w:lvlJc w:val="left"/>
      <w:lvlText w:val="***"/>
      <w:numFmt w:val="bullet"/>
      <w:start w:val="1"/>
    </w:lvl>
  </w:abstractNum>
  <w:abstractNum w:abstractNumId="61">
    <w:nsid w:val="6FDE8AF6"/>
    <w:multiLevelType w:val="hybridMultilevel"/>
    <w:lvl w:ilvl="0">
      <w:lvlJc w:val="left"/>
      <w:lvlText w:val="]"/>
      <w:numFmt w:val="bullet"/>
      <w:start w:val="1"/>
    </w:lvl>
  </w:abstractNum>
  <w:abstractNum w:abstractNumId="62">
    <w:nsid w:val="3FC32E20"/>
    <w:multiLevelType w:val="hybridMultilevel"/>
    <w:lvl w:ilvl="0">
      <w:lvlJc w:val="left"/>
      <w:lvlText w:val="(%1)"/>
      <w:numFmt w:val="lowerLetter"/>
      <w:start w:val="1"/>
    </w:lvl>
  </w:abstractNum>
  <w:abstractNum w:abstractNumId="63">
    <w:nsid w:val="49C0E823"/>
    <w:multiLevelType w:val="hybridMultilevel"/>
    <w:lvl w:ilvl="0">
      <w:lvlJc w:val="left"/>
      <w:lvlText w:val="(%1)"/>
      <w:numFmt w:val="lowerLetter"/>
      <w:start w:val="2"/>
    </w:lvl>
  </w:abstractNum>
  <w:abstractNum w:abstractNumId="64">
    <w:nsid w:val="14D53685"/>
    <w:multiLevelType w:val="hybridMultilevel"/>
    <w:lvl w:ilvl="0">
      <w:lvlJc w:val="left"/>
      <w:lvlText w:val="%1"/>
      <w:numFmt w:val="decimal"/>
      <w:start w:val="1"/>
    </w:lvl>
    <w:lvl w:ilvl="1">
      <w:lvlJc w:val="left"/>
      <w:lvlText w:val="(%2)"/>
      <w:numFmt w:val="lowerLetter"/>
      <w:start w:val="3"/>
    </w:lvl>
  </w:abstractNum>
  <w:abstractNum w:abstractNumId="65">
    <w:nsid w:val="230F856C"/>
    <w:multiLevelType w:val="hybridMultilevel"/>
    <w:lvl w:ilvl="0">
      <w:lvlJc w:val="left"/>
      <w:lvlText w:val="(%1)"/>
      <w:numFmt w:val="decimal"/>
      <w:start w:val="2"/>
    </w:lvl>
    <w:lvl w:ilvl="1">
      <w:lvlJc w:val="left"/>
      <w:lvlText w:val="%2"/>
      <w:numFmt w:val="lowerLetter"/>
      <w:start w:val="1"/>
    </w:lvl>
  </w:abstractNum>
  <w:abstractNum w:abstractNumId="66">
    <w:nsid w:val="6EAA85FB"/>
    <w:multiLevelType w:val="hybridMultilevel"/>
    <w:lvl w:ilvl="0">
      <w:lvlJc w:val="left"/>
      <w:lvlText w:val="(%1)"/>
      <w:numFmt w:val="lowerLetter"/>
      <w:start w:val="4"/>
    </w:lvl>
  </w:abstractNum>
  <w:abstractNum w:abstractNumId="67">
    <w:nsid w:val="3F06ECB2"/>
    <w:multiLevelType w:val="hybridMultilevel"/>
    <w:lvl w:ilvl="0">
      <w:lvlJc w:val="left"/>
      <w:lvlText w:val="(%1)"/>
      <w:numFmt w:val="lowerLetter"/>
      <w:start w:val="5"/>
    </w:lvl>
    <w:lvl w:ilvl="1">
      <w:lvlJc w:val="left"/>
      <w:lvlText w:val="(%2)"/>
      <w:numFmt w:val="lowerLetter"/>
      <w:start w:val="9"/>
    </w:lvl>
  </w:abstractNum>
  <w:abstractNum w:abstractNumId="68">
    <w:nsid w:val="3B594807"/>
    <w:multiLevelType w:val="hybridMultilevel"/>
    <w:lvl w:ilvl="0">
      <w:lvlJc w:val="left"/>
      <w:lvlText w:val="(%1)"/>
      <w:numFmt w:val="lowerRoman"/>
      <w:start w:val="2"/>
    </w:lvl>
  </w:abstractNum>
  <w:abstractNum w:abstractNumId="69">
    <w:nsid w:val="6CAA2304"/>
    <w:multiLevelType w:val="hybridMultilevel"/>
    <w:lvl w:ilvl="0">
      <w:lvlJc w:val="left"/>
      <w:lvlText w:val="(%1)"/>
      <w:numFmt w:val="lowerLetter"/>
      <w:start w:val="6"/>
    </w:lvl>
  </w:abstractNum>
  <w:abstractNum w:abstractNumId="70">
    <w:nsid w:val="3F7C2FF4"/>
    <w:multiLevelType w:val="hybridMultilevel"/>
    <w:lvl w:ilvl="0">
      <w:lvlJc w:val="left"/>
      <w:lvlText w:val="(%1)"/>
      <w:numFmt w:val="lowerLetter"/>
      <w:start w:val="2"/>
    </w:lvl>
    <w:lvl w:ilvl="1">
      <w:lvlJc w:val="left"/>
      <w:lvlText w:val="(%2)"/>
      <w:numFmt w:val="lowerLetter"/>
      <w:start w:val="9"/>
    </w:lvl>
  </w:abstractNum>
  <w:abstractNum w:abstractNumId="71">
    <w:nsid w:val="25413BEC"/>
    <w:multiLevelType w:val="hybridMultilevel"/>
    <w:lvl w:ilvl="0">
      <w:lvlJc w:val="left"/>
      <w:lvlText w:val="(%1)"/>
      <w:numFmt w:val="lowerRoman"/>
      <w:start w:val="2"/>
    </w:lvl>
  </w:abstractNum>
  <w:abstractNum w:abstractNumId="72">
    <w:nsid w:val="17180B0B"/>
    <w:multiLevelType w:val="hybridMultilevel"/>
    <w:lvl w:ilvl="0">
      <w:lvlJc w:val="left"/>
      <w:lvlText w:val="(%1)"/>
      <w:numFmt w:val="lowerLetter"/>
      <w:start w:val="3"/>
    </w:lvl>
  </w:abstractNum>
  <w:abstractNum w:abstractNumId="73">
    <w:nsid w:val="579328B9"/>
    <w:multiLevelType w:val="hybridMultilevel"/>
    <w:lvl w:ilvl="0">
      <w:lvlJc w:val="left"/>
      <w:lvlText w:val="***"/>
      <w:numFmt w:val="bullet"/>
      <w:start w:val="1"/>
    </w:lvl>
  </w:abstractNum>
  <w:abstractNum w:abstractNumId="74">
    <w:nsid w:val="5D205E20"/>
    <w:multiLevelType w:val="hybridMultilevel"/>
    <w:lvl w:ilvl="0">
      <w:lvlJc w:val="left"/>
      <w:lvlText w:val="(%1)"/>
      <w:numFmt w:val="lowerLetter"/>
      <w:start w:val="5"/>
    </w:lvl>
  </w:abstractNum>
  <w:abstractNum w:abstractNumId="75">
    <w:nsid w:val="11CCA8BA"/>
    <w:multiLevelType w:val="hybridMultilevel"/>
    <w:lvl w:ilvl="0">
      <w:lvlJc w:val="left"/>
      <w:lvlText w:val="["/>
      <w:numFmt w:val="bullet"/>
      <w:start w:val="1"/>
    </w:lvl>
  </w:abstractNum>
  <w:abstractNum w:abstractNumId="76">
    <w:nsid w:val="4D32AB86"/>
    <w:multiLevelType w:val="hybridMultilevel"/>
    <w:lvl w:ilvl="0">
      <w:lvlJc w:val="left"/>
      <w:lvlText w:val="["/>
      <w:numFmt w:val="bullet"/>
      <w:start w:val="1"/>
    </w:lvl>
  </w:abstractNum>
  <w:abstractNum w:abstractNumId="77">
    <w:nsid w:val="3F07ACC3"/>
    <w:multiLevelType w:val="hybridMultilevel"/>
    <w:lvl w:ilvl="0">
      <w:lvlJc w:val="left"/>
      <w:lvlText w:val="(%1)"/>
      <w:numFmt w:val="lowerLetter"/>
      <w:start w:val="1"/>
    </w:lvl>
  </w:abstractNum>
  <w:abstractNum w:abstractNumId="78">
    <w:nsid w:val="6B47F63E"/>
    <w:multiLevelType w:val="hybridMultilevel"/>
    <w:lvl w:ilvl="0">
      <w:lvlJc w:val="left"/>
      <w:lvlText w:val="["/>
      <w:numFmt w:val="bullet"/>
      <w:start w:val="1"/>
    </w:lvl>
  </w:abstractNum>
  <w:abstractNum w:abstractNumId="79">
    <w:nsid w:val="5CB44A05"/>
    <w:multiLevelType w:val="hybridMultilevel"/>
    <w:lvl w:ilvl="0">
      <w:lvlJc w:val="left"/>
      <w:lvlText w:val="(%1)"/>
      <w:numFmt w:val="lowerLetter"/>
      <w:start w:val="3"/>
    </w:lvl>
  </w:abstractNum>
  <w:abstractNum w:abstractNumId="80">
    <w:nsid w:val="16CF80F1"/>
    <w:multiLevelType w:val="hybridMultilevel"/>
    <w:lvl w:ilvl="0">
      <w:lvlJc w:val="left"/>
      <w:lvlText w:val="***"/>
      <w:numFmt w:val="bullet"/>
      <w:start w:val="1"/>
    </w:lvl>
    <w:lvl w:ilvl="1">
      <w:lvlJc w:val="left"/>
      <w:lvlText w:val="(%2)"/>
      <w:numFmt w:val="lowerLetter"/>
      <w:start w:val="4"/>
    </w:lvl>
  </w:abstractNum>
  <w:abstractNum w:abstractNumId="81">
    <w:nsid w:val="1C695DEC"/>
    <w:multiLevelType w:val="hybridMultilevel"/>
    <w:lvl w:ilvl="0">
      <w:lvlJc w:val="left"/>
      <w:lvlText w:val="(%1)"/>
      <w:numFmt w:val="lowerLetter"/>
      <w:start w:val="1"/>
    </w:lvl>
  </w:abstractNum>
  <w:abstractNum w:abstractNumId="82">
    <w:nsid w:val="3FCFAED9"/>
    <w:multiLevelType w:val="hybridMultilevel"/>
    <w:lvl w:ilvl="0">
      <w:lvlJc w:val="left"/>
      <w:lvlText w:val="(%1)"/>
      <w:numFmt w:val="lowerLetter"/>
      <w:start w:val="3"/>
    </w:lvl>
  </w:abstractNum>
  <w:abstractNum w:abstractNumId="83">
    <w:nsid w:val="F856867"/>
    <w:multiLevelType w:val="hybridMultilevel"/>
    <w:lvl w:ilvl="0">
      <w:lvlJc w:val="left"/>
      <w:lvlText w:val="(%1)"/>
      <w:numFmt w:val="lowerLetter"/>
      <w:start w:val="4"/>
    </w:lvl>
  </w:abstractNum>
  <w:abstractNum w:abstractNumId="84">
    <w:nsid w:val="11B1CC33"/>
    <w:multiLevelType w:val="hybridMultilevel"/>
    <w:lvl w:ilvl="0">
      <w:lvlJc w:val="left"/>
      <w:lvlText w:val="(%1)"/>
      <w:numFmt w:val="lowerLetter"/>
      <w:start w:val="1"/>
    </w:lvl>
  </w:abstractNum>
  <w:abstractNum w:abstractNumId="85">
    <w:nsid w:val="2E22FBB7"/>
    <w:multiLevelType w:val="hybridMultilevel"/>
    <w:lvl w:ilvl="0">
      <w:lvlJc w:val="left"/>
      <w:lvlText w:val="(%1)"/>
      <w:numFmt w:val="lowerLetter"/>
      <w:start w:val="4"/>
    </w:lvl>
  </w:abstractNum>
  <w:abstractNum w:abstractNumId="86">
    <w:nsid w:val="29934699"/>
    <w:multiLevelType w:val="hybridMultilevel"/>
    <w:lvl w:ilvl="0">
      <w:lvlJc w:val="left"/>
      <w:lvlText w:val="(%1)"/>
      <w:numFmt w:val="lowerLetter"/>
      <w:start w:val="5"/>
    </w:lvl>
  </w:abstractNum>
  <w:abstractNum w:abstractNumId="87">
    <w:nsid w:val="77485850"/>
    <w:multiLevelType w:val="hybridMultilevel"/>
    <w:lvl w:ilvl="0">
      <w:lvlJc w:val="left"/>
      <w:lvlText w:val="(%1)"/>
      <w:numFmt w:val="lowerLetter"/>
      <w:start w:val="6"/>
    </w:lvl>
  </w:abstractNum>
  <w:abstractNum w:abstractNumId="88">
    <w:nsid w:val="744939A3"/>
    <w:multiLevelType w:val="hybridMultilevel"/>
    <w:lvl w:ilvl="0">
      <w:lvlJc w:val="left"/>
      <w:lvlText w:val="(%1)"/>
      <w:numFmt w:val="lowerLetter"/>
      <w:start w:val="2"/>
    </w:lvl>
    <w:lvl w:ilvl="1">
      <w:lvlJc w:val="left"/>
      <w:lvlText w:val="(%2)"/>
      <w:numFmt w:val="lowerLetter"/>
      <w:start w:val="9"/>
    </w:lvl>
  </w:abstractNum>
  <w:abstractNum w:abstractNumId="89">
    <w:nsid w:val="4FA0D2E3"/>
    <w:multiLevelType w:val="hybridMultilevel"/>
    <w:lvl w:ilvl="0">
      <w:lvlJc w:val="left"/>
      <w:lvlText w:val="***"/>
      <w:numFmt w:val="bullet"/>
      <w:start w:val="1"/>
    </w:lvl>
    <w:lvl w:ilvl="1">
      <w:lvlJc w:val="left"/>
      <w:lvlText w:val="(%2)"/>
      <w:numFmt w:val="lowerRoman"/>
      <w:start w:val="2"/>
    </w:lvl>
  </w:abstractNum>
  <w:abstractNum w:abstractNumId="90">
    <w:nsid w:val="6B1D2C14"/>
    <w:multiLevelType w:val="hybridMultilevel"/>
    <w:lvl w:ilvl="0">
      <w:lvlJc w:val="left"/>
      <w:lvlText w:val="%1"/>
      <w:numFmt w:val="lowerLetter"/>
      <w:start w:val="1"/>
    </w:lvl>
    <w:lvl w:ilvl="1">
      <w:lvlJc w:val="left"/>
      <w:lvlText w:val="(%2)"/>
      <w:numFmt w:val="lowerLetter"/>
      <w:start w:val="61"/>
    </w:lvl>
  </w:abstractNum>
  <w:abstractNum w:abstractNumId="91">
    <w:nsid w:val="68B867D3"/>
    <w:multiLevelType w:val="hybridMultilevel"/>
    <w:lvl w:ilvl="0">
      <w:lvlJc w:val="left"/>
      <w:lvlText w:val="(%1)"/>
      <w:numFmt w:val="lowerLetter"/>
      <w:start w:val="3"/>
    </w:lvl>
    <w:lvl w:ilvl="1">
      <w:lvlJc w:val="left"/>
      <w:lvlText w:val="(%2)"/>
      <w:numFmt w:val="lowerLetter"/>
      <w:start w:val="9"/>
    </w:lvl>
  </w:abstractNum>
  <w:abstractNum w:abstractNumId="92">
    <w:nsid w:val="3F7F5DD9"/>
    <w:multiLevelType w:val="hybridMultilevel"/>
    <w:lvl w:ilvl="0">
      <w:lvlJc w:val="left"/>
      <w:lvlText w:val="%1"/>
      <w:numFmt w:val="lowerLetter"/>
      <w:start w:val="1"/>
    </w:lvl>
    <w:lvl w:ilvl="1">
      <w:lvlJc w:val="left"/>
      <w:lvlText w:val="(%2)"/>
      <w:numFmt w:val="lowerLetter"/>
      <w:start w:val="35"/>
    </w:lvl>
  </w:abstractNum>
  <w:abstractNum w:abstractNumId="93">
    <w:nsid w:val="2AE05A34"/>
    <w:multiLevelType w:val="hybridMultilevel"/>
    <w:lvl w:ilvl="0">
      <w:lvlJc w:val="left"/>
      <w:lvlText w:val="(%1)"/>
      <w:numFmt w:val="lowerLetter"/>
      <w:start w:val="4"/>
    </w:lvl>
    <w:lvl w:ilvl="1">
      <w:lvlJc w:val="left"/>
      <w:lvlText w:val="%2"/>
      <w:numFmt w:val="lowerLetter"/>
      <w:start w:val="1"/>
    </w:lvl>
  </w:abstractNum>
  <w:abstractNum w:abstractNumId="94">
    <w:nsid w:val="32794FF7"/>
    <w:multiLevelType w:val="hybridMultilevel"/>
    <w:lvl w:ilvl="0">
      <w:lvlJc w:val="left"/>
      <w:lvlText w:val="(%1)"/>
      <w:numFmt w:val="lowerLetter"/>
      <w:start w:val="1"/>
    </w:lvl>
  </w:abstractNum>
  <w:abstractNum w:abstractNumId="95">
    <w:nsid w:val="5454945E"/>
    <w:multiLevelType w:val="hybridMultilevel"/>
    <w:lvl w:ilvl="0">
      <w:lvlJc w:val="left"/>
      <w:lvlText w:val="(%1)"/>
      <w:numFmt w:val="lowerLetter"/>
      <w:start w:val="2"/>
    </w:lvl>
  </w:abstractNum>
  <w:abstractNum w:abstractNumId="96">
    <w:nsid w:val="4DEFDFA0"/>
    <w:multiLevelType w:val="hybridMultilevel"/>
    <w:lvl w:ilvl="0">
      <w:lvlJc w:val="left"/>
      <w:lvlText w:val="(%1)"/>
      <w:numFmt w:val="lowerRoman"/>
      <w:start w:val="1"/>
    </w:lvl>
  </w:abstractNum>
  <w:abstractNum w:abstractNumId="97">
    <w:nsid w:val="2123D5F2"/>
    <w:multiLevelType w:val="hybridMultilevel"/>
    <w:lvl w:ilvl="0">
      <w:lvlJc w:val="left"/>
      <w:lvlText w:val="(%1)"/>
      <w:numFmt w:val="lowerRoman"/>
      <w:start w:val="2"/>
    </w:lvl>
  </w:abstractNum>
  <w:abstractNum w:abstractNumId="98">
    <w:nsid w:val="135B8110"/>
    <w:multiLevelType w:val="hybridMultilevel"/>
    <w:lvl w:ilvl="0">
      <w:lvlJc w:val="left"/>
      <w:lvlText w:val="%1"/>
      <w:numFmt w:val="lowerLetter"/>
      <w:start w:val="1"/>
    </w:lvl>
    <w:lvl w:ilvl="1">
      <w:lvlJc w:val="left"/>
      <w:lvlText w:val="(%2)"/>
      <w:numFmt w:val="lowerLetter"/>
      <w:start w:val="61"/>
    </w:lvl>
  </w:abstractNum>
  <w:abstractNum w:abstractNumId="99">
    <w:nsid w:val="94927A8"/>
    <w:multiLevelType w:val="hybridMultilevel"/>
    <w:lvl w:ilvl="0">
      <w:lvlJc w:val="left"/>
      <w:lvlText w:val="(%1)"/>
      <w:numFmt w:val="lowerLetter"/>
      <w:start w:val="4"/>
    </w:lvl>
    <w:lvl w:ilvl="1">
      <w:lvlJc w:val="left"/>
      <w:lvlText w:val="%2"/>
      <w:numFmt w:val="lowerLetter"/>
      <w:start w:val="1"/>
    </w:lvl>
  </w:abstractNum>
  <w:abstractNum w:abstractNumId="100">
    <w:nsid w:val="DCDF8F6"/>
    <w:multiLevelType w:val="hybridMultilevel"/>
    <w:lvl w:ilvl="0">
      <w:lvlJc w:val="left"/>
      <w:lvlText w:val="(%1)"/>
      <w:numFmt w:val="lowerLetter"/>
      <w:start w:val="1"/>
    </w:lvl>
  </w:abstractNum>
  <w:abstractNum w:abstractNumId="101">
    <w:nsid w:val="52D7B105"/>
    <w:multiLevelType w:val="hybridMultilevel"/>
    <w:lvl w:ilvl="0">
      <w:lvlJc w:val="left"/>
      <w:lvlText w:val="(%1)"/>
      <w:numFmt w:val="lowerLetter"/>
      <w:start w:val="2"/>
    </w:lvl>
  </w:abstractNum>
  <w:abstractNum w:abstractNumId="102">
    <w:nsid w:val="2E8A6394"/>
    <w:multiLevelType w:val="hybridMultilevel"/>
    <w:lvl w:ilvl="0">
      <w:lvlJc w:val="left"/>
      <w:lvlText w:val="(%1)"/>
      <w:numFmt w:val="lowerLetter"/>
      <w:start w:val="3"/>
    </w:lvl>
  </w:abstractNum>
  <w:abstractNum w:abstractNumId="103">
    <w:nsid w:val="24E60401"/>
    <w:multiLevelType w:val="hybridMultilevel"/>
    <w:lvl w:ilvl="0">
      <w:lvlJc w:val="left"/>
      <w:lvlText w:val="(%1)"/>
      <w:numFmt w:val="lowerLetter"/>
      <w:start w:val="1"/>
    </w:lvl>
    <w:lvl w:ilvl="1">
      <w:lvlJc w:val="left"/>
      <w:lvlText w:val="(%2)"/>
      <w:numFmt w:val="lowerLetter"/>
      <w:start w:val="9"/>
    </w:lvl>
  </w:abstractNum>
  <w:abstractNum w:abstractNumId="104">
    <w:nsid w:val="2A6AD9B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05">
    <w:nsid w:val="BAAC1B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06">
    <w:nsid w:val="36B2ACBC"/>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107">
    <w:nsid w:val="779D8544"/>
    <w:multiLevelType w:val="hybridMultilevel"/>
    <w:lvl w:ilvl="0">
      <w:lvlJc w:val="left"/>
      <w:lvlText w:val="(%1)"/>
      <w:numFmt w:val="lowerLetter"/>
      <w:start w:val="1"/>
    </w:lvl>
  </w:abstractNum>
  <w:abstractNum w:abstractNumId="108">
    <w:nsid w:val="4AB26E78"/>
    <w:multiLevelType w:val="hybridMultilevel"/>
    <w:lvl w:ilvl="0">
      <w:lvlJc w:val="left"/>
      <w:lvlText w:val="%1"/>
      <w:numFmt w:val="upperLetter"/>
      <w:start w:val="1"/>
    </w:lvl>
    <w:lvl w:ilvl="1">
      <w:lvlJc w:val="left"/>
      <w:lvlText w:val="(%2)"/>
      <w:numFmt w:val="lowerLetter"/>
      <w:start w:val="2"/>
    </w:lvl>
  </w:abstractNum>
  <w:abstractNum w:abstractNumId="109">
    <w:nsid w:val="21FAA2FA"/>
    <w:multiLevelType w:val="hybridMultilevel"/>
    <w:lvl w:ilvl="0">
      <w:lvlJc w:val="left"/>
      <w:lvlText w:val="%1."/>
      <w:numFmt w:val="upperLetter"/>
      <w:start w:val="5"/>
    </w:lvl>
    <w:lvl w:ilvl="1">
      <w:lvlJc w:val="left"/>
      <w:lvlText w:val="%2"/>
      <w:numFmt w:val="lowerLetter"/>
      <w:start w:val="1"/>
    </w:lvl>
  </w:abstractNum>
  <w:abstractNum w:abstractNumId="110">
    <w:nsid w:val="5451CF49"/>
    <w:multiLevelType w:val="hybridMultilevel"/>
    <w:lvl w:ilvl="0">
      <w:lvlJc w:val="left"/>
      <w:lvlText w:val="(%1)"/>
      <w:numFmt w:val="lowerLetter"/>
      <w:start w:val="1"/>
    </w:lvl>
  </w:abstractNum>
  <w:abstractNum w:abstractNumId="111">
    <w:nsid w:val="6181EF69"/>
    <w:multiLevelType w:val="hybridMultilevel"/>
    <w:lvl w:ilvl="0">
      <w:lvlJc w:val="left"/>
      <w:lvlText w:val="(%1)"/>
      <w:numFmt w:val="lowerLetter"/>
      <w:start w:val="2"/>
    </w:lvl>
  </w:abstractNum>
  <w:abstractNum w:abstractNumId="112">
    <w:nsid w:val="3E6400E6"/>
    <w:multiLevelType w:val="hybridMultilevel"/>
    <w:lvl w:ilvl="0">
      <w:lvlJc w:val="left"/>
      <w:lvlText w:val="(%1)"/>
      <w:numFmt w:val="lowerLetter"/>
      <w:start w:val="1"/>
    </w:lvl>
  </w:abstractNum>
  <w:abstractNum w:abstractNumId="113">
    <w:nsid w:val="14217E23"/>
    <w:multiLevelType w:val="hybridMultilevel"/>
    <w:lvl w:ilvl="0">
      <w:lvlJc w:val="left"/>
      <w:lvlText w:val="(%1)"/>
      <w:numFmt w:val="lowerLetter"/>
      <w:start w:val="1"/>
    </w:lvl>
  </w:abstractNum>
  <w:abstractNum w:abstractNumId="114">
    <w:nsid w:val="710757D0"/>
    <w:multiLevelType w:val="hybridMultilevel"/>
    <w:lvl w:ilvl="0">
      <w:lvlJc w:val="left"/>
      <w:lvlText w:val="(%1)"/>
      <w:numFmt w:val="lowerLetter"/>
      <w:start w:val="2"/>
    </w:lvl>
  </w:abstractNum>
  <w:abstractNum w:abstractNumId="115">
    <w:nsid w:val="5015CD1A"/>
    <w:multiLevelType w:val="hybridMultilevel"/>
    <w:lvl w:ilvl="0">
      <w:lvlJc w:val="left"/>
      <w:lvlText w:val="(%1)"/>
      <w:numFmt w:val="lowerRoman"/>
      <w:start w:val="2"/>
    </w:lvl>
  </w:abstractNum>
  <w:abstractNum w:abstractNumId="116">
    <w:nsid w:val="424479DA"/>
    <w:multiLevelType w:val="hybridMultilevel"/>
    <w:lvl w:ilvl="0">
      <w:lvlJc w:val="left"/>
      <w:lvlText w:val="***"/>
      <w:numFmt w:val="bullet"/>
      <w:start w:val="1"/>
    </w:lvl>
  </w:abstractNum>
  <w:abstractNum w:abstractNumId="117">
    <w:nsid w:val="1A9A9E69"/>
    <w:multiLevelType w:val="hybridMultilevel"/>
    <w:lvl w:ilvl="0">
      <w:lvlJc w:val="left"/>
      <w:lvlText w:val="(%1)"/>
      <w:numFmt w:val="lowerLetter"/>
      <w:start w:val="1"/>
    </w:lvl>
  </w:abstractNum>
  <w:abstractNum w:abstractNumId="118">
    <w:nsid w:val="475E256A"/>
    <w:multiLevelType w:val="hybridMultilevel"/>
    <w:lvl w:ilvl="0">
      <w:lvlJc w:val="left"/>
      <w:lvlText w:val="(%1)"/>
      <w:numFmt w:val="lowerLetter"/>
      <w:start w:val="1"/>
    </w:lvl>
  </w:abstractNum>
  <w:abstractNum w:abstractNumId="119">
    <w:nsid w:val="368DB37E"/>
    <w:multiLevelType w:val="hybridMultilevel"/>
    <w:lvl w:ilvl="0">
      <w:lvlJc w:val="left"/>
      <w:lvlText w:val="(%1)"/>
      <w:numFmt w:val="lowerLetter"/>
      <w:start w:val="1"/>
    </w:lvl>
  </w:abstractNum>
  <w:abstractNum w:abstractNumId="120">
    <w:nsid w:val="6A3B714C"/>
    <w:multiLevelType w:val="hybridMultilevel"/>
    <w:lvl w:ilvl="0">
      <w:lvlJc w:val="left"/>
      <w:lvlText w:val="(%1)"/>
      <w:numFmt w:val="lowerLetter"/>
      <w:start w:val="2"/>
    </w:lvl>
  </w:abstractNum>
  <w:abstractNum w:abstractNumId="121">
    <w:nsid w:val="327B517E"/>
    <w:multiLevelType w:val="hybridMultilevel"/>
    <w:lvl w:ilvl="0">
      <w:lvlJc w:val="left"/>
      <w:lvlText w:val="(%1)"/>
      <w:numFmt w:val="lowerLetter"/>
      <w:start w:val="1"/>
    </w:lvl>
  </w:abstractNum>
  <w:abstractNum w:abstractNumId="122">
    <w:nsid w:val="1F461B51"/>
    <w:multiLevelType w:val="hybridMultilevel"/>
    <w:lvl w:ilvl="0">
      <w:lvlJc w:val="left"/>
      <w:lvlText w:val="(%1)"/>
      <w:numFmt w:val="lowerLetter"/>
      <w:start w:val="1"/>
    </w:lvl>
  </w:abstractNum>
  <w:abstractNum w:abstractNumId="123">
    <w:nsid w:val="29BACF25"/>
    <w:multiLevelType w:val="hybridMultilevel"/>
    <w:lvl w:ilvl="0">
      <w:lvlJc w:val="left"/>
      <w:lvlText w:val="(%1)"/>
      <w:numFmt w:val="lowerLetter"/>
      <w:start w:val="2"/>
    </w:lvl>
  </w:abstractNum>
  <w:abstractNum w:abstractNumId="124">
    <w:nsid w:val="5D5BABB3"/>
    <w:multiLevelType w:val="hybridMultilevel"/>
    <w:lvl w:ilvl="0">
      <w:lvlJc w:val="left"/>
      <w:lvlText w:val="(%1)"/>
      <w:numFmt w:val="lowerLetter"/>
      <w:start w:val="1"/>
    </w:lvl>
  </w:abstractNum>
  <w:abstractNum w:abstractNumId="125">
    <w:nsid w:val="51BF6B48"/>
    <w:multiLevelType w:val="hybridMultilevel"/>
    <w:lvl w:ilvl="0">
      <w:lvlJc w:val="left"/>
      <w:lvlText w:val="%1"/>
      <w:numFmt w:val="decimal"/>
      <w:start w:val="1"/>
    </w:lvl>
    <w:lvl w:ilvl="1">
      <w:lvlJc w:val="left"/>
      <w:lvlText w:val="(%2)"/>
      <w:numFmt w:val="lowerLetter"/>
      <w:start w:val="2"/>
    </w:lvl>
  </w:abstractNum>
  <w:abstractNum w:abstractNumId="126">
    <w:nsid w:val="7E0F6384"/>
    <w:multiLevelType w:val="hybridMultilevel"/>
    <w:lvl w:ilvl="0">
      <w:lvlJc w:val="left"/>
      <w:lvlText w:val="(%1)"/>
      <w:numFmt w:val="decimal"/>
      <w:start w:val="10"/>
    </w:lvl>
    <w:lvl w:ilvl="1">
      <w:lvlJc w:val="left"/>
      <w:lvlText w:val="(%2)"/>
      <w:numFmt w:val="lowerLetter"/>
      <w:start w:val="5"/>
    </w:lvl>
  </w:abstractNum>
  <w:abstractNum w:abstractNumId="127">
    <w:nsid w:val="2B4B8B53"/>
    <w:multiLevelType w:val="hybridMultilevel"/>
    <w:lvl w:ilvl="0">
      <w:lvlJc w:val="left"/>
      <w:lvlText w:val="(%1)"/>
      <w:numFmt w:val="lowerLetter"/>
      <w:start w:val="1"/>
    </w:lvl>
  </w:abstractNum>
  <w:abstractNum w:abstractNumId="128">
    <w:nsid w:val="72E3413A"/>
    <w:multiLevelType w:val="hybridMultilevel"/>
    <w:lvl w:ilvl="0">
      <w:lvlJc w:val="left"/>
      <w:lvlText w:val="%1"/>
      <w:numFmt w:val="decimal"/>
      <w:start w:val="1"/>
    </w:lvl>
    <w:lvl w:ilvl="1">
      <w:lvlJc w:val="left"/>
      <w:lvlText w:val="(%2)"/>
      <w:numFmt w:val="lowerLetter"/>
      <w:start w:val="5"/>
    </w:lvl>
  </w:abstractNum>
  <w:abstractNum w:abstractNumId="129">
    <w:nsid w:val="116AE494"/>
    <w:multiLevelType w:val="hybridMultilevel"/>
    <w:lvl w:ilvl="0">
      <w:lvlJc w:val="left"/>
      <w:lvlText w:val="(%1)"/>
      <w:numFmt w:val="decimal"/>
      <w:start w:val="72"/>
    </w:lvl>
    <w:lvl w:ilvl="1">
      <w:lvlJc w:val="left"/>
      <w:lvlText w:val="%2"/>
      <w:numFmt w:val="lowerLetter"/>
      <w:start w:val="1"/>
    </w:lvl>
  </w:abstractNum>
  <w:abstractNum w:abstractNumId="130">
    <w:nsid w:val="3494B2FB"/>
    <w:multiLevelType w:val="hybridMultilevel"/>
    <w:lvl w:ilvl="0">
      <w:lvlJc w:val="left"/>
      <w:lvlText w:val="%1"/>
      <w:numFmt w:val="decimal"/>
      <w:start w:val="1"/>
    </w:lvl>
    <w:lvl w:ilvl="1">
      <w:lvlJc w:val="left"/>
      <w:lvlText w:val="(%2)"/>
      <w:numFmt w:val="lowerLetter"/>
      <w:start w:val="1"/>
    </w:lvl>
  </w:abstractNum>
  <w:abstractNum w:abstractNumId="131">
    <w:nsid w:val="B13A31"/>
    <w:multiLevelType w:val="hybridMultilevel"/>
    <w:lvl w:ilvl="0">
      <w:lvlJc w:val="left"/>
      <w:lvlText w:val="(%1)"/>
      <w:numFmt w:val="decimal"/>
      <w:start w:val="2"/>
    </w:lvl>
    <w:lvl w:ilvl="1">
      <w:lvlJc w:val="left"/>
      <w:lvlText w:val="%2"/>
      <w:numFmt w:val="lowerLetter"/>
      <w:start w:val="1"/>
    </w:lvl>
  </w:abstractNum>
  <w:abstractNum w:abstractNumId="132">
    <w:nsid w:val="64429599"/>
    <w:multiLevelType w:val="hybridMultilevel"/>
    <w:lvl w:ilvl="0">
      <w:lvlJc w:val="left"/>
      <w:lvlText w:val="(%1)"/>
      <w:numFmt w:val="lowerLetter"/>
      <w:start w:val="2"/>
    </w:lvl>
  </w:abstractNum>
  <w:abstractNum w:abstractNumId="133">
    <w:nsid w:val="631F1690"/>
    <w:multiLevelType w:val="hybridMultilevel"/>
    <w:lvl w:ilvl="0">
      <w:lvlJc w:val="left"/>
      <w:lvlText w:val="(%1)"/>
      <w:numFmt w:val="lowerLetter"/>
      <w:start w:val="5"/>
    </w:lvl>
  </w:abstractNum>
  <w:abstractNum w:abstractNumId="134">
    <w:nsid w:val="25973E32"/>
    <w:multiLevelType w:val="hybridMultilevel"/>
    <w:lvl w:ilvl="0">
      <w:lvlJc w:val="left"/>
      <w:lvlText w:val="(%1)"/>
      <w:numFmt w:val="lowerRoman"/>
      <w:start w:val="2"/>
    </w:lvl>
  </w:abstractNum>
  <w:abstractNum w:abstractNumId="135">
    <w:nsid w:val="EAD6F57"/>
    <w:multiLevelType w:val="hybridMultilevel"/>
    <w:lvl w:ilvl="0">
      <w:lvlJc w:val="left"/>
      <w:lvlText w:val="(%1)"/>
      <w:numFmt w:val="lowerLetter"/>
      <w:start w:val="4"/>
    </w:lvl>
  </w:abstractNum>
  <w:abstractNum w:abstractNumId="136">
    <w:nsid w:val="6EC9D844"/>
    <w:multiLevelType w:val="hybridMultilevel"/>
    <w:lvl w:ilvl="0">
      <w:lvlJc w:val="left"/>
      <w:lvlText w:val="(%1)"/>
      <w:numFmt w:val="lowerLetter"/>
      <w:start w:val="1"/>
    </w:lvl>
  </w:abstractNum>
  <w:abstractNum w:abstractNumId="137">
    <w:nsid w:val="5C49EAEE"/>
    <w:multiLevelType w:val="hybridMultilevel"/>
    <w:lvl w:ilvl="0">
      <w:lvlJc w:val="left"/>
      <w:lvlText w:val="(%1)"/>
      <w:numFmt w:val="lowerLetter"/>
      <w:start w:val="1"/>
    </w:lvl>
  </w:abstractNum>
  <w:abstractNum w:abstractNumId="138">
    <w:nsid w:val="64AF49B"/>
    <w:multiLevelType w:val="hybridMultilevel"/>
    <w:lvl w:ilvl="0">
      <w:lvlJc w:val="left"/>
      <w:lvlText w:val="(%1)"/>
      <w:numFmt w:val="lowerLetter"/>
      <w:start w:val="1"/>
    </w:lvl>
  </w:abstractNum>
  <w:abstractNum w:abstractNumId="139">
    <w:nsid w:val="397C46BC"/>
    <w:multiLevelType w:val="hybridMultilevel"/>
    <w:lvl w:ilvl="0">
      <w:lvlJc w:val="left"/>
      <w:lvlText w:val="(%1)"/>
      <w:numFmt w:val="lowerLetter"/>
      <w:start w:val="1"/>
    </w:lvl>
  </w:abstractNum>
  <w:abstractNum w:abstractNumId="140">
    <w:nsid w:val="7E448DE9"/>
    <w:multiLevelType w:val="hybridMultilevel"/>
    <w:lvl w:ilvl="0">
      <w:lvlJc w:val="left"/>
      <w:lvlText w:val="(%1)"/>
      <w:numFmt w:val="lowerLetter"/>
      <w:start w:val="10"/>
    </w:lvl>
  </w:abstractNum>
  <w:abstractNum w:abstractNumId="141">
    <w:nsid w:val="5A9CC3E5"/>
    <w:multiLevelType w:val="hybridMultilevel"/>
    <w:lvl w:ilvl="0">
      <w:lvlJc w:val="left"/>
      <w:lvlText w:val="(%1)"/>
      <w:numFmt w:val="lowerLetter"/>
      <w:start w:val="1"/>
    </w:lvl>
  </w:abstractNum>
  <w:abstractNum w:abstractNumId="142">
    <w:nsid w:val="1AFE3625"/>
    <w:multiLevelType w:val="hybridMultilevel"/>
    <w:lvl w:ilvl="0">
      <w:lvlJc w:val="left"/>
      <w:lvlText w:val="(%1)"/>
      <w:numFmt w:val="lowerLetter"/>
      <w:start w:val="2"/>
    </w:lvl>
  </w:abstractNum>
  <w:abstractNum w:abstractNumId="143">
    <w:nsid w:val="3CA88ECF"/>
    <w:multiLevelType w:val="hybridMultilevel"/>
    <w:lvl w:ilvl="0">
      <w:lvlJc w:val="left"/>
      <w:lvlText w:val="(%1)"/>
      <w:numFmt w:val="lowerLetter"/>
      <w:start w:val="1"/>
    </w:lvl>
  </w:abstractNum>
  <w:abstractNum w:abstractNumId="144">
    <w:nsid w:val="6EBE4208"/>
    <w:multiLevelType w:val="hybridMultilevel"/>
    <w:lvl w:ilvl="0">
      <w:lvlJc w:val="left"/>
      <w:lvlText w:val="(%1)"/>
      <w:numFmt w:val="lowerLetter"/>
      <w:start w:val="2"/>
    </w:lvl>
  </w:abstractNum>
  <w:abstractNum w:abstractNumId="145">
    <w:nsid w:val="C058DF5"/>
    <w:multiLevelType w:val="hybridMultilevel"/>
    <w:lvl w:ilvl="0">
      <w:lvlJc w:val="left"/>
      <w:lvlText w:val="(%1)"/>
      <w:numFmt w:val="lowerLetter"/>
      <w:start w:val="1"/>
    </w:lvl>
  </w:abstractNum>
  <w:abstractNum w:abstractNumId="146">
    <w:nsid w:val="CBE5BE9"/>
    <w:multiLevelType w:val="hybridMultilevel"/>
    <w:lvl w:ilvl="0">
      <w:lvlJc w:val="left"/>
      <w:lvlText w:val="***"/>
      <w:numFmt w:val="bullet"/>
      <w:start w:val="1"/>
    </w:lvl>
    <w:lvl w:ilvl="1">
      <w:lvlJc w:val="left"/>
      <w:lvlText w:val="(%2)"/>
      <w:numFmt w:val="lowerLetter"/>
      <w:start w:val="3"/>
    </w:lvl>
  </w:abstractNum>
  <w:abstractNum w:abstractNumId="147">
    <w:nsid w:val="3102BBE2"/>
    <w:multiLevelType w:val="hybridMultilevel"/>
    <w:lvl w:ilvl="0">
      <w:lvlJc w:val="left"/>
      <w:lvlText w:val="(%1)"/>
      <w:numFmt w:val="lowerLetter"/>
      <w:start w:val="9"/>
    </w:lvl>
  </w:abstractNum>
  <w:abstractNum w:abstractNumId="148">
    <w:nsid w:val="26A02C5E"/>
    <w:multiLevelType w:val="hybridMultilevel"/>
    <w:lvl w:ilvl="0">
      <w:lvlJc w:val="left"/>
      <w:lvlText w:val="(%1)"/>
      <w:numFmt w:val="lowerLetter"/>
      <w:start w:val="1"/>
    </w:lvl>
  </w:abstractNum>
  <w:abstractNum w:abstractNumId="149">
    <w:nsid w:val="541C8153"/>
    <w:multiLevelType w:val="hybridMultilevel"/>
    <w:lvl w:ilvl="0">
      <w:lvlJc w:val="left"/>
      <w:lvlText w:val="(%1)"/>
      <w:numFmt w:val="lowerLetter"/>
      <w:start w:val="2"/>
    </w:lvl>
  </w:abstractNum>
  <w:abstractNum w:abstractNumId="150">
    <w:nsid w:val="67906F60"/>
    <w:multiLevelType w:val="hybridMultilevel"/>
    <w:lvl w:ilvl="0">
      <w:lvlJc w:val="left"/>
      <w:lvlText w:val="(%1)"/>
      <w:numFmt w:val="lowerLetter"/>
      <w:start w:val="4"/>
    </w:lvl>
  </w:abstractNum>
  <w:abstractNum w:abstractNumId="151">
    <w:nsid w:val="10DB9DAA"/>
    <w:multiLevelType w:val="hybridMultilevel"/>
    <w:lvl w:ilvl="0">
      <w:lvlJc w:val="left"/>
      <w:lvlText w:val="(%1)"/>
      <w:numFmt w:val="lowerRoman"/>
      <w:start w:val="2"/>
    </w:lvl>
  </w:abstractNum>
  <w:abstractNum w:abstractNumId="152">
    <w:nsid w:val="697D2D2"/>
    <w:multiLevelType w:val="hybridMultilevel"/>
    <w:lvl w:ilvl="0">
      <w:lvlJc w:val="left"/>
      <w:lvlText w:val="(%1)"/>
      <w:numFmt w:val="lowerRoman"/>
      <w:start w:val="4"/>
    </w:lvl>
  </w:abstractNum>
  <w:abstractNum w:abstractNumId="153">
    <w:nsid w:val="6D68AB2"/>
    <w:multiLevelType w:val="hybridMultilevel"/>
    <w:lvl w:ilvl="0">
      <w:lvlJc w:val="left"/>
      <w:lvlText w:val="(%1)"/>
      <w:numFmt w:val="upperLetter"/>
      <w:start w:val="2"/>
    </w:lvl>
  </w:abstractNum>
  <w:abstractNum w:abstractNumId="154">
    <w:nsid w:val="3A966CD0"/>
    <w:multiLevelType w:val="hybridMultilevel"/>
    <w:lvl w:ilvl="0">
      <w:lvlJc w:val="left"/>
      <w:lvlText w:val="["/>
      <w:numFmt w:val="bullet"/>
      <w:start w:val="1"/>
    </w:lvl>
  </w:abstractNum>
  <w:abstractNum w:abstractNumId="155">
    <w:nsid w:val="63F37E85"/>
    <w:multiLevelType w:val="hybridMultilevel"/>
    <w:lvl w:ilvl="0">
      <w:lvlJc w:val="left"/>
      <w:lvlText w:val="***"/>
      <w:numFmt w:val="bullet"/>
      <w:start w:val="1"/>
    </w:lvl>
    <w:lvl w:ilvl="1">
      <w:lvlJc w:val="left"/>
      <w:lvlText w:val="(%2)"/>
      <w:numFmt w:val="upperLetter"/>
      <w:start w:val="5"/>
    </w:lvl>
  </w:abstractNum>
  <w:abstractNum w:abstractNumId="156">
    <w:nsid w:val="5895F5FA"/>
    <w:multiLevelType w:val="hybridMultilevel"/>
    <w:lvl w:ilvl="0">
      <w:lvlJc w:val="left"/>
      <w:lvlText w:val="(%1)"/>
      <w:numFmt w:val="lowerLetter"/>
      <w:start w:val="1"/>
    </w:lvl>
  </w:abstractNum>
  <w:abstractNum w:abstractNumId="157">
    <w:nsid w:val="38A5D054"/>
    <w:multiLevelType w:val="hybridMultilevel"/>
    <w:lvl w:ilvl="0">
      <w:lvlJc w:val="left"/>
      <w:lvlText w:val="(%1)"/>
      <w:numFmt w:val="lowerLetter"/>
      <w:start w:val="2"/>
    </w:lvl>
  </w:abstractNum>
  <w:abstractNum w:abstractNumId="158">
    <w:nsid w:val="F3F09D8"/>
    <w:multiLevelType w:val="hybridMultilevel"/>
    <w:lvl w:ilvl="0">
      <w:lvlJc w:val="left"/>
      <w:lvlText w:val="(%1)"/>
      <w:numFmt w:val="lowerLetter"/>
      <w:start w:val="1"/>
    </w:lvl>
  </w:abstractNum>
  <w:abstractNum w:abstractNumId="159">
    <w:nsid w:val="4B793735"/>
    <w:multiLevelType w:val="hybridMultilevel"/>
    <w:lvl w:ilvl="0">
      <w:lvlJc w:val="left"/>
      <w:lvlText w:val="(%1)"/>
      <w:numFmt w:val="lowerLetter"/>
      <w:start w:val="1"/>
    </w:lvl>
  </w:abstractNum>
  <w:abstractNum w:abstractNumId="160">
    <w:nsid w:val="4A10B4E8"/>
    <w:multiLevelType w:val="hybridMultilevel"/>
    <w:lvl w:ilvl="0">
      <w:lvlJc w:val="left"/>
      <w:lvlText w:val="%1"/>
      <w:numFmt w:val="lowerLetter"/>
      <w:start w:val="1"/>
    </w:lvl>
    <w:lvl w:ilvl="1">
      <w:lvlJc w:val="left"/>
      <w:lvlText w:val="(%2)"/>
      <w:numFmt w:val="lowerRoman"/>
      <w:start w:val="1"/>
    </w:lvl>
  </w:abstractNum>
  <w:abstractNum w:abstractNumId="161">
    <w:nsid w:val="43D3BCD4"/>
    <w:multiLevelType w:val="hybridMultilevel"/>
    <w:lvl w:ilvl="0">
      <w:lvlJc w:val="left"/>
      <w:lvlText w:val="(%1)"/>
      <w:numFmt w:val="lowerLetter"/>
      <w:start w:val="3"/>
    </w:lvl>
    <w:lvl w:ilvl="1">
      <w:lvlJc w:val="left"/>
      <w:lvlText w:val="%2"/>
      <w:numFmt w:val="lowerRoman"/>
      <w:start w:val="1"/>
    </w:lvl>
  </w:abstractNum>
  <w:abstractNum w:abstractNumId="162">
    <w:nsid w:val="4C2A7166"/>
    <w:multiLevelType w:val="hybridMultilevel"/>
    <w:lvl w:ilvl="0">
      <w:lvlJc w:val="left"/>
      <w:lvlText w:val="(%1)"/>
      <w:numFmt w:val="lowerLetter"/>
      <w:start w:val="6"/>
    </w:lvl>
  </w:abstractNum>
  <w:abstractNum w:abstractNumId="163">
    <w:nsid w:val="2E534A82"/>
    <w:multiLevelType w:val="hybridMultilevel"/>
    <w:lvl w:ilvl="0">
      <w:lvlJc w:val="left"/>
      <w:lvlText w:val="["/>
      <w:numFmt w:val="bullet"/>
      <w:start w:val="1"/>
    </w:lvl>
  </w:abstractNum>
  <w:abstractNum w:abstractNumId="164">
    <w:nsid w:val="26F2D364"/>
    <w:multiLevelType w:val="hybridMultilevel"/>
    <w:lvl w:ilvl="0">
      <w:lvlJc w:val="left"/>
      <w:lvlText w:val="(%1)"/>
      <w:numFmt w:val="upperLetter"/>
      <w:start w:val="1"/>
    </w:lvl>
  </w:abstractNum>
  <w:abstractNum w:abstractNumId="165">
    <w:nsid w:val="71C1AF98"/>
    <w:multiLevelType w:val="hybridMultilevel"/>
    <w:lvl w:ilvl="0">
      <w:lvlJc w:val="left"/>
      <w:lvlText w:val="(%1)"/>
      <w:numFmt w:val="upperLetter"/>
      <w:start w:val="1"/>
    </w:lvl>
  </w:abstractNum>
  <w:abstractNum w:abstractNumId="166">
    <w:nsid w:val="3D00B9D9"/>
    <w:multiLevelType w:val="hybridMultilevel"/>
    <w:lvl w:ilvl="0">
      <w:lvlJc w:val="left"/>
      <w:lvlText w:val="(%1)"/>
      <w:numFmt w:val="upperLetter"/>
      <w:start w:val="2"/>
    </w:lvl>
  </w:abstractNum>
  <w:abstractNum w:abstractNumId="167">
    <w:nsid w:val="15BCABA8"/>
    <w:multiLevelType w:val="hybridMultilevel"/>
    <w:lvl w:ilvl="0">
      <w:lvlJc w:val="left"/>
      <w:lvlText w:val="(%1)"/>
      <w:numFmt w:val="lowerRoman"/>
      <w:start w:val="1"/>
    </w:lvl>
  </w:abstractNum>
  <w:abstractNum w:abstractNumId="168">
    <w:nsid w:val="4E0B9A87"/>
    <w:multiLevelType w:val="hybridMultilevel"/>
    <w:lvl w:ilvl="0">
      <w:lvlJc w:val="left"/>
      <w:lvlText w:val="(%1)"/>
      <w:numFmt w:val="lowerRoman"/>
      <w:start w:val="1"/>
    </w:lvl>
  </w:abstractNum>
  <w:abstractNum w:abstractNumId="169">
    <w:nsid w:val="434BAE75"/>
    <w:multiLevelType w:val="hybridMultilevel"/>
    <w:lvl w:ilvl="0">
      <w:lvlJc w:val="left"/>
      <w:lvlText w:val="(%1)"/>
      <w:numFmt w:val="lowerRoman"/>
      <w:start w:val="2"/>
    </w:lvl>
  </w:abstractNum>
  <w:abstractNum w:abstractNumId="170">
    <w:nsid w:val="4F38F265"/>
    <w:multiLevelType w:val="hybridMultilevel"/>
    <w:lvl w:ilvl="0">
      <w:lvlJc w:val="left"/>
      <w:lvlText w:val="(%1)"/>
      <w:numFmt w:val="lowerRoman"/>
      <w:start w:val="5"/>
    </w:lvl>
  </w:abstractNum>
  <w:abstractNum w:abstractNumId="171">
    <w:nsid w:val="4C502870"/>
    <w:multiLevelType w:val="hybridMultilevel"/>
    <w:lvl w:ilvl="0">
      <w:lvlJc w:val="left"/>
      <w:lvlText w:val="(%1)"/>
      <w:numFmt w:val="lowerRoman"/>
      <w:start w:val="6"/>
    </w:lvl>
  </w:abstractNum>
  <w:abstractNum w:abstractNumId="172">
    <w:nsid w:val="1DE8725A"/>
    <w:multiLevelType w:val="hybridMultilevel"/>
    <w:lvl w:ilvl="0">
      <w:lvlJc w:val="left"/>
      <w:lvlText w:val="(%1)"/>
      <w:numFmt w:val="lowerRoman"/>
      <w:start w:val="7"/>
    </w:lvl>
  </w:abstractNum>
  <w:abstractNum w:abstractNumId="173">
    <w:nsid w:val="6A37288A"/>
    <w:multiLevelType w:val="hybridMultilevel"/>
    <w:lvl w:ilvl="0">
      <w:lvlJc w:val="left"/>
      <w:lvlText w:val="(%1)"/>
      <w:numFmt w:val="lowerRoman"/>
      <w:start w:val="1"/>
    </w:lvl>
    <w:lvl w:ilvl="1">
      <w:lvlJc w:val="left"/>
      <w:lvlText w:val="(%2)"/>
      <w:numFmt w:val="upperLetter"/>
      <w:start w:val="1"/>
    </w:lvl>
  </w:abstractNum>
  <w:abstractNum w:abstractNumId="174">
    <w:nsid w:val="8F8B73F"/>
    <w:multiLevelType w:val="hybridMultilevel"/>
    <w:lvl w:ilvl="0">
      <w:lvlJc w:val="left"/>
      <w:lvlText w:val="%1"/>
      <w:numFmt w:val="lowerRoman"/>
      <w:start w:val="1"/>
    </w:lvl>
    <w:lvl w:ilvl="1">
      <w:lvlJc w:val="left"/>
      <w:lvlText w:val="(%2)"/>
      <w:numFmt w:val="upperLetter"/>
      <w:start w:val="2"/>
    </w:lvl>
  </w:abstractNum>
  <w:abstractNum w:abstractNumId="175">
    <w:nsid w:val="CA6B462"/>
    <w:multiLevelType w:val="hybridMultilevel"/>
    <w:lvl w:ilvl="0">
      <w:lvlJc w:val="left"/>
      <w:lvlText w:val="(%1)"/>
      <w:numFmt w:val="lowerRoman"/>
      <w:start w:val="2"/>
    </w:lvl>
    <w:lvl w:ilvl="1">
      <w:lvlJc w:val="left"/>
      <w:lvlText w:val="(%2)"/>
      <w:numFmt w:val="upperLetter"/>
      <w:start w:val="1"/>
    </w:lvl>
  </w:abstractNum>
  <w:abstractNum w:abstractNumId="176">
    <w:nsid w:val="763CB680"/>
    <w:multiLevelType w:val="hybridMultilevel"/>
    <w:lvl w:ilvl="0">
      <w:lvlJc w:val="left"/>
      <w:lvlText w:val="%1"/>
      <w:numFmt w:val="lowerRoman"/>
      <w:start w:val="1"/>
    </w:lvl>
    <w:lvl w:ilvl="1">
      <w:lvlJc w:val="left"/>
      <w:lvlText w:val="(%2)"/>
      <w:numFmt w:val="upperLetter"/>
      <w:start w:val="24"/>
    </w:lvl>
  </w:abstractNum>
  <w:abstractNum w:abstractNumId="177">
    <w:nsid w:val="15B71329"/>
    <w:multiLevelType w:val="hybridMultilevel"/>
    <w:lvl w:ilvl="0">
      <w:lvlJc w:val="left"/>
      <w:lvlText w:val="(%1)"/>
      <w:numFmt w:val="lowerRoman"/>
      <w:start w:val="3"/>
    </w:lvl>
    <w:lvl w:ilvl="1">
      <w:lvlJc w:val="left"/>
      <w:lvlText w:val="(%2)"/>
      <w:numFmt w:val="upperLetter"/>
      <w:start w:val="1"/>
    </w:lvl>
  </w:abstractNum>
  <w:abstractNum w:abstractNumId="178">
    <w:nsid w:val="3DA97044"/>
    <w:multiLevelType w:val="hybridMultilevel"/>
    <w:lvl w:ilvl="0">
      <w:lvlJc w:val="left"/>
      <w:lvlText w:val="(%1)"/>
      <w:numFmt w:val="lowerRoman"/>
      <w:start w:val="1"/>
    </w:lvl>
  </w:abstractNum>
  <w:abstractNum w:abstractNumId="179">
    <w:nsid w:val="1CDCE2DE"/>
    <w:multiLevelType w:val="hybridMultilevel"/>
    <w:lvl w:ilvl="0">
      <w:lvlJc w:val="left"/>
      <w:lvlText w:val="(%1)"/>
      <w:numFmt w:val="lowerRoman"/>
      <w:start w:val="2"/>
    </w:lvl>
  </w:abstractNum>
  <w:abstractNum w:abstractNumId="180">
    <w:nsid w:val="69D3947C"/>
    <w:multiLevelType w:val="hybridMultilevel"/>
    <w:lvl w:ilvl="0">
      <w:lvlJc w:val="left"/>
      <w:lvlText w:val="(%1)"/>
      <w:numFmt w:val="lowerRoman"/>
      <w:start w:val="3"/>
    </w:lvl>
  </w:abstractNum>
  <w:abstractNum w:abstractNumId="181">
    <w:nsid w:val="2539DFA5"/>
    <w:multiLevelType w:val="hybridMultilevel"/>
    <w:lvl w:ilvl="0">
      <w:lvlJc w:val="left"/>
      <w:lvlText w:val="*"/>
      <w:numFmt w:val="bullet"/>
      <w:start w:val="1"/>
    </w:lvl>
  </w:abstractNum>
  <w:abstractNum w:abstractNumId="182">
    <w:nsid w:val="2DB88089"/>
    <w:multiLevelType w:val="hybridMultilevel"/>
    <w:lvl w:ilvl="0">
      <w:lvlJc w:val="left"/>
      <w:lvlText w:val="(%1)"/>
      <w:numFmt w:val="lowerRoman"/>
      <w:start w:val="1"/>
    </w:lvl>
  </w:abstractNum>
  <w:abstractNum w:abstractNumId="183">
    <w:nsid w:val="706B674E"/>
    <w:multiLevelType w:val="hybridMultilevel"/>
    <w:lvl w:ilvl="0">
      <w:lvlJc w:val="left"/>
      <w:lvlText w:val="(%1)"/>
      <w:numFmt w:val="lowerRoman"/>
      <w:start w:val="2"/>
    </w:lvl>
  </w:abstractNum>
  <w:abstractNum w:abstractNumId="184">
    <w:nsid w:val="2C106A57"/>
    <w:multiLevelType w:val="hybridMultilevel"/>
    <w:lvl w:ilvl="0">
      <w:lvlJc w:val="left"/>
      <w:lvlText w:val="(%1)"/>
      <w:numFmt w:val="lowerRoman"/>
      <w:start w:val="3"/>
    </w:lvl>
  </w:abstractNum>
  <w:abstractNum w:abstractNumId="185">
    <w:nsid w:val="684EED59"/>
    <w:multiLevelType w:val="hybridMultilevel"/>
    <w:lvl w:ilvl="0">
      <w:lvlJc w:val="left"/>
      <w:lvlText w:val="(%1)"/>
      <w:numFmt w:val="lowerRoman"/>
      <w:start w:val="1"/>
    </w:lvl>
  </w:abstractNum>
  <w:abstractNum w:abstractNumId="186">
    <w:nsid w:val="545EE5D3"/>
    <w:multiLevelType w:val="hybridMultilevel"/>
    <w:lvl w:ilvl="0">
      <w:lvlJc w:val="left"/>
      <w:lvlText w:val="(%1)"/>
      <w:numFmt w:val="lowerRoman"/>
      <w:start w:val="2"/>
    </w:lvl>
  </w:abstractNum>
  <w:abstractNum w:abstractNumId="187">
    <w:nsid w:val="4A66051"/>
    <w:multiLevelType w:val="hybridMultilevel"/>
    <w:lvl w:ilvl="0">
      <w:lvlJc w:val="left"/>
      <w:lvlText w:val="(%1)"/>
      <w:numFmt w:val="lowerRoman"/>
      <w:start w:val="3"/>
    </w:lvl>
  </w:abstractNum>
  <w:abstractNum w:abstractNumId="188">
    <w:nsid w:val="20F4BDAD"/>
    <w:multiLevelType w:val="hybridMultilevel"/>
    <w:lvl w:ilvl="0">
      <w:lvlJc w:val="left"/>
      <w:lvlText w:val="(%1)"/>
      <w:numFmt w:val="lowerRoman"/>
      <w:start w:val="4"/>
    </w:lvl>
  </w:abstractNum>
  <w:abstractNum w:abstractNumId="189">
    <w:nsid w:val="639DEFAC"/>
    <w:multiLevelType w:val="hybridMultilevel"/>
    <w:lvl w:ilvl="0">
      <w:lvlJc w:val="left"/>
      <w:lvlText w:val="(%1)"/>
      <w:numFmt w:val="lowerRoman"/>
      <w:start w:val="5"/>
    </w:lvl>
  </w:abstractNum>
  <w:abstractNum w:abstractNumId="190">
    <w:nsid w:val="501F9786"/>
    <w:multiLevelType w:val="hybridMultilevel"/>
    <w:lvl w:ilvl="0">
      <w:lvlJc w:val="left"/>
      <w:lvlText w:val="(%1)"/>
      <w:numFmt w:val="lowerRoman"/>
      <w:start w:val="6"/>
    </w:lvl>
  </w:abstractNum>
  <w:abstractNum w:abstractNumId="191">
    <w:nsid w:val="6B057295"/>
    <w:multiLevelType w:val="hybridMultilevel"/>
    <w:lvl w:ilvl="0">
      <w:lvlJc w:val="left"/>
      <w:lvlText w:val="(%1)"/>
      <w:numFmt w:val="lowerRoman"/>
      <w:start w:val="7"/>
    </w:lvl>
  </w:abstractNum>
  <w:abstractNum w:abstractNumId="192">
    <w:nsid w:val="2771AC80"/>
    <w:multiLevelType w:val="hybridMultilevel"/>
    <w:lvl w:ilvl="0">
      <w:lvlJc w:val="left"/>
      <w:lvlText w:val="(%1)"/>
      <w:numFmt w:val="upperLetter"/>
      <w:start w:val="9"/>
    </w:lvl>
  </w:abstractNum>
  <w:abstractNum w:abstractNumId="193">
    <w:nsid w:val="1C4A08EC"/>
    <w:multiLevelType w:val="hybridMultilevel"/>
    <w:lvl w:ilvl="0">
      <w:lvlJc w:val="left"/>
      <w:lvlText w:val="(%1)"/>
      <w:numFmt w:val="upperLetter"/>
      <w:start w:val="35"/>
    </w:lvl>
  </w:abstractNum>
  <w:abstractNum w:abstractNumId="194">
    <w:nsid w:val="1958BD17"/>
    <w:multiLevelType w:val="hybridMultilevel"/>
    <w:lvl w:ilvl="0">
      <w:lvlJc w:val="left"/>
      <w:lvlText w:val="(%1)"/>
      <w:numFmt w:val="lowerLetter"/>
      <w:start w:val="1"/>
    </w:lvl>
    <w:lvl w:ilvl="1">
      <w:lvlJc w:val="left"/>
      <w:lvlText w:val="(%2)"/>
      <w:numFmt w:val="lowerRoman"/>
      <w:start w:val="1"/>
    </w:lvl>
  </w:abstractNum>
  <w:abstractNum w:abstractNumId="195">
    <w:nsid w:val="4E647FE4"/>
    <w:multiLevelType w:val="hybridMultilevel"/>
    <w:lvl w:ilvl="0">
      <w:lvlJc w:val="left"/>
      <w:lvlText w:val="%1."/>
      <w:numFmt w:val="decimal"/>
      <w:start w:val="1"/>
    </w:lvl>
  </w:abstractNum>
  <w:abstractNum w:abstractNumId="196">
    <w:nsid w:val="E0BB885"/>
    <w:multiLevelType w:val="hybridMultilevel"/>
    <w:lvl w:ilvl="0">
      <w:lvlJc w:val="left"/>
      <w:lvlText w:val="[%1]"/>
      <w:numFmt w:val="decimal"/>
      <w:start w:val="5"/>
    </w:lvl>
    <w:lvl w:ilvl="1">
      <w:lvlJc w:val="left"/>
      <w:lvlText w:val="["/>
      <w:numFmt w:val="bullet"/>
      <w:start w:val="1"/>
    </w:lvl>
  </w:abstractNum>
  <w:abstractNum w:abstractNumId="197">
    <w:nsid w:val="565976F1"/>
    <w:multiLevelType w:val="hybridMultilevel"/>
    <w:lvl w:ilvl="0">
      <w:lvlJc w:val="left"/>
      <w:lvlText w:val="(%1)"/>
      <w:numFmt w:val="upperLetter"/>
      <w:start w:val="1"/>
    </w:lvl>
  </w:abstractNum>
  <w:abstractNum w:abstractNumId="198">
    <w:nsid w:val="64212B8C"/>
    <w:multiLevelType w:val="hybridMultilevel"/>
    <w:lvl w:ilvl="0">
      <w:lvlJc w:val="left"/>
      <w:lvlText w:val="(%1)"/>
      <w:numFmt w:val="upperLetter"/>
      <w:start w:val="1"/>
    </w:lvl>
  </w:abstractNum>
  <w:abstractNum w:abstractNumId="199">
    <w:nsid w:val="5C17530C"/>
    <w:multiLevelType w:val="hybridMultilevel"/>
    <w:lvl w:ilvl="0">
      <w:lvlJc w:val="left"/>
      <w:lvlText w:val="%"/>
      <w:numFmt w:val="bullet"/>
      <w:start w:val="1"/>
    </w:lvl>
  </w:abstractNum>
  <w:abstractNum w:abstractNumId="200">
    <w:nsid w:val="19A52566"/>
    <w:multiLevelType w:val="hybridMultilevel"/>
    <w:lvl w:ilvl="0">
      <w:lvlJc w:val="left"/>
      <w:lvlText w:val="(%1)"/>
      <w:numFmt w:val="lowerRoman"/>
      <w:start w:val="2"/>
    </w:lvl>
  </w:abstractNum>
  <w:abstractNum w:abstractNumId="201">
    <w:nsid w:val="335A1DF1"/>
    <w:multiLevelType w:val="hybridMultilevel"/>
    <w:lvl w:ilvl="0">
      <w:lvlJc w:val="left"/>
      <w:lvlText w:val="•"/>
      <w:numFmt w:val="bullet"/>
      <w:start w:val="1"/>
    </w:lvl>
  </w:abstractNum>
  <w:abstractNum w:abstractNumId="202">
    <w:nsid w:val="28677B7C"/>
    <w:multiLevelType w:val="hybridMultilevel"/>
    <w:lvl w:ilvl="0">
      <w:lvlJc w:val="left"/>
      <w:lvlText w:val="(%1)"/>
      <w:numFmt w:val="upperLetter"/>
      <w:start w:val="1"/>
    </w:lvl>
  </w:abstractNum>
  <w:abstractNum w:abstractNumId="203">
    <w:nsid w:val="378D97C0"/>
    <w:multiLevelType w:val="hybridMultilevel"/>
    <w:lvl w:ilvl="0">
      <w:lvlJc w:val="left"/>
      <w:lvlText w:val="(%1)"/>
      <w:numFmt w:val="upperLetter"/>
      <w:start w:val="1"/>
    </w:lvl>
  </w:abstractNum>
  <w:abstractNum w:abstractNumId="204">
    <w:nsid w:val="1D91467C"/>
    <w:multiLevelType w:val="hybridMultilevel"/>
    <w:lvl w:ilvl="0">
      <w:lvlJc w:val="left"/>
      <w:lvlText w:val="(%1)"/>
      <w:numFmt w:val="upperLetter"/>
      <w:start w:val="24"/>
    </w:lvl>
  </w:abstractNum>
  <w:abstractNum w:abstractNumId="205">
    <w:nsid w:val="316032BB"/>
    <w:multiLevelType w:val="hybridMultilevel"/>
    <w:lvl w:ilvl="0">
      <w:lvlJc w:val="left"/>
      <w:lvlText w:val="%"/>
      <w:numFmt w:val="bullet"/>
      <w:start w:val="1"/>
    </w:lvl>
  </w:abstractNum>
  <w:abstractNum w:abstractNumId="206">
    <w:nsid w:val="44344C22"/>
    <w:multiLevelType w:val="hybridMultilevel"/>
    <w:lvl w:ilvl="0">
      <w:lvlJc w:val="left"/>
      <w:lvlText w:val="(%1)"/>
      <w:numFmt w:val="lowerRoman"/>
      <w:start w:val="2"/>
    </w:lvl>
  </w:abstractNum>
  <w:abstractNum w:abstractNumId="207">
    <w:nsid w:val="13CDFCFC"/>
    <w:multiLevelType w:val="hybridMultilevel"/>
    <w:lvl w:ilvl="0">
      <w:lvlJc w:val="left"/>
      <w:lvlText w:val="%1."/>
      <w:numFmt w:val="upperLetter"/>
      <w:start w:val="9"/>
    </w:lvl>
  </w:abstractNum>
  <w:abstractNum w:abstractNumId="208">
    <w:nsid w:val="471745E4"/>
    <w:multiLevelType w:val="hybridMultilevel"/>
    <w:lvl w:ilvl="0">
      <w:lvlJc w:val="left"/>
      <w:lvlText w:val="["/>
      <w:numFmt w:val="bullet"/>
      <w:start w:val="1"/>
    </w:lvl>
  </w:abstractNum>
  <w:abstractNum w:abstractNumId="209">
    <w:nsid w:val="1DDBC66"/>
    <w:multiLevelType w:val="hybridMultilevel"/>
    <w:lvl w:ilvl="0">
      <w:lvlJc w:val="left"/>
      <w:lvlText w:val="["/>
      <w:numFmt w:val="bullet"/>
      <w:start w:val="1"/>
    </w:lvl>
    <w:lvl w:ilvl="1">
      <w:lvlJc w:val="left"/>
      <w:lvlText w:val="%2."/>
      <w:numFmt w:val="upperLetter"/>
      <w:start w:val="1"/>
    </w:lvl>
    <w:lvl w:ilvl="2">
      <w:lvlJc w:val="left"/>
      <w:lvlText w:val="***"/>
      <w:numFmt w:val="bullet"/>
      <w:start w:val="1"/>
    </w:lvl>
  </w:abstractNum>
  <w:abstractNum w:abstractNumId="210">
    <w:nsid w:val="30AADFDA"/>
    <w:multiLevelType w:val="hybridMultilevel"/>
    <w:lvl w:ilvl="0">
      <w:lvlJc w:val="left"/>
      <w:lvlText w:val="%1."/>
      <w:numFmt w:val="upperLetter"/>
      <w:start w:val="35"/>
    </w:lvl>
  </w:abstractNum>
  <w:abstractNum w:abstractNumId="211">
    <w:nsid w:val="30EADA61"/>
    <w:multiLevelType w:val="hybridMultilevel"/>
    <w:lvl w:ilvl="0">
      <w:lvlJc w:val="left"/>
      <w:lvlText w:val="%1."/>
      <w:numFmt w:val="upperLetter"/>
      <w:start w:val="61"/>
    </w:lvl>
  </w:abstractNum>
  <w:abstractNum w:abstractNumId="212">
    <w:nsid w:val="27179C0B"/>
    <w:multiLevelType w:val="hybridMultilevel"/>
    <w:lvl w:ilvl="0">
      <w:lvlJc w:val="left"/>
      <w:lvlText w:val="(%1)"/>
      <w:numFmt w:val="lowerRoman"/>
      <w:start w:val="1"/>
    </w:lvl>
  </w:abstractNum>
  <w:abstractNum w:abstractNumId="213">
    <w:nsid w:val="5E636063"/>
    <w:multiLevelType w:val="hybridMultilevel"/>
    <w:lvl w:ilvl="0">
      <w:lvlJc w:val="left"/>
      <w:lvlText w:val="(%1)"/>
      <w:numFmt w:val="lowerRoman"/>
      <w:start w:val="1"/>
    </w:lvl>
  </w:abstractNum>
  <w:abstractNum w:abstractNumId="214">
    <w:nsid w:val="215641AF"/>
    <w:multiLevelType w:val="hybridMultilevel"/>
    <w:lvl w:ilvl="0">
      <w:lvlJc w:val="left"/>
      <w:lvlText w:val="["/>
      <w:numFmt w:val="bullet"/>
      <w:start w:val="1"/>
    </w:lvl>
  </w:abstractNum>
  <w:abstractNum w:abstractNumId="215">
    <w:nsid w:val="53280662"/>
    <w:multiLevelType w:val="hybridMultilevel"/>
    <w:lvl w:ilvl="0">
      <w:lvlJc w:val="left"/>
      <w:lvlText w:val="%1."/>
      <w:numFmt w:val="decimal"/>
      <w:start w:val="1"/>
    </w:lvl>
  </w:abstractNum>
  <w:abstractNum w:abstractNumId="216">
    <w:nsid w:val="46B24DBC"/>
    <w:multiLevelType w:val="hybridMultilevel"/>
    <w:lvl w:ilvl="0">
      <w:lvlJc w:val="left"/>
      <w:lvlText w:val="%1."/>
      <w:numFmt w:val="decimal"/>
      <w:start w:val="1"/>
    </w:lvl>
  </w:abstractNum>
  <w:abstractNum w:abstractNumId="217">
    <w:nsid w:val="75B52783"/>
    <w:multiLevelType w:val="hybridMultilevel"/>
    <w:lvl w:ilvl="0">
      <w:lvlJc w:val="left"/>
      <w:lvlText w:val="%1."/>
      <w:numFmt w:val="decimal"/>
      <w:start w:val="2"/>
    </w:lvl>
  </w:abstractNum>
  <w:abstractNum w:abstractNumId="218">
    <w:nsid w:val="57CE66B4"/>
    <w:multiLevelType w:val="hybridMultilevel"/>
    <w:lvl w:ilvl="0">
      <w:lvlJc w:val="left"/>
      <w:lvlText w:val="%1."/>
      <w:numFmt w:val="decimal"/>
      <w:start w:val="5"/>
    </w:lvl>
  </w:abstractNum>
  <w:abstractNum w:abstractNumId="219">
    <w:nsid w:val="67A70B69"/>
    <w:multiLevelType w:val="hybridMultilevel"/>
    <w:lvl w:ilvl="0">
      <w:lvlJc w:val="left"/>
      <w:lvlText w:val="["/>
      <w:numFmt w:val="bullet"/>
      <w:start w:val="1"/>
    </w:lvl>
  </w:abstractNum>
  <w:abstractNum w:abstractNumId="220">
    <w:nsid w:val="5953172F"/>
    <w:multiLevelType w:val="hybridMultilevel"/>
    <w:lvl w:ilvl="0">
      <w:lvlJc w:val="left"/>
      <w:lvlText w:val="["/>
      <w:numFmt w:val="bullet"/>
      <w:start w:val="1"/>
    </w:lvl>
  </w:abstractNum>
  <w:abstractNum w:abstractNumId="221">
    <w:nsid w:val="27EDFE3A"/>
    <w:multiLevelType w:val="hybridMultilevel"/>
    <w:lvl w:ilvl="0">
      <w:lvlJc w:val="left"/>
      <w:lvlText w:val="%1."/>
      <w:numFmt w:val="decimal"/>
      <w:start w:val="1"/>
    </w:lvl>
  </w:abstractNum>
  <w:abstractNum w:abstractNumId="222">
    <w:nsid w:val="52AC7DFF"/>
    <w:multiLevelType w:val="hybridMultilevel"/>
    <w:lvl w:ilvl="0">
      <w:lvlJc w:val="left"/>
      <w:lvlText w:val="(%1)"/>
      <w:numFmt w:val="lowerRoman"/>
      <w:start w:val="2"/>
    </w:lvl>
  </w:abstractNum>
  <w:abstractNum w:abstractNumId="223">
    <w:nsid w:val="C4C3AF"/>
    <w:multiLevelType w:val="hybridMultilevel"/>
    <w:lvl w:ilvl="0">
      <w:lvlJc w:val="left"/>
      <w:lvlText w:val="%1."/>
      <w:numFmt w:val="decimal"/>
      <w:start w:val="1"/>
    </w:lvl>
  </w:abstractNum>
  <w:abstractNum w:abstractNumId="224">
    <w:nsid w:val="4438072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5">
    <w:nsid w:val="6C053B16"/>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226">
    <w:nsid w:val="4F294393"/>
    <w:multiLevelType w:val="hybridMultilevel"/>
    <w:lvl w:ilvl="0">
      <w:lvlJc w:val="left"/>
      <w:lvlText w:val="%1."/>
      <w:numFmt w:val="decimal"/>
      <w:start w:val="7"/>
    </w:lvl>
  </w:abstractNum>
  <w:abstractNum w:abstractNumId="227">
    <w:nsid w:val="5243BFAC"/>
    <w:multiLevelType w:val="hybridMultilevel"/>
    <w:lvl w:ilvl="0">
      <w:lvlJc w:val="left"/>
      <w:lvlText w:val="•"/>
      <w:numFmt w:val="bullet"/>
      <w:start w:val="1"/>
    </w:lvl>
    <w:lvl w:ilvl="1">
      <w:lvlJc w:val="left"/>
      <w:lvlText w:val="***"/>
      <w:numFmt w:val="bullet"/>
      <w:start w:val="1"/>
    </w:lvl>
  </w:abstractNum>
  <w:abstractNum w:abstractNumId="228">
    <w:nsid w:val="425EB207"/>
    <w:multiLevelType w:val="hybridMultilevel"/>
    <w:lvl w:ilvl="0">
      <w:lvlJc w:val="left"/>
      <w:lvlText w:val="▪"/>
      <w:numFmt w:val="bullet"/>
      <w:start w:val="1"/>
    </w:lvl>
  </w:abstractNum>
  <w:abstractNum w:abstractNumId="229">
    <w:nsid w:val="334A6F1F"/>
    <w:multiLevelType w:val="hybridMultilevel"/>
    <w:lvl w:ilvl="0">
      <w:lvlJc w:val="left"/>
      <w:lvlText w:val="%1."/>
      <w:numFmt w:val="decimal"/>
      <w:start w:val="1"/>
    </w:lvl>
    <w:lvl w:ilvl="1">
      <w:lvlJc w:val="left"/>
      <w:lvlText w:val="◦"/>
      <w:numFmt w:val="bullet"/>
      <w:start w:val="1"/>
    </w:lvl>
  </w:abstractNum>
  <w:abstractNum w:abstractNumId="230">
    <w:nsid w:val="2E5B12B8"/>
    <w:multiLevelType w:val="hybridMultilevel"/>
    <w:lvl w:ilvl="0">
      <w:lvlJc w:val="left"/>
      <w:lvlText w:val="%1."/>
      <w:numFmt w:val="decimal"/>
      <w:start w:val="5"/>
    </w:lvl>
    <w:lvl w:ilvl="1">
      <w:lvlJc w:val="left"/>
      <w:lvlText w:val="◦"/>
      <w:numFmt w:val="bullet"/>
      <w:start w:val="1"/>
    </w:lvl>
  </w:abstractNum>
  <w:abstractNum w:abstractNumId="231">
    <w:nsid w:val="5C03D76D"/>
    <w:multiLevelType w:val="hybridMultilevel"/>
    <w:lvl w:ilvl="0">
      <w:lvlJc w:val="left"/>
      <w:lvlText w:val="◦"/>
      <w:numFmt w:val="bullet"/>
      <w:start w:val="1"/>
    </w:lvl>
  </w:abstractNum>
  <w:abstractNum w:abstractNumId="232">
    <w:nsid w:val="66A48D11"/>
    <w:multiLevelType w:val="hybridMultilevel"/>
    <w:lvl w:ilvl="0">
      <w:lvlJc w:val="left"/>
      <w:lvlText w:val="["/>
      <w:numFmt w:val="bullet"/>
      <w:start w:val="1"/>
    </w:lvl>
  </w:abstractNum>
  <w:abstractNum w:abstractNumId="233">
    <w:nsid w:val="56C28E34"/>
    <w:multiLevelType w:val="hybridMultilevel"/>
    <w:lvl w:ilvl="0">
      <w:lvlJc w:val="left"/>
      <w:lvlText w:val="["/>
      <w:numFmt w:val="bullet"/>
      <w:start w:val="1"/>
    </w:lvl>
  </w:abstractNum>
  <w:abstractNum w:abstractNumId="234">
    <w:nsid w:val="13916F2D"/>
    <w:multiLevelType w:val="hybridMultilevel"/>
    <w:lvl w:ilvl="0">
      <w:lvlJc w:val="left"/>
      <w:lvlText w:val="["/>
      <w:numFmt w:val="bullet"/>
      <w:start w:val="1"/>
    </w:lvl>
  </w:abstractNum>
  <w:abstractNum w:abstractNumId="235">
    <w:nsid w:val="435D38D"/>
    <w:multiLevelType w:val="hybridMultilevel"/>
    <w:lvl w:ilvl="0">
      <w:lvlJc w:val="left"/>
      <w:lvlText w:val="["/>
      <w:numFmt w:val="bullet"/>
      <w:start w:val="1"/>
    </w:lvl>
  </w:abstractNum>
  <w:abstractNum w:abstractNumId="236">
    <w:nsid w:val="822C0EF"/>
    <w:multiLevelType w:val="hybridMultilevel"/>
    <w:lvl w:ilvl="0">
      <w:lvlJc w:val="left"/>
      <w:lvlText w:val="["/>
      <w:numFmt w:val="bullet"/>
      <w:start w:val="1"/>
    </w:lvl>
  </w:abstractNum>
  <w:abstractNum w:abstractNumId="237">
    <w:nsid w:val="57C5BB4F"/>
    <w:multiLevelType w:val="hybridMultilevel"/>
    <w:lvl w:ilvl="0">
      <w:lvlJc w:val="left"/>
      <w:lvlText w:val="["/>
      <w:numFmt w:val="bullet"/>
      <w:start w:val="1"/>
    </w:lvl>
  </w:abstractNum>
  <w:abstractNum w:abstractNumId="238">
    <w:nsid w:val="1803D089"/>
    <w:multiLevelType w:val="hybridMultilevel"/>
    <w:lvl w:ilvl="0">
      <w:lvlJc w:val="left"/>
      <w:lvlText w:val="%1."/>
      <w:numFmt w:val="decimal"/>
      <w:start w:val="1"/>
    </w:lvl>
    <w:lvl w:ilvl="1">
      <w:lvlJc w:val="left"/>
      <w:lvlText w:val="%2)"/>
      <w:numFmt w:val="lowerLetter"/>
      <w:start w:val="1"/>
    </w:lvl>
  </w:abstractNum>
  <w:abstractNum w:abstractNumId="239">
    <w:nsid w:val="4F3A06D4"/>
    <w:multiLevelType w:val="hybridMultilevel"/>
    <w:lvl w:ilvl="0">
      <w:lvlJc w:val="left"/>
      <w:lvlText w:val="%1."/>
      <w:numFmt w:val="decimal"/>
      <w:start w:val="1"/>
    </w:lvl>
    <w:lvl w:ilvl="1">
      <w:lvlJc w:val="left"/>
      <w:lvlText w:val="%2)"/>
      <w:numFmt w:val="lowerLetter"/>
      <w:start w:val="1"/>
    </w:lvl>
  </w:abstractNum>
  <w:abstractNum w:abstractNumId="240">
    <w:nsid w:val="59A377B6"/>
    <w:multiLevelType w:val="hybridMultilevel"/>
    <w:lvl w:ilvl="0">
      <w:lvlJc w:val="left"/>
      <w:lvlText w:val="%1."/>
      <w:numFmt w:val="decimal"/>
      <w:start w:val="1"/>
    </w:lvl>
  </w:abstractNum>
  <w:abstractNum w:abstractNumId="241">
    <w:nsid w:val="48AEB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2019-12-09T20:04:14Z</dcterms:created>
  <dcterms:modified xsi:type="dcterms:W3CDTF">2019-12-09T20:04:14Z</dcterms:modified>
</cp:coreProperties>
</file>