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3"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05"/>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02/10/2018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8"/>
              </w:rPr>
              <w:t>8,120</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74,768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02/10/2018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7"/>
              <w:spacing w:after="0"/>
              <w:rPr>
                <w:sz w:val="20"/>
                <w:szCs w:val="20"/>
                <w:color w:val="auto"/>
              </w:rPr>
            </w:pPr>
            <w:r>
              <w:rPr>
                <w:rFonts w:ascii="Arial" w:cs="Arial" w:eastAsia="Arial" w:hAnsi="Arial"/>
                <w:sz w:val="12"/>
                <w:szCs w:val="12"/>
                <w:color w:val="0000FF"/>
                <w:w w:val="81"/>
              </w:rPr>
              <w:t>F</w:t>
            </w:r>
          </w:p>
        </w:tc>
        <w:tc>
          <w:tcPr>
            <w:tcW w:w="180" w:type="dxa"/>
            <w:vAlign w:val="bottom"/>
          </w:tcPr>
          <w:p>
            <w:pPr>
              <w:spacing w:after="0"/>
              <w:rPr>
                <w:sz w:val="23"/>
                <w:szCs w:val="23"/>
                <w:color w:val="auto"/>
              </w:rPr>
            </w:pPr>
          </w:p>
        </w:tc>
        <w:tc>
          <w:tcPr>
            <w:tcW w:w="620" w:type="dxa"/>
            <w:vAlign w:val="bottom"/>
          </w:tcPr>
          <w:p>
            <w:pPr>
              <w:jc w:val="center"/>
              <w:ind w:left="105"/>
              <w:spacing w:after="0"/>
              <w:rPr>
                <w:sz w:val="20"/>
                <w:szCs w:val="20"/>
                <w:color w:val="auto"/>
              </w:rPr>
            </w:pPr>
            <w:r>
              <w:rPr>
                <w:rFonts w:ascii="Arial" w:cs="Arial" w:eastAsia="Arial" w:hAnsi="Arial"/>
                <w:sz w:val="18"/>
                <w:szCs w:val="18"/>
                <w:color w:val="0000FF"/>
                <w:w w:val="88"/>
              </w:rPr>
              <w:t>2,402</w:t>
            </w:r>
          </w:p>
        </w:tc>
        <w:tc>
          <w:tcPr>
            <w:tcW w:w="100" w:type="dxa"/>
            <w:vAlign w:val="bottom"/>
          </w:tcPr>
          <w:p>
            <w:pPr>
              <w:spacing w:after="0"/>
              <w:rPr>
                <w:sz w:val="23"/>
                <w:szCs w:val="23"/>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72,366</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8"/>
              </w:rPr>
              <w:t>5,973</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78,339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7"/>
              <w:spacing w:after="0"/>
              <w:rPr>
                <w:sz w:val="20"/>
                <w:szCs w:val="20"/>
                <w:color w:val="auto"/>
              </w:rPr>
            </w:pPr>
            <w:r>
              <w:rPr>
                <w:rFonts w:ascii="Arial" w:cs="Arial" w:eastAsia="Arial" w:hAnsi="Arial"/>
                <w:sz w:val="12"/>
                <w:szCs w:val="12"/>
                <w:color w:val="0000FF"/>
                <w:w w:val="81"/>
              </w:rPr>
              <w:t>F</w:t>
            </w:r>
          </w:p>
        </w:tc>
        <w:tc>
          <w:tcPr>
            <w:tcW w:w="180" w:type="dxa"/>
            <w:vAlign w:val="bottom"/>
          </w:tcPr>
          <w:p>
            <w:pPr>
              <w:spacing w:after="0"/>
              <w:rPr>
                <w:sz w:val="23"/>
                <w:szCs w:val="23"/>
                <w:color w:val="auto"/>
              </w:rPr>
            </w:pPr>
          </w:p>
        </w:tc>
        <w:tc>
          <w:tcPr>
            <w:tcW w:w="620" w:type="dxa"/>
            <w:vAlign w:val="bottom"/>
          </w:tcPr>
          <w:p>
            <w:pPr>
              <w:jc w:val="center"/>
              <w:ind w:left="105"/>
              <w:spacing w:after="0"/>
              <w:rPr>
                <w:sz w:val="20"/>
                <w:szCs w:val="20"/>
                <w:color w:val="auto"/>
              </w:rPr>
            </w:pPr>
            <w:r>
              <w:rPr>
                <w:rFonts w:ascii="Arial" w:cs="Arial" w:eastAsia="Arial" w:hAnsi="Arial"/>
                <w:sz w:val="18"/>
                <w:szCs w:val="18"/>
                <w:color w:val="0000FF"/>
                <w:w w:val="88"/>
              </w:rPr>
              <w:t>1,745</w:t>
            </w:r>
          </w:p>
        </w:tc>
        <w:tc>
          <w:tcPr>
            <w:tcW w:w="100" w:type="dxa"/>
            <w:vAlign w:val="bottom"/>
          </w:tcPr>
          <w:p>
            <w:pPr>
              <w:spacing w:after="0"/>
              <w:rPr>
                <w:sz w:val="23"/>
                <w:szCs w:val="23"/>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76,594</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8"/>
                <w:szCs w:val="18"/>
                <w:color w:val="0000FF"/>
                <w:w w:val="86"/>
              </w:rPr>
              <w:t>107,514</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184,108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7"/>
              <w:spacing w:after="0"/>
              <w:rPr>
                <w:sz w:val="20"/>
                <w:szCs w:val="20"/>
                <w:color w:val="auto"/>
              </w:rPr>
            </w:pPr>
            <w:r>
              <w:rPr>
                <w:rFonts w:ascii="Arial" w:cs="Arial" w:eastAsia="Arial" w:hAnsi="Arial"/>
                <w:sz w:val="12"/>
                <w:szCs w:val="12"/>
                <w:color w:val="0000FF"/>
                <w:w w:val="81"/>
              </w:rPr>
              <w:t>F</w:t>
            </w:r>
          </w:p>
        </w:tc>
        <w:tc>
          <w:tcPr>
            <w:tcW w:w="180" w:type="dxa"/>
            <w:vAlign w:val="bottom"/>
          </w:tcPr>
          <w:p>
            <w:pPr>
              <w:spacing w:after="0"/>
              <w:rPr>
                <w:sz w:val="23"/>
                <w:szCs w:val="23"/>
                <w:color w:val="auto"/>
              </w:rPr>
            </w:pPr>
          </w:p>
        </w:tc>
        <w:tc>
          <w:tcPr>
            <w:tcW w:w="720" w:type="dxa"/>
            <w:vAlign w:val="bottom"/>
            <w:gridSpan w:val="2"/>
          </w:tcPr>
          <w:p>
            <w:pPr>
              <w:jc w:val="center"/>
              <w:ind w:left="5"/>
              <w:spacing w:after="0"/>
              <w:rPr>
                <w:sz w:val="20"/>
                <w:szCs w:val="20"/>
                <w:color w:val="auto"/>
              </w:rPr>
            </w:pPr>
            <w:r>
              <w:rPr>
                <w:rFonts w:ascii="Arial" w:cs="Arial" w:eastAsia="Arial" w:hAnsi="Arial"/>
                <w:sz w:val="18"/>
                <w:szCs w:val="18"/>
                <w:color w:val="0000FF"/>
                <w:w w:val="87"/>
              </w:rPr>
              <w:t>46,041</w:t>
            </w:r>
          </w:p>
        </w:tc>
        <w:tc>
          <w:tcPr>
            <w:tcW w:w="560" w:type="dxa"/>
            <w:vAlign w:val="bottom"/>
          </w:tcPr>
          <w:p>
            <w:pPr>
              <w:ind w:left="3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138,067</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jc w:val="center"/>
              <w:ind w:right="5"/>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8,120</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02/10/2018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8,120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80" w:type="dxa"/>
            <w:vAlign w:val="bottom"/>
          </w:tcPr>
          <w:p>
            <w:pPr>
              <w:spacing w:after="0"/>
              <w:rPr>
                <w:sz w:val="7"/>
                <w:szCs w:val="7"/>
                <w:color w:val="auto"/>
              </w:rPr>
            </w:pPr>
          </w:p>
        </w:tc>
        <w:tc>
          <w:tcPr>
            <w:tcW w:w="620" w:type="dxa"/>
            <w:vAlign w:val="bottom"/>
            <w:vMerge w:val="restart"/>
          </w:tcPr>
          <w:p>
            <w:pPr>
              <w:jc w:val="center"/>
              <w:ind w:right="165"/>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8,120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5,973</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02/11/2018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5,973</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80" w:type="dxa"/>
            <w:vAlign w:val="bottom"/>
          </w:tcPr>
          <w:p>
            <w:pPr>
              <w:spacing w:after="0"/>
              <w:rPr>
                <w:sz w:val="7"/>
                <w:szCs w:val="7"/>
                <w:color w:val="auto"/>
              </w:rPr>
            </w:pPr>
          </w:p>
        </w:tc>
        <w:tc>
          <w:tcPr>
            <w:tcW w:w="620" w:type="dxa"/>
            <w:vAlign w:val="bottom"/>
            <w:vMerge w:val="restart"/>
          </w:tcPr>
          <w:p>
            <w:pPr>
              <w:jc w:val="center"/>
              <w:ind w:right="165"/>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February 10,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RSUs awarded on February 11, 2015.</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11, 2015, the Reporting Person received a grant of Performance Stock Units ("PSUs"). Under the grant, PSUs could be earned based on the achievement of certain financial targets. PSUs vested and settled in shares of common stock on February 11, 2018.</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February 11, 2015 and were settled on February 11,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02/13/2018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Batey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2019-12-07T16:55:29Z</dcterms:created>
  <dcterms:modified xsi:type="dcterms:W3CDTF">2019-12-07T16:55:29Z</dcterms:modified>
</cp:coreProperties>
</file>