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August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20" w:type="dxa"/>
            <w:vAlign w:val="bottom"/>
          </w:tcPr>
          <w:p>
            <w:pPr>
              <w:jc w:val="center"/>
              <w:ind w:right="23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ind w:left="220"/>
              <w:spacing w:after="0"/>
              <w:rPr>
                <w:sz w:val="20"/>
                <w:szCs w:val="20"/>
                <w:color w:val="auto"/>
              </w:rPr>
            </w:pPr>
            <w:r>
              <w:rPr>
                <w:rFonts w:ascii="Arial" w:cs="Arial" w:eastAsia="Arial" w:hAnsi="Arial"/>
                <w:sz w:val="18"/>
                <w:szCs w:val="18"/>
                <w:b w:val="1"/>
                <w:bCs w:val="1"/>
                <w:color w:val="auto"/>
              </w:rPr>
              <w:t>001-34960</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4120" w:type="dxa"/>
            <w:vAlign w:val="bottom"/>
          </w:tcPr>
          <w:p>
            <w:pPr>
              <w:jc w:val="center"/>
              <w:ind w:right="240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81"/>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5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48265-3000</w:t>
            </w:r>
          </w:p>
        </w:tc>
      </w:tr>
      <w:tr>
        <w:trPr>
          <w:trHeight w:val="186"/>
        </w:trPr>
        <w:tc>
          <w:tcPr>
            <w:tcW w:w="4120" w:type="dxa"/>
            <w:vAlign w:val="bottom"/>
          </w:tcPr>
          <w:p>
            <w:pPr>
              <w:jc w:val="center"/>
              <w:ind w:left="12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 2017, General Motors Company (the “Company”) issued a news release announcing the closing of the sale of the Company’s Opel and Vauxhall businesses and certain other assets in Europe to PSA Group. Refer to the Company’s Quarterly Report on Form 10-Q for the quarterly period ended June 30, 2017 for a description of expected charges and other information regarding the sale. A copy of the news release is attached hereto as Exhibit 99.1 and is incorporated herein by reference.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3520" w:type="dxa"/>
            <w:vAlign w:val="bottom"/>
            <w:gridSpan w:val="3"/>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280" w:type="dxa"/>
            <w:vAlign w:val="bottom"/>
            <w:gridSpan w:val="5"/>
          </w:tcPr>
          <w:p>
            <w:pPr>
              <w:ind w:left="660"/>
              <w:spacing w:after="0"/>
              <w:rPr>
                <w:sz w:val="20"/>
                <w:szCs w:val="20"/>
                <w:color w:val="auto"/>
              </w:rPr>
            </w:pPr>
            <w:r>
              <w:rPr>
                <w:rFonts w:ascii="Arial" w:cs="Arial" w:eastAsia="Arial" w:hAnsi="Arial"/>
                <w:sz w:val="18"/>
                <w:szCs w:val="18"/>
                <w:b w:val="1"/>
                <w:bCs w:val="1"/>
                <w:color w:val="auto"/>
              </w:rPr>
              <w:t>EXHIBIT</w:t>
            </w:r>
          </w:p>
        </w:tc>
      </w:tr>
      <w:tr>
        <w:trPr>
          <w:trHeight w:val="412"/>
        </w:trPr>
        <w:tc>
          <w:tcPr>
            <w:tcW w:w="440" w:type="dxa"/>
            <w:vAlign w:val="bottom"/>
          </w:tcPr>
          <w:p>
            <w:pPr>
              <w:spacing w:after="0"/>
              <w:rPr>
                <w:sz w:val="20"/>
                <w:szCs w:val="20"/>
                <w:color w:val="auto"/>
              </w:rPr>
            </w:pPr>
            <w:r>
              <w:rPr>
                <w:rFonts w:ascii="Arial" w:cs="Arial" w:eastAsia="Arial" w:hAnsi="Arial"/>
                <w:sz w:val="14"/>
                <w:szCs w:val="14"/>
                <w:color w:val="auto"/>
                <w:w w:val="99"/>
              </w:rPr>
              <w:t>Exhibit</w:t>
            </w:r>
          </w:p>
        </w:tc>
        <w:tc>
          <w:tcPr>
            <w:tcW w:w="700" w:type="dxa"/>
            <w:vAlign w:val="bottom"/>
          </w:tcPr>
          <w:p>
            <w:pPr>
              <w:spacing w:after="0"/>
              <w:rPr>
                <w:sz w:val="24"/>
                <w:szCs w:val="24"/>
                <w:color w:val="auto"/>
              </w:rPr>
            </w:pPr>
          </w:p>
        </w:tc>
        <w:tc>
          <w:tcPr>
            <w:tcW w:w="3520" w:type="dxa"/>
            <w:vAlign w:val="bottom"/>
            <w:gridSpan w:val="3"/>
          </w:tcPr>
          <w:p>
            <w:pPr>
              <w:ind w:left="260"/>
              <w:spacing w:after="0"/>
              <w:rPr>
                <w:sz w:val="20"/>
                <w:szCs w:val="20"/>
                <w:color w:val="auto"/>
              </w:rPr>
            </w:pPr>
            <w:r>
              <w:rPr>
                <w:rFonts w:ascii="Arial" w:cs="Arial" w:eastAsia="Arial" w:hAnsi="Arial"/>
                <w:sz w:val="14"/>
                <w:szCs w:val="14"/>
                <w:color w:val="auto"/>
              </w:rPr>
              <w:t>Description</w:t>
            </w: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520" w:type="dxa"/>
            <w:vAlign w:val="bottom"/>
            <w:gridSpan w:val="3"/>
          </w:tcPr>
          <w:p>
            <w:pPr>
              <w:ind w:left="260"/>
              <w:spacing w:after="0"/>
              <w:rPr>
                <w:sz w:val="20"/>
                <w:szCs w:val="20"/>
                <w:color w:val="auto"/>
              </w:rPr>
            </w:pPr>
            <w:r>
              <w:rPr>
                <w:rFonts w:ascii="Arial" w:cs="Arial" w:eastAsia="Arial" w:hAnsi="Arial"/>
                <w:sz w:val="18"/>
                <w:szCs w:val="18"/>
                <w:color w:val="auto"/>
              </w:rPr>
              <w:t>Press Release dated August 1, 2017</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340"/>
          </w:cols>
          <w:pgMar w:left="240" w:top="27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r>
      <w:tr>
        <w:trPr>
          <w:trHeight w:val="237"/>
        </w:trPr>
        <w:tc>
          <w:tcPr>
            <w:tcW w:w="3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580" w:type="dxa"/>
            <w:vAlign w:val="bottom"/>
          </w:tcPr>
          <w:p>
            <w:pPr>
              <w:spacing w:after="0"/>
              <w:rPr>
                <w:sz w:val="20"/>
                <w:szCs w:val="20"/>
                <w:color w:val="auto"/>
              </w:rPr>
            </w:pPr>
          </w:p>
        </w:tc>
      </w:tr>
      <w:tr>
        <w:trPr>
          <w:trHeight w:val="446"/>
        </w:trPr>
        <w:tc>
          <w:tcPr>
            <w:tcW w:w="3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Jill E. Sutton</w:t>
            </w:r>
          </w:p>
        </w:tc>
      </w:tr>
      <w:tr>
        <w:trPr>
          <w:trHeight w:val="209"/>
        </w:trPr>
        <w:tc>
          <w:tcPr>
            <w:tcW w:w="3720" w:type="dxa"/>
            <w:vAlign w:val="bottom"/>
          </w:tcPr>
          <w:p>
            <w:pPr>
              <w:spacing w:after="0"/>
              <w:rPr>
                <w:sz w:val="20"/>
                <w:szCs w:val="20"/>
                <w:color w:val="auto"/>
              </w:rPr>
            </w:pPr>
            <w:r>
              <w:rPr>
                <w:rFonts w:ascii="Arial" w:cs="Arial" w:eastAsia="Arial" w:hAnsi="Arial"/>
                <w:sz w:val="18"/>
                <w:szCs w:val="18"/>
                <w:color w:val="auto"/>
              </w:rPr>
              <w:t>Date: August 1, 2017</w:t>
            </w:r>
          </w:p>
        </w:tc>
        <w:tc>
          <w:tcPr>
            <w:tcW w:w="256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Jill E. Sutton</w:t>
            </w:r>
          </w:p>
        </w:tc>
      </w:tr>
      <w:tr>
        <w:trPr>
          <w:trHeight w:val="230"/>
        </w:trPr>
        <w:tc>
          <w:tcPr>
            <w:tcW w:w="3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Deputy General Counsel &amp; Corporate Secretary</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951855" cy="40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185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Aug. 1, 2017, 2:30 a.m. EDT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closes sale of Opel/Vauxhall to Groupe PSA</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(NYSE:GM) and Groupe PSA (Paris:UG) today announced the close of the sale of GM’s Opel/Vauxhall business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Groupe PSA.</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sale represents a win for all stakeholders and is the latest and most significant in a series of actions GM has taken to strengthen its global enterprise and position itself for the future, while immediately improving the company’s financial performance.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“We’ve taken another bold step in our ongoing work to transform GM,” said GM President Dan Ammann. “This transaction allows us to sharply focus our resources on higher-return opportunities as we expand our technical and business leadership in the future of mobility.”</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sale of GM Financial’s European operations to Groupe PSA and BNP Paribas is expected to close later this year, subject to various regulatory approvals.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 GM, TSX: GMM), its subsidiaries and joint venture entities produce and sell vehicles under the Chevrolet, Cadillac, Baojun,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Buick, GMC, Holden, Jiefang and Wuling brands. GM has leadership positions in several of the world’s most significant automotive markets and is committed to lead the future of personal mobility.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9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23"/>
        </w:trPr>
        <w:tc>
          <w:tcPr>
            <w:tcW w:w="2100" w:type="dxa"/>
            <w:vAlign w:val="bottom"/>
          </w:tcPr>
          <w:p>
            <w:pPr>
              <w:spacing w:after="0"/>
              <w:rPr>
                <w:sz w:val="20"/>
                <w:szCs w:val="20"/>
                <w:color w:val="auto"/>
              </w:rPr>
            </w:pPr>
            <w:r>
              <w:rPr>
                <w:rFonts w:ascii="Arial" w:cs="Arial" w:eastAsia="Arial" w:hAnsi="Arial"/>
                <w:sz w:val="18"/>
                <w:szCs w:val="18"/>
                <w:b w:val="1"/>
                <w:bCs w:val="1"/>
                <w:color w:val="auto"/>
              </w:rPr>
              <w:t>Klaus-Peter Martin</w:t>
            </w:r>
          </w:p>
        </w:tc>
        <w:tc>
          <w:tcPr>
            <w:tcW w:w="396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b w:val="1"/>
                <w:bCs w:val="1"/>
                <w:color w:val="auto"/>
              </w:rPr>
              <w:t>Tom Henderson</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+1-313-522-6303</w:t>
            </w:r>
          </w:p>
        </w:tc>
        <w:tc>
          <w:tcPr>
            <w:tcW w:w="5900" w:type="dxa"/>
            <w:vAlign w:val="bottom"/>
            <w:gridSpan w:val="2"/>
          </w:tcPr>
          <w:p>
            <w:pPr>
              <w:ind w:left="3960"/>
              <w:spacing w:after="0"/>
              <w:rPr>
                <w:sz w:val="20"/>
                <w:szCs w:val="20"/>
                <w:color w:val="auto"/>
              </w:rPr>
            </w:pPr>
            <w:r>
              <w:rPr>
                <w:rFonts w:ascii="Arial" w:cs="Arial" w:eastAsia="Arial" w:hAnsi="Arial"/>
                <w:sz w:val="18"/>
                <w:szCs w:val="18"/>
                <w:color w:val="auto"/>
              </w:rPr>
              <w:t>+1-313-410-2704</w:t>
            </w:r>
          </w:p>
        </w:tc>
      </w:tr>
      <w:tr>
        <w:trPr>
          <w:trHeight w:val="190"/>
        </w:trPr>
        <w:tc>
          <w:tcPr>
            <w:tcW w:w="21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Klaus-peter.martin@gm.com</w:t>
            </w:r>
          </w:p>
        </w:tc>
        <w:tc>
          <w:tcPr>
            <w:tcW w:w="3960" w:type="dxa"/>
            <w:vAlign w:val="bottom"/>
          </w:tcPr>
          <w:p>
            <w:pPr>
              <w:spacing w:after="0"/>
              <w:rPr>
                <w:sz w:val="16"/>
                <w:szCs w:val="16"/>
                <w:color w:val="auto"/>
              </w:rPr>
            </w:pPr>
          </w:p>
        </w:tc>
        <w:tc>
          <w:tcPr>
            <w:tcW w:w="19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tom.e.henderson@gm.com</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This press release may include forward-looking statements. These statements are based on current expectations about possible future events and thus are inherently uncertain. Our actual results may differ materially from forward-looking statements due to a variety of factors, including: (1) 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w:t>
      </w:r>
    </w:p>
    <w:p>
      <w:pPr>
        <w:sectPr>
          <w:pgSz w:w="11900" w:h="16838" w:orient="portrait"/>
          <w:cols w:equalWidth="0" w:num="1">
            <w:col w:w="11420"/>
          </w:cols>
          <w:pgMar w:left="240" w:top="121" w:right="239" w:bottom="1440" w:gutter="0" w:footer="0" w:header="0"/>
        </w:sectPr>
      </w:pPr>
    </w:p>
    <w:bookmarkStart w:id="4" w:name="page5"/>
    <w:bookmarkEnd w:id="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w:t>
      </w:r>
    </w:p>
    <w:p>
      <w:pPr>
        <w:spacing w:after="0" w:line="2" w:lineRule="exact"/>
        <w:rPr>
          <w:sz w:val="20"/>
          <w:szCs w:val="20"/>
          <w:color w:val="auto"/>
        </w:rPr>
      </w:pPr>
    </w:p>
    <w:p>
      <w:pPr>
        <w:ind w:right="240" w:firstLine="8"/>
        <w:spacing w:after="0" w:line="281" w:lineRule="auto"/>
        <w:tabs>
          <w:tab w:leader="none" w:pos="345"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w:t>
      </w:r>
    </w:p>
    <w:p>
      <w:pPr>
        <w:spacing w:after="0" w:line="1" w:lineRule="exact"/>
        <w:rPr>
          <w:rFonts w:ascii="Arial" w:cs="Arial" w:eastAsia="Arial" w:hAnsi="Arial"/>
          <w:sz w:val="16"/>
          <w:szCs w:val="16"/>
          <w:color w:val="auto"/>
        </w:rPr>
      </w:pPr>
    </w:p>
    <w:p>
      <w:pPr>
        <w:ind w:right="40" w:firstLine="8"/>
        <w:spacing w:after="0" w:line="253" w:lineRule="auto"/>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consummation of the sale of GM Financial’s European financing subsidiaries and branches to the PSA Group, including receipt of necessary regulatory approvals and the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1)"/>
      <w:numFmt w:val="decimal"/>
      <w:start w:val="1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2019-12-07T11:05:51Z</dcterms:created>
  <dcterms:modified xsi:type="dcterms:W3CDTF">2019-12-07T11:05:51Z</dcterms:modified>
</cp:coreProperties>
</file>