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1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19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Engle Barry L II</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50,442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100,885</w:t>
            </w:r>
            <w:r>
              <w:rPr>
                <w:rFonts w:ascii="Arial" w:cs="Arial" w:eastAsia="Arial" w:hAnsi="Arial"/>
                <w:sz w:val="22"/>
                <w:szCs w:val="22"/>
                <w:color w:val="008000"/>
                <w:vertAlign w:val="superscript"/>
              </w:rPr>
              <w:t>(2)</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30.67</w:t>
            </w:r>
          </w:p>
        </w:tc>
        <w:tc>
          <w:tcPr>
            <w:tcW w:w="22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3"/>
                <w:szCs w:val="13"/>
                <w:color w:val="0000FF"/>
              </w:rPr>
              <w:t>02/15/2019</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50,442</w:t>
            </w:r>
          </w:p>
        </w:tc>
        <w:tc>
          <w:tcPr>
            <w:tcW w:w="3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02/15/2019</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07/28/2025</w:t>
            </w:r>
          </w:p>
        </w:tc>
        <w:tc>
          <w:tcPr>
            <w:tcW w:w="7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160"/>
              <w:spacing w:after="0" w:line="121"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2019, 20% of the October 1, 2015, Driving Stockholder Value Stock Option Grant (the "DSV Grant") vested upon meeting or exceeding the median Total Shareholder Return of the peer group for the period July 28, 2015, through December 31, 2018.</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vested and unexercised portion of the DSV Grant, 40% of which vested on February 15, 2017, and 20% of which vested on each of February 15, 2018, and February 15, 2019.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02/19/2019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 for Mr. Engle</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29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2019-12-24T07:37:56Z</dcterms:created>
  <dcterms:modified xsi:type="dcterms:W3CDTF">2019-12-24T07:37:56Z</dcterms:modified>
</cp:coreProperties>
</file>