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44" w:lineRule="exact"/>
        <w:rPr>
          <w:sz w:val="24"/>
          <w:szCs w:val="24"/>
          <w:color w:val="auto"/>
        </w:rPr>
      </w:pPr>
    </w:p>
    <w:p>
      <w:pPr>
        <w:ind w:left="660" w:right="2180" w:hanging="635"/>
        <w:spacing w:after="0" w:line="239"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144" w:lineRule="exact"/>
        <w:rPr>
          <w:sz w:val="24"/>
          <w:szCs w:val="24"/>
          <w:color w:val="auto"/>
        </w:rPr>
      </w:pPr>
    </w:p>
    <w:p>
      <w:pPr>
        <w:ind w:left="660" w:right="2160" w:hanging="635"/>
        <w:spacing w:after="0" w:line="239"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2" w:lineRule="exact"/>
        <w:rPr>
          <w:sz w:val="24"/>
          <w:szCs w:val="24"/>
          <w:color w:val="auto"/>
        </w:rPr>
      </w:pPr>
    </w:p>
    <w:p>
      <w:pPr>
        <w:ind w:left="460"/>
        <w:spacing w:after="0"/>
        <w:tabs>
          <w:tab w:leader="none" w:pos="3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121920</wp:posOffset>
            </wp:positionV>
            <wp:extent cx="461010" cy="461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1010" cy="461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GENERAL MOTORS COMPANY</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18" w:lineRule="exact"/>
        <w:rPr>
          <w:sz w:val="24"/>
          <w:szCs w:val="24"/>
          <w:color w:val="auto"/>
        </w:rPr>
      </w:pPr>
    </w:p>
    <w:tbl>
      <w:tblPr>
        <w:tblLayout w:type="fixed"/>
        <w:tblInd w:w="1700" w:type="dxa"/>
        <w:tblCellMar>
          <w:top w:w="0" w:type="dxa"/>
          <w:left w:w="0" w:type="dxa"/>
          <w:bottom w:w="0" w:type="dxa"/>
          <w:right w:w="0" w:type="dxa"/>
        </w:tblCellMar>
      </w:tblPr>
      <w:tr>
        <w:trPr>
          <w:trHeight w:val="238"/>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27-0756180</w:t>
            </w:r>
          </w:p>
        </w:tc>
      </w:tr>
      <w:tr>
        <w:trPr>
          <w:trHeight w:val="215"/>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8"/>
              </w:rPr>
              <w:t>(I.R.S. Employer</w:t>
            </w:r>
          </w:p>
        </w:tc>
      </w:tr>
      <w:tr>
        <w:trPr>
          <w:trHeight w:val="236"/>
        </w:trPr>
        <w:tc>
          <w:tcPr>
            <w:tcW w:w="5080" w:type="dxa"/>
            <w:vAlign w:val="bottom"/>
          </w:tcPr>
          <w:p>
            <w:pPr>
              <w:jc w:val="center"/>
              <w:ind w:right="15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322"/>
        </w:trPr>
        <w:tc>
          <w:tcPr>
            <w:tcW w:w="50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300 Renaissance Center, Detroit, Michigan</w:t>
            </w:r>
          </w:p>
        </w:tc>
        <w:tc>
          <w:tcPr>
            <w:tcW w:w="1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48265 -3000</w:t>
            </w:r>
          </w:p>
        </w:tc>
      </w:tr>
      <w:tr>
        <w:trPr>
          <w:trHeight w:val="276"/>
        </w:trPr>
        <w:tc>
          <w:tcPr>
            <w:tcW w:w="5080" w:type="dxa"/>
            <w:vAlign w:val="bottom"/>
          </w:tcPr>
          <w:p>
            <w:pPr>
              <w:jc w:val="center"/>
              <w:ind w:right="15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309"/>
        </w:trPr>
        <w:tc>
          <w:tcPr>
            <w:tcW w:w="50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140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color w:val="auto"/>
              </w:rPr>
              <w:t>Title of each class</w:t>
            </w:r>
          </w:p>
        </w:tc>
        <w:tc>
          <w:tcPr>
            <w:tcW w:w="2480" w:type="dxa"/>
            <w:vAlign w:val="bottom"/>
            <w:gridSpan w:val="3"/>
          </w:tcPr>
          <w:p>
            <w:pPr>
              <w:jc w:val="center"/>
              <w:ind w:left="94"/>
              <w:spacing w:after="0"/>
              <w:rPr>
                <w:sz w:val="20"/>
                <w:szCs w:val="20"/>
                <w:color w:val="auto"/>
              </w:rPr>
            </w:pPr>
            <w:r>
              <w:rPr>
                <w:rFonts w:ascii="Times New Roman" w:cs="Times New Roman" w:eastAsia="Times New Roman" w:hAnsi="Times New Roman"/>
                <w:sz w:val="17"/>
                <w:szCs w:val="17"/>
                <w:color w:val="auto"/>
              </w:rPr>
              <w:t>Trading Symbol(s)</w:t>
            </w:r>
          </w:p>
        </w:tc>
        <w:tc>
          <w:tcPr>
            <w:tcW w:w="3520" w:type="dxa"/>
            <w:vAlign w:val="bottom"/>
            <w:gridSpan w:val="2"/>
          </w:tcPr>
          <w:p>
            <w:pPr>
              <w:jc w:val="center"/>
              <w:ind w:left="394"/>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7"/>
        </w:trPr>
        <w:tc>
          <w:tcPr>
            <w:tcW w:w="292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680" w:type="dxa"/>
            <w:vAlign w:val="bottom"/>
          </w:tcPr>
          <w:p>
            <w:pPr>
              <w:spacing w:after="0"/>
              <w:rPr>
                <w:sz w:val="21"/>
                <w:szCs w:val="21"/>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rPr>
              <w:t>GM</w:t>
            </w:r>
          </w:p>
        </w:tc>
        <w:tc>
          <w:tcPr>
            <w:tcW w:w="4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40" w:lineRule="exact"/>
        <w:rPr>
          <w:sz w:val="24"/>
          <w:szCs w:val="24"/>
          <w:color w:val="auto"/>
        </w:rPr>
      </w:pPr>
    </w:p>
    <w:p>
      <w:pPr>
        <w:jc w:val="both"/>
        <w:ind w:firstLine="81"/>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9" w:lineRule="exact"/>
        <w:rPr>
          <w:sz w:val="24"/>
          <w:szCs w:val="24"/>
          <w:color w:val="auto"/>
        </w:rPr>
      </w:pPr>
    </w:p>
    <w:p>
      <w:pPr>
        <w:jc w:val="both"/>
        <w:ind w:firstLine="81"/>
        <w:spacing w:after="0" w:line="25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26" w:lineRule="exact"/>
        <w:rPr>
          <w:sz w:val="24"/>
          <w:szCs w:val="24"/>
          <w:color w:val="auto"/>
        </w:rPr>
      </w:pPr>
    </w:p>
    <w:p>
      <w:pPr>
        <w:jc w:val="both"/>
        <w:ind w:firstLine="81"/>
        <w:spacing w:after="0" w:line="272"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7"/>
          <w:szCs w:val="17"/>
          <w:color w:val="auto"/>
        </w:rPr>
        <w:t>☐</w:t>
      </w:r>
    </w:p>
    <w:p>
      <w:pPr>
        <w:spacing w:after="0" w:line="154" w:lineRule="exact"/>
        <w:rPr>
          <w:sz w:val="24"/>
          <w:szCs w:val="24"/>
          <w:color w:val="auto"/>
        </w:rPr>
      </w:pPr>
    </w:p>
    <w:p>
      <w:pPr>
        <w:jc w:val="both"/>
        <w:ind w:firstLine="81"/>
        <w:spacing w:after="0" w:line="23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4" w:lineRule="exact"/>
        <w:rPr>
          <w:sz w:val="24"/>
          <w:szCs w:val="24"/>
          <w:color w:val="auto"/>
        </w:rPr>
      </w:pPr>
    </w:p>
    <w:p>
      <w:pPr>
        <w:ind w:left="80" w:right="2220"/>
        <w:spacing w:after="0" w:line="29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October 10, 2025 there were 932,861,303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739775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130175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Income Statements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Statements of Equity (Unaudited)</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Nature of Operations and Basis of Presentation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Marketable and Other Securities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GM Financial Receivables and Transactions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Equipment on Operating Leases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Equity in Net Assets of Nonconsolidated Affiliates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Variable Interest Entities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Debt</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11.</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Derivative Financial Instruments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Product Warranty and Related Liabilities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13.</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Pensions and Other Postretirement Benefits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Commitments, Contingencies and Uncertainties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15.</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Restructuring and Other Initiatives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17.</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Stockholders' Equity and Noncontrolling Interests</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color w:val="auto"/>
              </w:rPr>
              <w:t>Note 19.</w:t>
            </w:r>
          </w:p>
        </w:tc>
        <w:tc>
          <w:tcPr>
            <w:tcW w:w="87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Segment Reporting</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Controls and Procedures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720" w:type="dxa"/>
            <w:vAlign w:val="bottom"/>
            <w:tcBorders>
              <w:top w:val="single" w:sz="8" w:color="CCEEFF"/>
            </w:tcBorders>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Legal Proceedings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1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Risk Factors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Information</w:t>
            </w: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11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Exhibits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6"/>
                <w:szCs w:val="16"/>
                <w:color w:val="auto"/>
              </w:rPr>
            </w:pP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3"/>
        </w:trPr>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INCOME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8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5"/>
        </w:trPr>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4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60" w:type="dxa"/>
            <w:vAlign w:val="bottom"/>
          </w:tcPr>
          <w:p>
            <w:pPr>
              <w:spacing w:after="0"/>
              <w:rPr>
                <w:sz w:val="15"/>
                <w:szCs w:val="15"/>
                <w:color w:val="auto"/>
              </w:rPr>
            </w:pPr>
          </w:p>
        </w:tc>
        <w:tc>
          <w:tcPr>
            <w:tcW w:w="1280" w:type="dxa"/>
            <w:vAlign w:val="bottom"/>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9"/>
              </w:rPr>
              <w:t>September 30, 2024</w:t>
            </w:r>
          </w:p>
        </w:tc>
      </w:tr>
      <w:tr>
        <w:trPr>
          <w:trHeight w:val="19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and revenue</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128,008</w:t>
            </w:r>
          </w:p>
        </w:tc>
      </w:tr>
      <w:tr>
        <w:trPr>
          <w:trHeight w:val="212"/>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11,732</w:t>
            </w:r>
          </w:p>
        </w:tc>
      </w:tr>
      <w:tr>
        <w:trPr>
          <w:trHeight w:val="211"/>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net sales and revenue (Note 2)</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139,740</w:t>
            </w: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cost of sales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111,618</w:t>
            </w: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interest, operating and other expenses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9,568</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Automotive and other selling, general and administrative expense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7,292</w:t>
            </w:r>
          </w:p>
        </w:tc>
      </w:tr>
      <w:tr>
        <w:trPr>
          <w:trHeight w:val="206"/>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133,177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128,478</w:t>
            </w:r>
          </w:p>
        </w:tc>
      </w:tr>
      <w:tr>
        <w:trPr>
          <w:trHeight w:val="211"/>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Operating income (loss)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11,262</w:t>
            </w:r>
          </w:p>
        </w:tc>
      </w:tr>
      <w:tr>
        <w:trPr>
          <w:trHeight w:val="212"/>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 interest expense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1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and other non-operating income, net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income (loss) (Note 7)</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(Note 15)</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w:t>
            </w:r>
          </w:p>
        </w:tc>
      </w:tr>
      <w:tr>
        <w:trPr>
          <w:trHeight w:val="211"/>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8,837</w:t>
            </w:r>
          </w:p>
        </w:tc>
      </w:tr>
      <w:tr>
        <w:trPr>
          <w:trHeight w:val="212"/>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8,914</w:t>
            </w:r>
          </w:p>
        </w:tc>
      </w:tr>
      <w:tr>
        <w:trPr>
          <w:trHeight w:val="54"/>
        </w:trPr>
        <w:tc>
          <w:tcPr>
            <w:tcW w:w="5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(Note 18)</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basic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r>
      <w:tr>
        <w:trPr>
          <w:trHeight w:val="212"/>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r>
      <w:tr>
        <w:trPr>
          <w:trHeight w:val="218"/>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common shares outstanding – diluted</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w:t>
            </w:r>
          </w:p>
        </w:tc>
      </w:tr>
    </w:tbl>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20" w:type="dxa"/>
            <w:vAlign w:val="bottom"/>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64"/>
        </w:trPr>
        <w:tc>
          <w:tcPr>
            <w:tcW w:w="5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w w:val="97"/>
              </w:rPr>
              <w:t>September 30, 2024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w w:val="99"/>
              </w:rPr>
              <w:t>September 30, 2024</w:t>
            </w:r>
          </w:p>
        </w:tc>
      </w:tr>
      <w:tr>
        <w:trPr>
          <w:trHeight w:val="213"/>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1,293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6,040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8,837</w:t>
            </w:r>
          </w:p>
        </w:tc>
      </w:tr>
      <w:tr>
        <w:trPr>
          <w:trHeight w:val="21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 (Note 17)</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 adjustments and other</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12"/>
        </w:trPr>
        <w:tc>
          <w:tcPr>
            <w:tcW w:w="5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Defined benefit plans</w:t>
            </w:r>
          </w:p>
        </w:tc>
        <w:tc>
          <w:tcPr>
            <w:tcW w:w="140" w:type="dxa"/>
            <w:vAlign w:val="bottom"/>
          </w:tcPr>
          <w:p>
            <w:pPr>
              <w:spacing w:after="0"/>
              <w:rPr>
                <w:sz w:val="18"/>
                <w:szCs w:val="18"/>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18"/>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Unrealized gain (loss) on hedges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06"/>
        </w:trPr>
        <w:tc>
          <w:tcPr>
            <w:tcW w:w="51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1"/>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w:t>
            </w:r>
          </w:p>
        </w:tc>
      </w:tr>
      <w:tr>
        <w:trPr>
          <w:trHeight w:val="212"/>
        </w:trPr>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Comprehensive loss (income) attributable to noncontrolling interests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36"/>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3,376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6,468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 (Unaudited)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7820" w:type="dxa"/>
            <w:vAlign w:val="bottom"/>
            <w:vMerge w:val="restart"/>
          </w:tcPr>
          <w:p>
            <w:pPr>
              <w:ind w:left="36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(Note 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debt securities (Note 3)</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and notes receivable, net of allowance of $256 and $313</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$1,175 and $991 (Note 4; Note 9)</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46,362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(Note 5)</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14,564</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(Note 3; Note 9)</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7,655</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108,545</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GM Financial receivables, net of allowance of $1,561 and $1,467 (Note 4; Note 9)</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46,474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net assets of nonconsolidated affiliates (Note 7)</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and intangible assets, net (Note 8)</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Equipment on operating leases, net (Note 6; Note 9)</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31,586</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21,254</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(Note 3; Note 9)</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173,532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171,216</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279,761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(principally trade)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25,680</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debt and current portion of long-term debt (Note 10)</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9)</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37,291</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31,154</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96,265</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 (Note 10)</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Automotive</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13,327</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GM Financial (Note 9)</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76,973</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Postretirement benefits other than pensions (Note 13)</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Pensions (Note 13)</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17,836</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126,471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117,906</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214,171</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contingencies and uncertainties (Note 14)</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Equity (Note 17)</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(11,253)</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63,072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68,402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65,590</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279,761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7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99"/>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8,837</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impairment of Equipment on operating leases, net</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impairment charges on Property,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5,523</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remeasurement and transaction (gains) losses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Undistributed earnings of nonconsolidated affiliates,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Pension contributions and OPEB payments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OPEB income, net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(benefit) for deferred taxes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other operating assets and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15,989</w:t>
            </w: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Expenditures for property</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(7,597)</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acquisitions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Available-for-sale marketable securities, liquidations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finance receivables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(25,864)</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Principal collections and recoveries on finance receivables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finance receivables (Note 4)</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leased vehicles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termination of leased vehicles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8,627</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w:t>
            </w:r>
          </w:p>
        </w:tc>
      </w:tr>
      <w:tr>
        <w:trPr>
          <w:trHeight w:val="21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(14,004)</w:t>
            </w: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increase (decrease) in short-term debt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 (original maturities greater than three months)</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debt (original maturities greater than three months)</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(32,012)</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to purchase common stock (Note 17)</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(redemption) of subsidiary stock (Note 17)</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r>
      <w:tr>
        <w:trPr>
          <w:trHeight w:val="206"/>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w:t>
            </w:r>
          </w:p>
        </w:tc>
      </w:tr>
      <w:tr>
        <w:trPr>
          <w:trHeight w:val="218"/>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6"/>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4,798</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21,917</w:t>
            </w: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26,715</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4"/>
        </w:trPr>
        <w:tc>
          <w:tcPr>
            <w:tcW w:w="7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Significant non-cash investing and financing activity</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property additions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4,767</w:t>
            </w:r>
          </w:p>
        </w:tc>
      </w:tr>
    </w:tbl>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may not add due to rounding.</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4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Stockholders’</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restart"/>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80" w:type="dxa"/>
            <w:vAlign w:val="bottom"/>
          </w:tcPr>
          <w:p>
            <w:pPr>
              <w:spacing w:after="0"/>
              <w:rPr>
                <w:sz w:val="11"/>
                <w:szCs w:val="11"/>
                <w:color w:val="auto"/>
              </w:rPr>
            </w:pPr>
          </w:p>
        </w:tc>
        <w:tc>
          <w:tcPr>
            <w:tcW w:w="1020" w:type="dxa"/>
            <w:vAlign w:val="bottom"/>
          </w:tcPr>
          <w:p>
            <w:pPr>
              <w:jc w:val="center"/>
              <w:ind w:right="9"/>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right="9"/>
              <w:spacing w:after="0" w:line="121" w:lineRule="exact"/>
              <w:rPr>
                <w:sz w:val="20"/>
                <w:szCs w:val="20"/>
                <w:color w:val="auto"/>
              </w:rPr>
            </w:pPr>
            <w:r>
              <w:rPr>
                <w:rFonts w:ascii="Times New Roman" w:cs="Times New Roman" w:eastAsia="Times New Roman" w:hAnsi="Times New Roman"/>
                <w:sz w:val="13"/>
                <w:szCs w:val="13"/>
                <w:b w:val="1"/>
                <w:bCs w:val="1"/>
                <w:color w:val="auto"/>
                <w:w w:val="98"/>
              </w:rPr>
              <w:t>Cruise Stock</w:t>
            </w: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0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26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3"/>
                <w:szCs w:val="13"/>
                <w:b w:val="1"/>
                <w:bCs w:val="1"/>
                <w:color w:val="auto"/>
                <w:w w:val="94"/>
              </w:rPr>
              <w:t>(Permanent</w:t>
            </w:r>
          </w:p>
        </w:tc>
        <w:tc>
          <w:tcPr>
            <w:tcW w:w="80" w:type="dxa"/>
            <w:vAlign w:val="bottom"/>
          </w:tcPr>
          <w:p>
            <w:pPr>
              <w:spacing w:after="0"/>
              <w:rPr>
                <w:sz w:val="11"/>
                <w:szCs w:val="11"/>
                <w:color w:val="auto"/>
              </w:rPr>
            </w:pPr>
          </w:p>
        </w:tc>
        <w:tc>
          <w:tcPr>
            <w:tcW w:w="1020" w:type="dxa"/>
            <w:vAlign w:val="bottom"/>
          </w:tcPr>
          <w:p>
            <w:pPr>
              <w:jc w:val="center"/>
              <w:ind w:right="9"/>
              <w:spacing w:after="0" w:line="134" w:lineRule="exact"/>
              <w:rPr>
                <w:sz w:val="20"/>
                <w:szCs w:val="20"/>
                <w:color w:val="auto"/>
              </w:rPr>
            </w:pPr>
            <w:r>
              <w:rPr>
                <w:rFonts w:ascii="Times New Roman" w:cs="Times New Roman" w:eastAsia="Times New Roman" w:hAnsi="Times New Roman"/>
                <w:sz w:val="13"/>
                <w:szCs w:val="13"/>
                <w:b w:val="1"/>
                <w:bCs w:val="1"/>
                <w:color w:val="auto"/>
                <w:w w:val="96"/>
              </w:rPr>
              <w:t>Incentive Awards</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3"/>
              </w:rPr>
              <w:t>(Temporary Equity)</w:t>
            </w:r>
          </w:p>
        </w:tc>
        <w:tc>
          <w:tcPr>
            <w:tcW w:w="0" w:type="dxa"/>
            <w:vAlign w:val="bottom"/>
          </w:tcPr>
          <w:p>
            <w:pPr>
              <w:spacing w:after="0"/>
              <w:rPr>
                <w:sz w:val="1"/>
                <w:szCs w:val="1"/>
                <w:color w:val="auto"/>
              </w:rPr>
            </w:pPr>
          </w:p>
        </w:tc>
      </w:tr>
      <w:tr>
        <w:trPr>
          <w:trHeight w:val="19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55,391</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68,189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17)</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19,358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57,688</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(10,459)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70,426</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59,807</w:t>
            </w: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(10,787)</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71,900</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62,050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53,472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65,590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(redemption) of subsidiary stock (Note 17)</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55,140</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66,427</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17)</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to noncontrolling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56,675</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68,459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(Note 17)</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20,295</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56,862</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(10,792)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68,402</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Reference should be made to the 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may not add due to rounding.</w:t>
      </w:r>
    </w:p>
    <w:p>
      <w:pPr>
        <w:sectPr>
          <w:pgSz w:w="11900" w:h="16838" w:orient="portrait"/>
          <w:cols w:equalWidth="0" w:num="1">
            <w:col w:w="11220"/>
          </w:cols>
          <w:pgMar w:left="320" w:top="121" w:right="35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240665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 and Basis of Presentation</w:t>
      </w:r>
    </w:p>
    <w:p>
      <w:pPr>
        <w:spacing w:after="0" w:line="25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We also provide automotive financing services through General Motors Financial Company, Inc. (GM Financial). We analyze the results of our operations through the following segments: GM North America (GMNA), GM International (GMI) and GM Financial. In December 2024, we announced that we will no longer fund Cruise's robotaxi development work and in February 2025, began to wind down the Cruise robotaxi operations and combined the GM and Cruise ongoing personal autonomous technical efforts in our GMNA segment. Corporate includes certain centrally recorded income and costs such as interest, income taxes, corporate expenditures and certain revenues and expenses that are not part of a reportable segment.</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conformity with U.S. generally accepted accounting principles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Annual Report on Form 10-K for the fiscal year ended December 31, 2024 (2024 Form 10-K). Except for per share amounts or as otherwise specified, amounts presented within tables are stated in millions. Certain columns and rows may not add due to rounding.</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Throughout this report, we refer to General Motors Company and its consolidated subsidiaries in a simplified manner and on a collective basis, using words like "we," "our," "us" and "the Company." This drafting style is suggested by the SEC and is not meant to indicate that General Motors Company, the publicly traded parent company, or any particular subsidiary of the parent company, owns or operates any particular asset, business or property. The operations and businesses described in this report are owned and operated by distinct subsidiaries of General Motors Company.</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We consolidate entities that we control due to ownership of a majority voting interest and we consolidate variable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amounts presented for GM Financial are adjusted to reflect the impact on GM Financial's deferred tax positions and provision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resulting from the inclusion of GM Financial in our consolidated tax returns and to eliminate the effect of transactions between GM Financial and the other members of the consolidated group. Accordingly, the amounts presented will differ from those presented by GM Financial on a stand-alone basis.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Accounting Standards Not Yet Adopted </w:t>
      </w:r>
      <w:r>
        <w:rPr>
          <w:rFonts w:ascii="Times New Roman" w:cs="Times New Roman" w:eastAsia="Times New Roman" w:hAnsi="Times New Roman"/>
          <w:sz w:val="18"/>
          <w:szCs w:val="18"/>
          <w:color w:val="auto"/>
        </w:rPr>
        <w:t>In September 2025, the Financial Accounting Standards Board issued ASU 2025-06 "Intangibles - Goodwill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 Internal-Use Software (Subtopic 350-40): Targeted Improvements to the Accounting for Internal-Use Software" (ASU 2025-06) which modernizes the accounting for internal-use software to current development practices, clarifies when to begin capitalizing costs and enhances disclosure requirements. This update is effective for interim and annual periods beginning after December 15, 2027, with early adoption permitted. While we do not anticipate a significant change to our current accounting for internal-use software, our evaluation of ASU 2025-06 is ongoing.</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disaggregates our revenue by major source: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4"/>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6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8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38,752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42,159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42,159</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60" w:type="dxa"/>
            <w:vAlign w:val="bottom"/>
            <w:gridSpan w:val="4"/>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40,551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44,256</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44,256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gridSpan w:val="4"/>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4,335</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44,256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48,591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line="130"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4"/>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6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98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43,098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43,097</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60" w:type="dxa"/>
            <w:vAlign w:val="bottom"/>
            <w:gridSpan w:val="4"/>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44,735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44,735</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4,021</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44,735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GMNA</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40" w:type="dxa"/>
            <w:vAlign w:val="bottom"/>
            <w:gridSpan w:val="4"/>
          </w:tcPr>
          <w:p>
            <w:pPr>
              <w:jc w:val="center"/>
              <w:ind w:right="240"/>
              <w:spacing w:after="0" w:line="130"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6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98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112,770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121,424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121,424</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Services and other</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117,424</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9,398</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126,985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126,986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96"/>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6,129</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6"/>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12,756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96"/>
              </w:rPr>
              <w:t>(9)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12,747</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117,424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126,985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12,756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6"/>
              </w:rPr>
              <w:t>(9)</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139,732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GMNA</w:t>
            </w:r>
          </w:p>
        </w:tc>
        <w:tc>
          <w:tcPr>
            <w:tcW w:w="16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GMI</w:t>
            </w:r>
          </w:p>
        </w:tc>
        <w:tc>
          <w:tcPr>
            <w:tcW w:w="12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Cruise</w:t>
            </w:r>
          </w:p>
        </w:tc>
        <w:tc>
          <w:tcPr>
            <w:tcW w:w="120" w:type="dxa"/>
            <w:vAlign w:val="bottom"/>
          </w:tcPr>
          <w:p>
            <w:pPr>
              <w:spacing w:after="0"/>
              <w:rPr>
                <w:sz w:val="11"/>
                <w:szCs w:val="11"/>
                <w:color w:val="auto"/>
              </w:rPr>
            </w:pPr>
          </w:p>
        </w:tc>
        <w:tc>
          <w:tcPr>
            <w:tcW w:w="8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GM</w:t>
            </w:r>
          </w:p>
        </w:tc>
        <w:tc>
          <w:tcPr>
            <w:tcW w:w="1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Eliminations/Reclassifications</w:t>
            </w: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Automotive</w:t>
            </w: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9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Vehicle, parts and accessories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123,276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123,275</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Used vehicles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and other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3,784</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Automotive net sales and revenue</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117,981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128,007</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128,008</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vehicle income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 income</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5,627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GM Financial net sales and revenue</w:t>
            </w: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11,761</w:t>
            </w: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11,732</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 and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128,007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11,761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Revenue is measured as the amount of consideration we expect to receive in exchange for transferring goods or providing services. Adjustments to sales incentives for previously recognized sales were insignificant in the three months ended September 30, 2025 and 2024.</w:t>
      </w:r>
    </w:p>
    <w:p>
      <w:pPr>
        <w:spacing w:after="0" w:line="189"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Contract liabilities in our Automotive operations primarily consist of vehicle connectivity, customer rewards programs, maintenance, extended warranty and other contracts of $8.1 billion and $6.6 billion at September 30, 2025 and December 31, 2024, which are included in Accrued liabilities and Other liabilities. We recognized revenue of $786 million and $2.0 billion related to contract liabilities in the three and nine months ended September 30, 2025 and $456 million and $1.4 billion in the three and nine months ended September 30, 2024. We expect to recognize revenue of $748 million in the three months ending December 31, 2025 and $2.3 billion, $1.4 billion and $3.6 billion in the years ending December 31, 2026, 2027 and thereafter related to contract liabilities at September 30, 2025.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and Other Securities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fair value of cash equivalents and marketable debt securities, which approximates cost:</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3"/>
                <w:szCs w:val="13"/>
                <w:color w:val="auto"/>
              </w:rPr>
            </w:pPr>
          </w:p>
        </w:tc>
        <w:tc>
          <w:tcPr>
            <w:tcW w:w="148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12,471</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and other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and asset-backed</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 marketable securities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78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debt securities included above with contractual maturities(a)</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between one and five years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debt securities with contractual maturities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Excludes mortgage and asset-backed securities of $548 million at September 30, 2025 as these securities are not due at a single maturity date.</w:t>
      </w:r>
    </w:p>
    <w:p>
      <w:pPr>
        <w:spacing w:after="0" w:line="23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Proceeds from the sale of available-for-sale debt securities sold prior to maturity were $547 million and $580 million in the three months ended September 30, 2025 and 2024 and $2.7 billion and $1.6 billion in the nine months ended September 30, 2025 and 2024. Net unrealized gains on available-for-sale debt securities were insignificant and $159 million in the three months ended September 30, 2025 and 2024 and insignificant and $160 million in the nine months ended September 30, 2025 and 2024. Cumulative unrealized losses on available-for-sale debt securities were insignificant at September 30, 2025 and December 31, 2024.</w:t>
      </w:r>
    </w:p>
    <w:p>
      <w:pPr>
        <w:spacing w:after="0" w:line="213"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3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2"/>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36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9"/>
        </w:trPr>
        <w:tc>
          <w:tcPr>
            <w:tcW w:w="450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50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GM Financial Receivables and Transactions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88"/>
        </w:trPr>
        <w:tc>
          <w:tcPr>
            <w:tcW w:w="4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Commercial(a)</w:t>
            </w: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75,857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92,558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76,066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95,294</w:t>
            </w:r>
          </w:p>
        </w:tc>
      </w:tr>
      <w:tr>
        <w:trPr>
          <w:trHeight w:val="228"/>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8"/>
              </w:rPr>
              <w:t>(2,651)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(2,736)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8"/>
              </w:rPr>
              <w:t>(2,400)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8"/>
              </w:rPr>
              <w:t>(2,458)</w:t>
            </w: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73,206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89,821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73,667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92,836</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84"/>
        </w:trPr>
        <w:tc>
          <w:tcPr>
            <w:tcW w:w="42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2</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3"/>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16,615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19,169</w:t>
            </w:r>
          </w:p>
        </w:tc>
      </w:tr>
      <w:tr>
        <w:trPr>
          <w:trHeight w:val="183"/>
        </w:trPr>
        <w:tc>
          <w:tcPr>
            <w:tcW w:w="428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Fair value of GM Financial receivables utilizing Level 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4"/>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74,957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74,729</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60" w:lineRule="auto"/>
        <w:tabs>
          <w:tab w:leader="none" w:pos="33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Commercial finance receivables include dealer financing of $16.2 billion and $18.6 billion, and other financing of $471 million and $604 million at September 30, 2025 and December 31, 2024. Commercial finance receivables are presented net of dealer cash management balances of $3.4 billion at September 30, 2025 and December 31, 2024. Under the cash management program, subject to certain conditions, a dealer may choose to reduce the amount of interest on its floorplan line by making principal payments to GM Financial in advance.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1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88"/>
        </w:trPr>
        <w:tc>
          <w:tcPr>
            <w:tcW w:w="45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8"/>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2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2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2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2"/>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loan losses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0"/>
        </w:trPr>
        <w:tc>
          <w:tcPr>
            <w:tcW w:w="4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allowance for loan losses as a percentage of finance receivables was 3.0% and 2.6% at September 30, 2025 and December 31, 2024. The allowance ratio is based on factors including portfolio credit quality, expectations for recovery rates and economic outlook.</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Retail Finance Receivables </w:t>
      </w:r>
      <w:r>
        <w:rPr>
          <w:rFonts w:ascii="Times New Roman" w:cs="Times New Roman" w:eastAsia="Times New Roman" w:hAnsi="Times New Roman"/>
          <w:sz w:val="18"/>
          <w:szCs w:val="18"/>
          <w:color w:val="auto"/>
        </w:rPr>
        <w:t>GM Financial's retail finance receivables portfolio includes loans made to consumers and businesses to finance the purchase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vehicles for personal and commercial use. The following tables are consolidated summaries of the retail finance receivables by FICO score or its equivalent, determined at origination, for each vintage of the retail finance receivables portfolio at September 30, 2025 and December 31, 2024:</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75,857</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1"/>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3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940" w:type="dxa"/>
            <w:vAlign w:val="bottom"/>
          </w:tcPr>
          <w:p>
            <w:pPr>
              <w:spacing w:after="0"/>
              <w:rPr>
                <w:sz w:val="2"/>
                <w:szCs w:val="2"/>
                <w:color w:val="auto"/>
              </w:rPr>
            </w:pPr>
          </w:p>
        </w:tc>
      </w:tr>
      <w:tr>
        <w:trPr>
          <w:trHeight w:val="188"/>
        </w:trPr>
        <w:tc>
          <w:tcPr>
            <w:tcW w:w="3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8"/>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Prime – FICO score 680 and greater</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w:t>
            </w: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58,067</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76.3 %</w:t>
            </w:r>
          </w:p>
        </w:tc>
      </w:tr>
      <w:tr>
        <w:trPr>
          <w:trHeight w:val="22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Near-prime – FICO score 620 to 679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8"/>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Sub-prime – FICO score less than 620</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2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76,066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3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4"/>
        </w:trPr>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3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$980 million and $958 million at September 30, 2025 and December 31, 2024. The following tables are consolidated summaries of the delinquency status of the outstanding amortized cost of retail finance receivables for each vintage of the portfolio at September 30, 2025 and December 31, 2024, as well as summary totals for September 30,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7"/>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5"/>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5"/>
        </w:trPr>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7,939</w:t>
            </w: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73,318</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71,977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than 30 days delinquent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2,333</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16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75"/>
        </w:trPr>
        <w:tc>
          <w:tcPr>
            <w:tcW w:w="216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than 30 days delinquent or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9"/>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2,540</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36"/>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8,397</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75,857</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74,384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0-to-30 days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19,411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12,207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710</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73,438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96.5 %</w:t>
            </w:r>
          </w:p>
        </w:tc>
      </w:tr>
      <w:tr>
        <w:trPr>
          <w:trHeight w:val="228"/>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31-to-60 days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28"/>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Greater-than-60 days</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1"/>
              </w:rPr>
              <w:t>188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55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677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155"/>
        </w:trPr>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9"/>
        </w:trPr>
        <w:tc>
          <w:tcPr>
            <w:tcW w:w="2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 days delinquent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1"/>
              </w:rPr>
              <w:t>669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135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2,562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3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repossession</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155"/>
        </w:trPr>
        <w:tc>
          <w:tcPr>
            <w:tcW w:w="23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Finance receivables more than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3"/>
        </w:trPr>
        <w:tc>
          <w:tcPr>
            <w:tcW w:w="2160" w:type="dxa"/>
            <w:vAlign w:val="bottom"/>
          </w:tcPr>
          <w:p>
            <w:pPr>
              <w:ind w:left="180"/>
              <w:spacing w:after="0" w:line="183" w:lineRule="exact"/>
              <w:rPr>
                <w:sz w:val="20"/>
                <w:szCs w:val="20"/>
                <w:color w:val="auto"/>
              </w:rPr>
            </w:pPr>
            <w:r>
              <w:rPr>
                <w:rFonts w:ascii="Times New Roman" w:cs="Times New Roman" w:eastAsia="Times New Roman" w:hAnsi="Times New Roman"/>
                <w:sz w:val="18"/>
                <w:szCs w:val="18"/>
                <w:color w:val="auto"/>
              </w:rPr>
              <w:t>30 days delinquent or in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3"/>
        </w:trPr>
        <w:tc>
          <w:tcPr>
            <w:tcW w:w="2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repossession</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1"/>
              </w:rPr>
              <w:t>689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136</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color w:val="auto"/>
              </w:rPr>
              <w:t>2,628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33"/>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finance receivables</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20,100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12,802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847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76,066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Commercial Finance Receivables </w:t>
      </w:r>
      <w:r>
        <w:rPr>
          <w:rFonts w:ascii="Times New Roman" w:cs="Times New Roman" w:eastAsia="Times New Roman" w:hAnsi="Times New Roman"/>
          <w:sz w:val="18"/>
          <w:szCs w:val="18"/>
          <w:color w:val="auto"/>
        </w:rPr>
        <w:t>GM Financial's commercial finance receivables consist of dealer financing, primarily for dealer inventory purchases,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financing, which includes loans to commercial vehicle upfitters. For dealer financing, proprietary models are used to assign a risk rating to each dealer. GM Financial performs periodic credit reviews of each dealership and adjusts the dealership's risk rating, if necessary. The credit risk associated with other financing is limited due to the structure of the business relationships.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(Continued)</w:t>
      </w:r>
    </w:p>
    <w:p>
      <w:pPr>
        <w:spacing w:after="0" w:line="3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GM Financial's dealer risk model and risk rating categories are as follows:</w:t>
      </w:r>
    </w:p>
    <w:p>
      <w:pPr>
        <w:sectPr>
          <w:pgSz w:w="11900" w:h="16838" w:orient="portrait"/>
          <w:cols w:equalWidth="0" w:num="1">
            <w:col w:w="11240"/>
          </w:cols>
          <w:pgMar w:left="320" w:top="121"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Rating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19050</wp:posOffset>
            </wp:positionV>
            <wp:extent cx="7132955" cy="15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accounts with strong to acceptable financial metrics with at least satisfactory capacity to meet financial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20955</wp:posOffset>
            </wp:positionV>
            <wp:extent cx="7132955" cy="2647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line="13" w:lineRule="exact"/>
        <w:rPr>
          <w:sz w:val="20"/>
          <w:szCs w:val="20"/>
          <w:color w:val="auto"/>
        </w:rPr>
      </w:pPr>
    </w:p>
    <w:p>
      <w:pPr>
        <w:ind w:left="160" w:right="560" w:hanging="160"/>
        <w:spacing w:after="0" w:line="233"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have the distinct possibility of creating a loss if deficiencies are not corrected.</w:t>
      </w:r>
    </w:p>
    <w:p>
      <w:pPr>
        <w:spacing w:after="0" w:line="9" w:lineRule="exact"/>
        <w:rPr>
          <w:sz w:val="20"/>
          <w:szCs w:val="20"/>
          <w:color w:val="auto"/>
        </w:rPr>
      </w:pPr>
    </w:p>
    <w:p>
      <w:pPr>
        <w:ind w:left="160" w:right="780" w:hanging="160"/>
        <w:spacing w:after="0" w:line="236" w:lineRule="auto"/>
        <w:rPr>
          <w:sz w:val="20"/>
          <w:szCs w:val="20"/>
          <w:color w:val="auto"/>
        </w:rPr>
      </w:pPr>
      <w:r>
        <w:rPr>
          <w:rFonts w:ascii="Times New Roman" w:cs="Times New Roman" w:eastAsia="Times New Roman" w:hAnsi="Times New Roman"/>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1" w:right="339" w:bottom="1440" w:gutter="0" w:footer="0" w:header="0"/>
          <w:type w:val="continuous"/>
        </w:sectPr>
      </w:pPr>
    </w:p>
    <w:p>
      <w:pPr>
        <w:spacing w:after="0" w:line="119" w:lineRule="exact"/>
        <w:rPr>
          <w:sz w:val="20"/>
          <w:szCs w:val="20"/>
          <w:color w:val="auto"/>
        </w:rPr>
      </w:pPr>
    </w:p>
    <w:p>
      <w:pPr>
        <w:jc w:val="both"/>
        <w:ind w:firstLine="161"/>
        <w:spacing w:after="0" w:line="310" w:lineRule="auto"/>
        <w:rPr>
          <w:sz w:val="20"/>
          <w:szCs w:val="20"/>
          <w:color w:val="auto"/>
        </w:rPr>
      </w:pPr>
      <w:r>
        <w:rPr>
          <w:rFonts w:ascii="Times New Roman" w:cs="Times New Roman" w:eastAsia="Times New Roman" w:hAnsi="Times New Roman"/>
          <w:sz w:val="17"/>
          <w:szCs w:val="17"/>
          <w:color w:val="auto"/>
        </w:rPr>
        <w:t>Dealers with III and IV risk ratings are subject to additional monitoring and restrictions on funding, including suspension of lines of credit and liquidation of assets. The following tables summarize the dealer finance receivables portfolio by dealer risk rating at September 30, 2025 and December 31, 2024:</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3"/>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13,245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14,519</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16,230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0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360" w:type="dxa"/>
            <w:vAlign w:val="bottom"/>
            <w:gridSpan w:val="19"/>
          </w:tcPr>
          <w:p>
            <w:pPr>
              <w:spacing w:after="0"/>
              <w:rPr>
                <w:sz w:val="20"/>
                <w:szCs w:val="20"/>
                <w:color w:val="auto"/>
              </w:rPr>
            </w:pPr>
            <w:r>
              <w:rPr>
                <w:rFonts w:ascii="Times New Roman" w:cs="Times New Roman" w:eastAsia="Times New Roman" w:hAnsi="Times New Roman"/>
                <w:sz w:val="16"/>
                <w:szCs w:val="16"/>
                <w:color w:val="auto"/>
              </w:rPr>
              <w:t>(a)  Floorplan advances comprise 99.1% of the total revolving balance. Dealer term loans are presented by year of origination.</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3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of Origination(a)</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3"/>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Dealer Risk Rating</w:t>
            </w: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2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11"/>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17,606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IV</w:t>
            </w:r>
          </w:p>
        </w:tc>
        <w:tc>
          <w:tcPr>
            <w:tcW w:w="2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18,623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Floorplan advances comprise 99.5% of the total revolving balance. Dealer term loans are presented by year of origination.</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There were no commercial finance receivables on nonaccrual status at September 30, 2025 and December 31, 2024.</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Transfers of Finance Receivables </w:t>
      </w:r>
      <w:r>
        <w:rPr>
          <w:rFonts w:ascii="Times New Roman" w:cs="Times New Roman" w:eastAsia="Times New Roman" w:hAnsi="Times New Roman"/>
          <w:sz w:val="18"/>
          <w:szCs w:val="18"/>
          <w:color w:val="auto"/>
        </w:rPr>
        <w:t>During the three months ended September 30, 2025, GM Financial sold, subject to standard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finance receivables to third-party purchasers for $2.0 billion in cash proceeds. GM Financial has continuing involvement with the finance receivables transferred, primarily in its role as servicer. The outstanding off-balance sheet amount of the transferred finance receivables subject to continuing involvement was $1.9 billion at September 30, 2025.</w:t>
      </w:r>
    </w:p>
    <w:p>
      <w:pPr>
        <w:spacing w:after="0" w:line="20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Transactions with GM Financial </w:t>
      </w:r>
      <w:r>
        <w:rPr>
          <w:rFonts w:ascii="Times New Roman" w:cs="Times New Roman" w:eastAsia="Times New Roman" w:hAnsi="Times New Roman"/>
          <w:sz w:val="18"/>
          <w:szCs w:val="18"/>
          <w:color w:val="auto"/>
        </w:rPr>
        <w:t>The following tables show transactions between our Automotive operations and GM Financial. These amounts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presented in GM Financial's condensed consolidated balance sheets and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Sheets(a)</w:t>
            </w:r>
          </w:p>
        </w:tc>
        <w:tc>
          <w:tcPr>
            <w:tcW w:w="2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finance receivables due from GM consolidated dealers</w:t>
            </w:r>
          </w:p>
        </w:tc>
        <w:tc>
          <w:tcPr>
            <w:tcW w:w="2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Subvention receivable from GM(b)</w:t>
            </w:r>
          </w:p>
        </w:tc>
        <w:tc>
          <w:tcPr>
            <w:tcW w:w="2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 funding payable to GM</w:t>
            </w:r>
          </w:p>
        </w:tc>
        <w:tc>
          <w:tcPr>
            <w:tcW w:w="2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64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90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88"/>
        </w:trPr>
        <w:tc>
          <w:tcPr>
            <w:tcW w:w="50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1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subvention earned on finance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vehicle subvention earned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balance sheet amounts are eliminated upon consolidation.</w:t>
      </w:r>
    </w:p>
    <w:p>
      <w:pPr>
        <w:spacing w:after="0" w:line="14" w:lineRule="exact"/>
        <w:rPr>
          <w:rFonts w:ascii="Times New Roman" w:cs="Times New Roman" w:eastAsia="Times New Roman" w:hAnsi="Times New Roman"/>
          <w:sz w:val="16"/>
          <w:szCs w:val="16"/>
          <w:color w:val="auto"/>
        </w:rPr>
      </w:pPr>
    </w:p>
    <w:p>
      <w:pPr>
        <w:ind w:left="340" w:right="20" w:hanging="333"/>
        <w:spacing w:after="0" w:line="255"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Automotive operations made cash payments to GM Financial for subvention of $856 million and $1.2 billion in the three months ended September 30, 2025 and 2024 and $2.5 billion and $2.9 billion in the nine months ended September 30, 2025 and 2024.</w:t>
      </w:r>
    </w:p>
    <w:p>
      <w:pPr>
        <w:spacing w:after="0" w:line="2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$350 million and $450 million on its common stock in the three months ended September 30, 2025 and 2024 and $1.1 billion and $1.4 billion in the nine months ended September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productive material, supplies and work in process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product, including service parts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Inventories are reflected net of allowances totaling $2.5 billion and $2.0 billion, of which $1.8 billion and $1.4 billion are electric vehicle (EV)-related, to remeasure inventory on-hand to net realizable value at September 30, 2025 and December 31, 2024. Tariffs, less available offsets and deductions, are capitalized into the cost of inventories as incurred. Offset amounts in excess of tariffs incurred will be recognized as a reduction to future tariffs.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Equipment on Operating Leases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Equipment on operating leases consists of leases to retail customers of GM Financial.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40,283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38,187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(6,674)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8"/>
              </w:rPr>
              <w:t>(6,601)</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on operating leases,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33,609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31,586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estimated residual value of our leased assets at the end of the lease term was $25.0 billion and $23.5 billion at September 30, 2025 and December 31, 2024.</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Depreciation expense related to Equipment on operating leases, net was $1.2 billion in the three months ended September 30, 2025 and 2024 and $3.7 billion and $3.6 billion in the nine months ended September 30, 2025 and 2024.</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September 30, 2025, GM Financial had a $2.1 billion purchase commitment to acquire EVs from dealers through June 30, 2026.</w:t>
      </w:r>
    </w:p>
    <w:p>
      <w:pPr>
        <w:spacing w:after="0" w:line="2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lease payments due to GM Financial on leases to retail customers: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
        </w:trPr>
        <w:tc>
          <w:tcPr>
            <w:tcW w:w="40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8"/>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r>
      <w:tr>
        <w:trPr>
          <w:trHeight w:val="901"/>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56"/>
        </w:trPr>
        <w:tc>
          <w:tcPr>
            <w:tcW w:w="4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Equity in Net Assets of Nonconsolidated Affiliates</w:t>
      </w:r>
    </w:p>
    <w:p>
      <w:pPr>
        <w:spacing w:after="0" w:line="25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 (loss) or Automotive and other cost of sales.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joint ventures equity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Ultium Cells Holdings LLC equity income (loss)(a)</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joint ventures equity income (loss)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2"/>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income (loss)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0"/>
        </w:trPr>
        <w:tc>
          <w:tcPr>
            <w:tcW w:w="5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earnings related to Ultium Cells Holdings LLC, an equally owned joint venture with LG Energy Solution (LGES), are presented in Automotive and other cost of sales as this entity is integral to the operations of our business by providing battery cells for our EVs.</w:t>
      </w:r>
    </w:p>
    <w:p>
      <w:pPr>
        <w:spacing w:after="0" w:line="195"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ownership changes in our Automotive China joint ventures (Automotive China JVs) or Ultium Cells Holdings LLC since December 31,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Summarized Operating Data of Automotive China JVs</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China JVs'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China JVs' 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bl>
    <w:p>
      <w:pPr>
        <w:spacing w:after="0" w:line="3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Dividends declared but not paid from our nonconsolidated affiliates were $1.6 billion and $395 million at September 30, 2025 and December 31, 2024. Dividends received from our nonconsolidated affiliates were $103 million and $1.1 billion in the three and nine months ended September 30, 2025 and insignificant and $190 million in the three and nine months ended September 30, 2024. We had net undistributed losses from our nonconsolidated affiliates of $256 million, including $2.7 billion of undistributed losses offset by $2.5 billion of undistributed earnings at September 30, 2025 and insignificant undistributed earnings at December 31, 2024.</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May 2025, we loaned $1.8 billion to Ultium Cells LLC to facilitate full voluntary prepayment of loans Ultium Cells LLC received under the U.S. Department of Energy's (DOE) Advanced Technology Vehicles Manufacturing program. Our loan to Ultium Cells LLC accrues interest at a rate of 5.7% per year, matures in April 2030 and is prepayable without penalties. This loan is presented in Other investing activities in the condensed consolidated statements of cash flows.</w:t>
      </w:r>
    </w:p>
    <w:p>
      <w:pPr>
        <w:spacing w:after="0" w:line="208"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2025, in connection with Ultium Cells Holdings LLC’s strategic realignment of manufacturing and cell capacity to meet EV demand, we recorded charges of $260 million. Refer to Note 16 for additional information pertaining to our ongoing strategic reassessment of our EV capacity and manufacturing footprint, including our investments in our battery component manufacturing.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w:t>
      </w:r>
    </w:p>
    <w:p>
      <w:pPr>
        <w:spacing w:after="0" w:line="25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Goodwill of $1.9 billion consisted of $1.3 billion in GM Financial at September 30, 2025 and December 31, 2024, and $571 million and an insignificant amount in GMNA at September 30, 2025 and December 31, 2024 and an insignificant amount and $569 million in Cruise at September 30, 2025 and December 31, 2024. During the three months ended March 31, 2025, $571 million of goodwill recorded in the Cruise segment was reallocated to the GMNA segment. The reallocation of the goodwill reflects the wind down of the Cruise robotaxi operations and combination of the GM and Cruise technical efforts in our GMNA segment to build on the success of Super Cruise and prioritize the development of advanced driver-assistance systems (ADAS) on a path to fully autonomous personal vehicles. We performed goodwill impairment tests prior to and after the reallocation and determined that the goodwill was not impaired.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Variable Interest Entities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 – GM Financial</w:t>
      </w:r>
    </w:p>
    <w:p>
      <w:pPr>
        <w:spacing w:after="0" w:line="119"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GM Financial uses special purpose entities (SPEs) that are considered VIEs to issue variable funding notes to third-party,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assets and liabilities related to GM Financial's consolidated VIEs: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receivables –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27,631</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receivables – non-current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27,619</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equipment on operating leases,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GM Financial short-term debt and current portion of long-term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31,638</w:t>
            </w: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119" w:lineRule="exact"/>
        <w:rPr>
          <w:sz w:val="20"/>
          <w:szCs w:val="20"/>
          <w:color w:val="auto"/>
        </w:rPr>
      </w:pPr>
    </w:p>
    <w:p>
      <w:pPr>
        <w:jc w:val="both"/>
        <w:ind w:firstLine="161"/>
        <w:spacing w:after="0" w:line="270" w:lineRule="auto"/>
        <w:rPr>
          <w:sz w:val="20"/>
          <w:szCs w:val="20"/>
          <w:color w:val="auto"/>
        </w:rPr>
      </w:pPr>
      <w:r>
        <w:rPr>
          <w:rFonts w:ascii="Times New Roman" w:cs="Times New Roman" w:eastAsia="Times New Roman" w:hAnsi="Times New Roman"/>
          <w:sz w:val="17"/>
          <w:szCs w:val="17"/>
          <w:color w:val="auto"/>
        </w:rPr>
        <w:t>Nonconsolidated VIEs primarily include our battery cell manufacturing joint ventures to which we provided financial support to ensure that our supply needs for production are met or are not disrupted. Our variable interests in our automotive nonconsolidated VIEs include equity investments, accounts and loans receivable, committed financial support and other off-balance sheet arrangements. The carrying amounts of assets were approximately $3.6 billion and $4.3 billion and liabilities were insignificant related to our nonconsolidated VIEs at September 30, 2025 and December 31, 2024. Our maximum exposure to loss as a result of our involvement with these VIEs was approximately $6.5 billion and $7.0 billion, inclusive of approximately $2.1 billion and $2.3 billion in committed capital contributions to our battery cell manufacturing joint ventures, at September 30, 2025 and December 31, 2024. Our maximum exposure to loss, and required capital contributions, could vary depending on our battery cell manufacturing joint ventures' requirements and access to capital.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Automotive </w:t>
      </w:r>
      <w:r>
        <w:rPr>
          <w:rFonts w:ascii="Times New Roman" w:cs="Times New Roman" w:eastAsia="Times New Roman" w:hAnsi="Times New Roman"/>
          <w:sz w:val="18"/>
          <w:szCs w:val="18"/>
          <w:color w:val="auto"/>
        </w:rPr>
        <w:t>The following table presents debt in our automotive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8"/>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15,359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14,709</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391</w:t>
            </w:r>
          </w:p>
        </w:tc>
      </w:tr>
      <w:tr>
        <w:trPr>
          <w:trHeight w:val="22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16,010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15,204</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14,366</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838</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13,793</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senior notes.</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net discount and debt issuance costs of $454 million and $439 million at September 30, 2025 and December 31, 2024.</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our 364-day, $2.0 billion facility allocated for exclusive use by GM Financial.</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coupon rates on debt denominated in various foreign currencies and interest free loans.</w:t>
      </w:r>
    </w:p>
    <w:p>
      <w:pPr>
        <w:spacing w:after="0" w:line="23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2025, we renewed our five-year, $10.0 billion facility, which now matures March 25, 2030. We also renewed our three-year, $4.1 billion facility, which now matures March 25, 2028, and renewed our 364-day, $2.0 billion revolving credit facility allocated for the exclusive use of GM Financial, which now matures March 24, 2026.</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May 2025, we issued $2.0 billion in aggregate principal amount of senior unsecured notes with a weighted average interest rate of 5.7% and maturity dates ranging from 2028 to 2035. The net proceeds from this offering were used for general corporate purposes, including to fund a portion of the $1.8 billion five-year term loan to Ultium Cells LLC and to refinance a portion of our senior notes. In September 2025, we exercised our option to redeem at par value the remaining $1.25 billion in aggregate principal balance of our $2.0 billion senior unsecured notes with a maturity date of October 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GM Financial </w:t>
      </w:r>
      <w:r>
        <w:rPr>
          <w:rFonts w:ascii="Times New Roman" w:cs="Times New Roman" w:eastAsia="Times New Roman" w:hAnsi="Times New Roman"/>
          <w:sz w:val="18"/>
          <w:szCs w:val="18"/>
          <w:color w:val="auto"/>
        </w:rPr>
        <w:t>The following table presents debt of GM Financial: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28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49,753</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Unsecured debt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65,258</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115,010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112,941</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utilizing Level 3 inputs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r>
    </w:tbl>
    <w:p>
      <w:pPr>
        <w:spacing w:after="0" w:line="312"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Secured debt consists of revolving credit facilities and securitization notes payable. Most of the secured debt was issued by VIEs and is repayable only from proceeds related to the underlying pledged assets. Refer to Note 9 for additional information on GM Financial's involvement with VIEs. In the nine months ended September 30, 2025, GM Financial renewed revolving credit facilities with total borrowing capacity of $19.3 billion and issued $17.4 billion in aggregate principal amount of securitization notes payable with an initial weighted-average interest rate of 4.75% and maturity dates ranging from 2027 to 2037.</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Unsecured debt consists of senior notes, credit facilities and other unsecured debt. In the nine months ended September 30, 2025, GM Financial issued $9.2 billion in aggregate principal amount of senior notes with an initial weighted-average interest rate of 5.20% and maturity dates ranging from 2027 to 2035.</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Financial Instruments</w:t>
      </w:r>
    </w:p>
    <w:p>
      <w:pPr>
        <w:spacing w:after="0" w:line="25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presents the gross fair value amounts of GM Financial's derivative financial instruments and the associated notional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5"/>
              <w:spacing w:after="0" w:line="135" w:lineRule="exact"/>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hedges(a)</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swaps(b)</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swaps(c)</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hedges(a)</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8"/>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derivative financial instruments(d)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175,028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51"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gains/losses included in our condensed consolidated income statements and statements of comprehensive income for the three and nine months ended September 30, 2025 and 2024 were insignificant, unless otherwise noted. Amounts accrued for interest payments in a net receivable position are included in Other assets. Amounts accrued for interest payments in a net payable position are included in Other liabilities.</w:t>
      </w:r>
    </w:p>
    <w:p>
      <w:pPr>
        <w:ind w:left="340" w:hanging="333"/>
        <w:spacing w:after="0" w:line="254"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fair value hedges in the condensed consolidated income statements includes insignificant losses for the three months ended September 30, 2025 and 2024 and losses of $164 million and an insignificant amount for the nine months ended September 30, 2025 and 2024.</w:t>
      </w:r>
    </w:p>
    <w:p>
      <w:pPr>
        <w:jc w:val="both"/>
        <w:ind w:left="340" w:hanging="333"/>
        <w:spacing w:after="0" w:line="254" w:lineRule="auto"/>
        <w:tabs>
          <w:tab w:leader="none" w:pos="331"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effect of foreign currency cash flow hedges recognized in Accumulated other comprehensive loss in the condensed consolidated statements of comprehensive income includes insignificant losses and gains </w:t>
      </w:r>
      <w:r>
        <w:rPr>
          <w:rFonts w:ascii="Times New Roman" w:cs="Times New Roman" w:eastAsia="Times New Roman" w:hAnsi="Times New Roman"/>
          <w:sz w:val="17"/>
          <w:szCs w:val="17"/>
          <w:color w:val="auto"/>
        </w:rPr>
        <w:t>of</w:t>
      </w:r>
      <w:r>
        <w:rPr>
          <w:rFonts w:ascii="Times New Roman" w:cs="Times New Roman" w:eastAsia="Times New Roman" w:hAnsi="Times New Roman"/>
          <w:sz w:val="16"/>
          <w:szCs w:val="16"/>
          <w:color w:val="auto"/>
        </w:rPr>
        <w:t xml:space="preserve"> $246 million for the three months ended September 30, 2025 and 2024, and gains of $578 million and insignificant gains for the nine months ended September 30, 2025 and 2024. The effect of foreign currency cash flow hedges reclassified from Accumulated other comprehensive loss in the condensed consolidated statements of comprehensive income into income includes insignificant losses and gains of $291 million for the three months ended September 30, 2025 and 2024 and gains of $675 million and insignificant gains for the nine months ended September 30, 2025 and 2024. All amounts reclassified from Accumulated other comprehensive loss were recorded to GM Financial interest, operating and other expenses in the condensed consolidated income statements. During the next 12 months, we expect insignificant gains that will be reclassified into pre-tax earnings from foreign currency cash flow hedges designated for hedge accounting.</w:t>
      </w:r>
    </w:p>
    <w:p>
      <w:pPr>
        <w:spacing w:after="0" w:line="5" w:lineRule="exact"/>
        <w:rPr>
          <w:rFonts w:ascii="Times New Roman" w:cs="Times New Roman" w:eastAsia="Times New Roman" w:hAnsi="Times New Roman"/>
          <w:sz w:val="16"/>
          <w:szCs w:val="16"/>
          <w:color w:val="auto"/>
        </w:rPr>
      </w:pPr>
    </w:p>
    <w:p>
      <w:pPr>
        <w:jc w:val="both"/>
        <w:ind w:left="340" w:hanging="333"/>
        <w:spacing w:after="0" w:line="254"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derivative instruments that are classified as assets or liabilities available for offset was $584 million at September 30, 2025 and $693 million at December 31, 2024. GM Financial held $70 million and $190 million of collateral from counterparties available for netting against GM Financial's asset positions and posted $628 million and $1.2 billion of collateral to counterparties available for netting against GM Financial's liability positions at September 30, 2025 and December 31, 2024.</w:t>
      </w:r>
    </w:p>
    <w:p>
      <w:pPr>
        <w:spacing w:after="0" w:line="220"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The following amounts were recorded in the condensed consolidated balance sheets related to items designated and qualifying as hedged items in fair value hedging relationships: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304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8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14"/>
        </w:trPr>
        <w:tc>
          <w:tcPr>
            <w:tcW w:w="3040" w:type="dxa"/>
            <w:vAlign w:val="bottom"/>
          </w:tcPr>
          <w:p>
            <w:pPr>
              <w:spacing w:after="0"/>
              <w:rPr>
                <w:sz w:val="9"/>
                <w:szCs w:val="9"/>
                <w:color w:val="auto"/>
              </w:rPr>
            </w:pPr>
          </w:p>
        </w:tc>
        <w:tc>
          <w:tcPr>
            <w:tcW w:w="1860" w:type="dxa"/>
            <w:vAlign w:val="bottom"/>
            <w:tcBorders>
              <w:top w:val="single" w:sz="8" w:color="auto"/>
            </w:tcBorders>
            <w:gridSpan w:val="3"/>
          </w:tcPr>
          <w:p>
            <w:pPr>
              <w:jc w:val="center"/>
              <w:ind w:right="120"/>
              <w:spacing w:after="0" w:line="114"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jc w:val="center"/>
              <w:ind w:right="61"/>
              <w:spacing w:after="0" w:line="114" w:lineRule="exact"/>
              <w:rPr>
                <w:sz w:val="20"/>
                <w:szCs w:val="20"/>
                <w:color w:val="auto"/>
              </w:rPr>
            </w:pPr>
            <w:r>
              <w:rPr>
                <w:rFonts w:ascii="Times New Roman" w:cs="Times New Roman" w:eastAsia="Times New Roman" w:hAnsi="Times New Roman"/>
                <w:sz w:val="13"/>
                <w:szCs w:val="13"/>
                <w:b w:val="1"/>
                <w:bCs w:val="1"/>
                <w:color w:val="auto"/>
                <w:w w:val="95"/>
              </w:rPr>
              <w:t>Cumulative Amount of Fair Value</w:t>
            </w:r>
          </w:p>
        </w:tc>
        <w:tc>
          <w:tcPr>
            <w:tcW w:w="100" w:type="dxa"/>
            <w:vAlign w:val="bottom"/>
          </w:tcPr>
          <w:p>
            <w:pPr>
              <w:spacing w:after="0"/>
              <w:rPr>
                <w:sz w:val="9"/>
                <w:szCs w:val="9"/>
                <w:color w:val="auto"/>
              </w:rPr>
            </w:pPr>
          </w:p>
        </w:tc>
        <w:tc>
          <w:tcPr>
            <w:tcW w:w="1860" w:type="dxa"/>
            <w:vAlign w:val="bottom"/>
            <w:tcBorders>
              <w:top w:val="single" w:sz="8" w:color="auto"/>
            </w:tcBorders>
            <w:gridSpan w:val="3"/>
          </w:tcPr>
          <w:p>
            <w:pPr>
              <w:jc w:val="center"/>
              <w:ind w:right="120"/>
              <w:spacing w:after="0" w:line="114" w:lineRule="exact"/>
              <w:rPr>
                <w:sz w:val="20"/>
                <w:szCs w:val="20"/>
                <w:color w:val="auto"/>
              </w:rPr>
            </w:pPr>
            <w:r>
              <w:rPr>
                <w:rFonts w:ascii="Times New Roman" w:cs="Times New Roman" w:eastAsia="Times New Roman" w:hAnsi="Times New Roman"/>
                <w:sz w:val="13"/>
                <w:szCs w:val="13"/>
                <w:b w:val="1"/>
                <w:bCs w:val="1"/>
                <w:color w:val="auto"/>
                <w:w w:val="96"/>
              </w:rPr>
              <w:t>Carrying Amount of Hedged</w:t>
            </w:r>
          </w:p>
        </w:tc>
        <w:tc>
          <w:tcPr>
            <w:tcW w:w="14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jc w:val="right"/>
              <w:ind w:right="101"/>
              <w:spacing w:after="0" w:line="114" w:lineRule="exact"/>
              <w:rPr>
                <w:sz w:val="20"/>
                <w:szCs w:val="20"/>
                <w:color w:val="auto"/>
              </w:rPr>
            </w:pPr>
            <w:r>
              <w:rPr>
                <w:rFonts w:ascii="Times New Roman" w:cs="Times New Roman" w:eastAsia="Times New Roman" w:hAnsi="Times New Roman"/>
                <w:sz w:val="13"/>
                <w:szCs w:val="13"/>
                <w:b w:val="1"/>
                <w:bCs w:val="1"/>
                <w:color w:val="auto"/>
                <w:w w:val="96"/>
              </w:rPr>
              <w:t>Cumulative Amount of Fair Value</w:t>
            </w:r>
          </w:p>
        </w:tc>
      </w:tr>
      <w:tr>
        <w:trPr>
          <w:trHeight w:val="166"/>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Hedging Adjustments(a)</w:t>
            </w: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Items</w:t>
            </w:r>
          </w:p>
        </w:tc>
        <w:tc>
          <w:tcPr>
            <w:tcW w:w="140" w:type="dxa"/>
            <w:vAlign w:val="bottom"/>
          </w:tcPr>
          <w:p>
            <w:pPr>
              <w:spacing w:after="0"/>
              <w:rPr>
                <w:sz w:val="14"/>
                <w:szCs w:val="14"/>
                <w:color w:val="auto"/>
              </w:rPr>
            </w:pPr>
          </w:p>
        </w:tc>
        <w:tc>
          <w:tcPr>
            <w:tcW w:w="2040" w:type="dxa"/>
            <w:vAlign w:val="bottom"/>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Hedging Adjustments(a)</w:t>
            </w:r>
          </w:p>
        </w:tc>
      </w:tr>
      <w:tr>
        <w:trPr>
          <w:trHeight w:val="22"/>
        </w:trPr>
        <w:tc>
          <w:tcPr>
            <w:tcW w:w="30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2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unsecured debt</w:t>
            </w: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1,287</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1,281</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$472 million and $719 million of unamortized losses remaining on hedged items for which hedge accounting has been discontinued at September 30, 2025 and December 31, 2024.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Product Warranty and Related Liabilities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4"/>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6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15"/>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and related liabilities</w:t>
            </w: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beginning of period</w:t>
            </w: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940" w:type="dxa"/>
            <w:vAlign w:val="bottom"/>
            <w:gridSpan w:val="3"/>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recall campaigns</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 – product warranty</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(3,206)</w:t>
            </w:r>
          </w:p>
        </w:tc>
        <w:tc>
          <w:tcPr>
            <w:tcW w:w="0" w:type="dxa"/>
            <w:vAlign w:val="bottom"/>
          </w:tcPr>
          <w:p>
            <w:pPr>
              <w:spacing w:after="0"/>
              <w:rPr>
                <w:sz w:val="1"/>
                <w:szCs w:val="1"/>
                <w:color w:val="auto"/>
              </w:rPr>
            </w:pPr>
          </w:p>
        </w:tc>
      </w:tr>
      <w:tr>
        <w:trPr>
          <w:trHeight w:val="228"/>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pre-existing warranties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currency and other</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at end of period</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10,660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Supplier recoveries balance at end of period(a)</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net of supplier recoveries at end of period</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10,147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68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(a)  The current portion of supplier recoveries is recorded in Accounts and notes receivable, net of allowance and the non-current portion is recorded in Other assets.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gridSpan w:val="4"/>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60" w:type="dxa"/>
            <w:vAlign w:val="bottom"/>
            <w:gridSpan w:val="4"/>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gridSpan w:val="4"/>
          </w:tcPr>
          <w:p>
            <w:pPr>
              <w:spacing w:after="0"/>
              <w:rPr>
                <w:sz w:val="2"/>
                <w:szCs w:val="2"/>
                <w:color w:val="auto"/>
              </w:rPr>
            </w:pPr>
          </w:p>
        </w:tc>
        <w:tc>
          <w:tcPr>
            <w:tcW w:w="1500" w:type="dxa"/>
            <w:vAlign w:val="bottom"/>
            <w:gridSpan w:val="5"/>
          </w:tcPr>
          <w:p>
            <w:pPr>
              <w:spacing w:after="0"/>
              <w:rPr>
                <w:sz w:val="2"/>
                <w:szCs w:val="2"/>
                <w:color w:val="auto"/>
              </w:rPr>
            </w:pPr>
          </w:p>
        </w:tc>
        <w:tc>
          <w:tcPr>
            <w:tcW w:w="1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3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 warranty expense, net of recoveries</w:t>
            </w: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940" w:type="dxa"/>
            <w:vAlign w:val="bottom"/>
            <w:gridSpan w:val="3"/>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Supplier recoveries accrued in period</w:t>
            </w: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and other</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expense, net of supplier recoveries</w:t>
            </w: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estimates related to reasonably possible losses in excess of amounts accrued for recall campaigns, refer to Note 14 for additional information.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Pensions and Other Postretirement Benefits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6"/>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6"/>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40" w:type="dxa"/>
            <w:vAlign w:val="bottom"/>
          </w:tcPr>
          <w:p>
            <w:pPr>
              <w:spacing w:after="0"/>
              <w:rPr>
                <w:sz w:val="20"/>
                <w:szCs w:val="20"/>
                <w:color w:val="auto"/>
              </w:rPr>
            </w:pPr>
          </w:p>
        </w:tc>
        <w:tc>
          <w:tcPr>
            <w:tcW w:w="20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5"/>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4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8"/>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6"/>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OPEB</w:t>
            </w:r>
          </w:p>
        </w:tc>
        <w:tc>
          <w:tcPr>
            <w:tcW w:w="0" w:type="dxa"/>
            <w:vAlign w:val="bottom"/>
          </w:tcPr>
          <w:p>
            <w:pPr>
              <w:spacing w:after="0"/>
              <w:rPr>
                <w:sz w:val="1"/>
                <w:szCs w:val="1"/>
                <w:color w:val="auto"/>
              </w:rPr>
            </w:pPr>
          </w:p>
        </w:tc>
      </w:tr>
      <w:tr>
        <w:trPr>
          <w:trHeight w:val="25"/>
        </w:trPr>
        <w:tc>
          <w:tcPr>
            <w:tcW w:w="45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680" w:type="dxa"/>
            <w:vAlign w:val="bottom"/>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7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8"/>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170</w:t>
            </w:r>
          </w:p>
        </w:tc>
        <w:tc>
          <w:tcPr>
            <w:tcW w:w="0" w:type="dxa"/>
            <w:vAlign w:val="bottom"/>
          </w:tcPr>
          <w:p>
            <w:pPr>
              <w:spacing w:after="0"/>
              <w:rPr>
                <w:sz w:val="1"/>
                <w:szCs w:val="1"/>
                <w:color w:val="auto"/>
              </w:rPr>
            </w:pPr>
          </w:p>
        </w:tc>
      </w:tr>
      <w:tr>
        <w:trPr>
          <w:trHeight w:val="228"/>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(gains) losses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pension and OPEB (income) expense</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7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177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 non-service cost components of net periodic pension and other postretirement benefits (OPEB) income presented in Interest income and other non-operating income, net are insignificant in the three months ended September 30, 2025 and 2024 and $186 million and $149 million in the nine months ended September 30, 2025 and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Contingencies and Uncertainties</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Litigation-Related Liability and Indirect Tax-Related Matters </w:t>
      </w:r>
      <w:r>
        <w:rPr>
          <w:rFonts w:ascii="Times New Roman" w:cs="Times New Roman" w:eastAsia="Times New Roman" w:hAnsi="Times New Roman"/>
          <w:sz w:val="18"/>
          <w:szCs w:val="18"/>
          <w:color w:val="auto"/>
        </w:rPr>
        <w:t>In the normal course of our business, we are named from time to time as a defendant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September 30, 2025 and December 31, 2024, we had accruals of $1.4 billion and $1.1 billion for such legal actions in Accrued liabilities and Other liabilities. In many matters, it is inherently difficult to determine whether a loss is probable or reasonably possible or to estimate the size or range of the potential loss. Some matters may involve compensatory, punitive or other treble damage claims, environmental remediation programs or sanctions that, if granted, could require us to pay damages or make other expenditures in amounts that cannot be reasonably estimated. Accordingly, while we believe that appropriate accruals have been established for losses that are probable and can be reasonably estimated, it is possible that adverse outcomes from such proceedings could exceed the amounts accrued by an amount that could be material to our results of operations or cash flows in any particular reporting period.</w:t>
      </w:r>
    </w:p>
    <w:p>
      <w:pPr>
        <w:spacing w:after="0" w:line="21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Opel/Vauxhall Sale </w:t>
      </w:r>
      <w:r>
        <w:rPr>
          <w:rFonts w:ascii="Times New Roman" w:cs="Times New Roman" w:eastAsia="Times New Roman" w:hAnsi="Times New Roman"/>
          <w:sz w:val="18"/>
          <w:szCs w:val="18"/>
          <w:color w:val="auto"/>
        </w:rPr>
        <w:t>In 2017, we sold the Opel and Vauxhall businesses and certain other assets in Europe (the Opel/Vauxhall Business) to PSA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now Stellantis N.V. (Stellantis),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General Motors Holdings LLC agreed, on behalf of our wholly owned subsidiary (the Seller), to indemnify Stellantis for certain losses resulting from any inaccuracy of the representations and warranties or breaches of our covenants included in the Agreement and for certain other liabilities, including costs related to certain emissions claims, product liabilities and recalls. We are unable to estimate any reasonably possible material loss or range of loss that may result from these actions either directly or through an indemnification claim from Stellantis. Certain of these indemnification obligations are subject to time limitations, thresholds and/or caps as to the amount of required payments.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Currently, various consumer lawsuits have been filed against the Seller and Stellantis in Germany, the United Kingdom, Austria and the Netherlands alleging that Opel and Vauxhall vehicles sold by the Seller violated applicable emissions standards. In addition, we indemnified Stellantis for an immaterial amount for certain recalls that Stellantis has conducted or will conduct, including recalls in certain geographic locations that Stellantis intends to conduct related to Takata Corporation (Takata) inflators in legacy Opel vehicles. We may in the future be required to further indemnify Stellantis relating to its Takata recalls, but we believe such further indemnification to be remote at this time.</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Litigation-Related Liabilities </w:t>
      </w:r>
      <w:r>
        <w:rPr>
          <w:rFonts w:ascii="Times New Roman" w:cs="Times New Roman" w:eastAsia="Times New Roman" w:hAnsi="Times New Roman"/>
          <w:sz w:val="18"/>
          <w:szCs w:val="18"/>
          <w:color w:val="auto"/>
        </w:rPr>
        <w:t>Various other legal actions, including class actions, governmental investigations, claims and proceedings are pending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us or our related companies or joint ventures, including, but not limited to, matters arising out of alleged product defects; employment-related matters; product and workplace safety, vehicle emissions and fuel economy regulations; product warranties; financial services; dealer, supplier and other contractual relationships; competition issues; product design, manufacture and performance; consumer protection laws; and environmental protection laws, including laws regulating air emissions, water discharges, waste management and environmental remediation from stationary sources. We also from time to time receive subpoenas and other inquiries or requests for information from agencies or other representatives of U.S. federal, state and foreign governments on a variety of issues.</w:t>
      </w:r>
    </w:p>
    <w:p>
      <w:pPr>
        <w:spacing w:after="0" w:line="211"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There are several putative class actions pending against GM in the U.S. and Canada alleging that various vehicles sold, including model year 2011–2016 Duramax Diesel Chevrolet Silverado and GMC Sierra vehicles, violate federal and state laws because they release more emissions than a reasonable customer would expect. In July 2023, the two putative class actions pending in the U.S. were dismissed with prejudice and judgment entered in favor of GM, and plaintiffs appealed the dismissal. In August 2024, the Sixth Circuit reversed in part and affirmed in part the dismissal in one of the cases. In June 2025, a different panel in the second case affirmed in part, vacated in part and remanded for further proceedings. We are currently unable to estimate any reasonably possible material loss or range of loss that may result from these actions. GM has also faced a series of additional lawsuits in the U.S. based on these allegations, including a shareholder demand lawsuit that remains pending.</w:t>
      </w:r>
    </w:p>
    <w:p>
      <w:pPr>
        <w:spacing w:after="0" w:line="213"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There is one putative class action and one certified class action pending against GM in the U.S. alleging that various 2015–2022 model year vehicles are defective because they are equipped with faulty 8-speed transmissions. In March 2023, the judge overseeing the class action concerning 2015–2019 model year vehicles certified 26 state subclasses and GM appealed. In June 2025, the Sixth Circuit decertified all 26 state subclasses and remanded to the district court for further proceedings. The putative class action concerning 2020–2022 model year vehicles is pending in front of a different judge that has not yet addressed class certification. We have similar cases pending in Canada concerning these vehicles. We are currently unable to estimate any reasonably possible or probable material loss or range of loss that may result from these proceedings in excess of the immaterial amounts accrued.</w:t>
      </w:r>
    </w:p>
    <w:p>
      <w:pPr>
        <w:spacing w:after="0" w:line="2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color w:val="auto"/>
        </w:rPr>
        <w:t xml:space="preserve">Takata Matters </w:t>
      </w:r>
      <w:r>
        <w:rPr>
          <w:rFonts w:ascii="Times New Roman" w:cs="Times New Roman" w:eastAsia="Times New Roman" w:hAnsi="Times New Roman"/>
          <w:sz w:val="17"/>
          <w:szCs w:val="17"/>
          <w:color w:val="auto"/>
        </w:rPr>
        <w:t>In November 2020, the National Highway Traffic Safety Administration (NHTSA) directed that we replace the Takata airbag inflators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At September 30, 2025, our remaining accrual for these matters was $394 million, and we believe the currently accrued amount remains reasonable.</w:t>
      </w:r>
    </w:p>
    <w:p>
      <w:pPr>
        <w:spacing w:after="0" w:line="197"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186"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and Canada, arising out of allegations that airbag inflators manufactured by Takata are defective. In March 2023, a U.S. court overseeing one of the putative class actions issued a final judgment in favor of GM on all claims in eight states at issue in that proceeding. In August 2023, the same U.S. court granted class certification as to a Louisiana claim, but denied certification as to seven other states. At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stage of these proceedings, we are unable to provide an estimate of the amounts or range of reasonably possible material loss.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ARC Matters </w:t>
      </w:r>
      <w:r>
        <w:rPr>
          <w:rFonts w:ascii="Times New Roman" w:cs="Times New Roman" w:eastAsia="Times New Roman" w:hAnsi="Times New Roman"/>
          <w:sz w:val="18"/>
          <w:szCs w:val="18"/>
          <w:color w:val="auto"/>
        </w:rPr>
        <w:t>In May 2023, we initiated a voluntary recall covering nearly one million 2014–2017 model year Buick Enclave, Chevrolet Traverse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GMC Acadia SUVs equipped with driver front airbag inflators manufactured by ARC Automotive, Inc. (ARC), and accrued an insignificant amount for the expected costs of the recall. As part of its ongoing investigation into ARC airbag inflators, on September 5, 2023, NHTSA issued an Initial Decision that approximately 52 million frontal driver and passenger airbag inflators manufactured by ARC and Delphi Automotive Systems LLC over a roughly 20-year period contain a safety-related defect and must be recalled. On July 31, 2024, NHTSA issued a Supplemental Initial Decision reaffirming its September 2023 Initial Decision and reopening the administrative record to additional public comments. The Initial Decision and the Supplemental Initial Decision are primarily based on the occurrence of seven field ruptures involving ARC-manufactured frontal airbag inflators. We are continuing to investigate the cause of the ruptures in GM vehicles in connection with our existing recalls. On December 13, 2024, NHTSA issued a memorandum indicating that, based on the public comments it had received to date, the agency would be "conducting additional investigation of the issues related to the Supplemental Initial Decision." As indicated in GM's filed comments in the record, we do not believe that further GM vehicle recalls are necessary or appropriate at this time. However, depending on the outcome of the dispute between NHTSA and ARC, and the possibility of additional recalls, the cost of which may not be fully recoverable, it is reasonably possible that the costs associated with these matters in excess of amounts accrued could be material, but we are unable to provide an estimate of the amounts or range of reasonably possible material loss at this time.</w:t>
      </w:r>
    </w:p>
    <w:p>
      <w:pPr>
        <w:spacing w:after="0" w:line="21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There are several putative class actions that have been filed against GM, including in the U.S., Canada and Israel, arising out of allegations that airbag inflators manufactured by ARC are defective. At this stage of these proceedings, we are unable to provide an estimate of the amounts or range of reasonably possible material loss.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Chevrolet Bolt Recall </w:t>
      </w:r>
      <w:r>
        <w:rPr>
          <w:rFonts w:ascii="Times New Roman" w:cs="Times New Roman" w:eastAsia="Times New Roman" w:hAnsi="Times New Roman"/>
          <w:sz w:val="18"/>
          <w:szCs w:val="18"/>
          <w:color w:val="auto"/>
        </w:rPr>
        <w:t>In July 2021, we initiated a voluntary recall for certain 2017–2019 model year Chevrolet Bolt EVs due to the risk that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defects present in the same battery cell could cause a high voltage battery fire in certain of these vehicles. After further investigation into the manufacturing processes at our battery supplier, LGES, and disassembling battery packs, we determined that the risk of battery cell defects was not confined to the initial recall population. As a result, in August 2021, we expanded the recall to include all 2017–2022 model year Chevrolet Bolt EV and Chevrolet Bolt Electric Utility Vehicles (EUVs). LG Electronics, Inc. and LGES (collectively, LG), have agreed to reimburse GM for certain costs and expenses associated with the recall. The commercial negotiations with LG also resolved other commercial matters associated with our Ultium Cells Holdings LLC joint venture with LGES. Accordingly, as of September 30, 2025, we had accrued a total of $2.7 billion and recognized receivables totaling $1.7 billion in connection with these matters. At September 30, 2025, our remaining accrual for these matters was $0.3 billion. These charges reflect our current best estimate for the cost of the recall remedy, which includes non-traditional recall remedies provided by GM to enhance customer satisfaction. The actual costs of the recall could be materially higher or lower.</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addition, putative class actions have been filed against GM in the U.S. and Canada alleging that the batteries contained in the Bolt EVs and EUVs included in the recall population are defective. GM has agreed to settle the U.S. class actions for an immaterial amount and the settlement agreement is pending final court approval.</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Privacy and Consumer Protection Matters </w:t>
      </w:r>
      <w:r>
        <w:rPr>
          <w:rFonts w:ascii="Times New Roman" w:cs="Times New Roman" w:eastAsia="Times New Roman" w:hAnsi="Times New Roman"/>
          <w:sz w:val="18"/>
          <w:szCs w:val="18"/>
          <w:color w:val="auto"/>
        </w:rPr>
        <w:t>There are putative class actions pending against GM in federal courts in the U.S. alleging violations of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federal privacy and consumer protection laws related to the collection and use of certain consumer data obtained through our former OnStar Smart Driver product. In June 2024, those class actions were consolidated into a multi-district litigation proceeding in the Northern District of Georgia. In addition, several states have filed enforcement lawsuits against us, and other state attorneys general have opened investigations or made inquiries of us relating to these alleged consumer protection and privacy issues. The Company resolved a Federal Trade Commission investigation through an agreed administrative consent order. The Company is defending litigation filed against us and fully cooperating with agencies and attorneys general that are conducting investigations. In the three months ended September 30, 2025, we accrued $0.3 billion in connection with these investigations and litigations. At this stage, we are not able to estimate any reasonably possible or probable material loss or range of loss that may result from these actions beyond this accrual.</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Product Liability and Breach of Warranty </w:t>
      </w:r>
      <w:r>
        <w:rPr>
          <w:rFonts w:ascii="Times New Roman" w:cs="Times New Roman" w:eastAsia="Times New Roman" w:hAnsi="Times New Roman"/>
          <w:sz w:val="18"/>
          <w:szCs w:val="18"/>
          <w:color w:val="auto"/>
        </w:rPr>
        <w:t>We record liabilities related to product liability claims in Accrued liabilities and Other liabilities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judgment against us involving our products for actual damages will be adequately covered by our recorded accruals and, where applicable, excess liability insurance coverage.</w:t>
      </w:r>
    </w:p>
    <w:p>
      <w:pPr>
        <w:spacing w:after="0" w:line="18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are also subject to breach of warranty claims resulting from state and federal consumer protection laws that allow consumers to hold manufacturers legally responsible in situations where a product cannot be conformed to its warranties. Consumer relief can include, but is not limited to, a refund, a replacement vehicle, a recovery of legal and administrative fees, or other monetary damages. Losses that we believe to be probable and estimable based on evaluation of historical transactions are included in Accrued liabilities and Other liabilities and are reviewed regularly for adequacy. We believe that any judgment against us involving our warranties for actual damages will be adequately covered by our recorded accruals.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Guarantees </w:t>
      </w:r>
      <w:r>
        <w:rPr>
          <w:rFonts w:ascii="Times New Roman" w:cs="Times New Roman" w:eastAsia="Times New Roman" w:hAnsi="Times New Roman"/>
          <w:sz w:val="18"/>
          <w:szCs w:val="18"/>
          <w:color w:val="auto"/>
        </w:rPr>
        <w:t>We enter into indemnification agreements for liability claims involving products manufactured primarily by certain joint ventures.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guarantees terminate in years ranging from 2025 to 2030, or upon the occurrence of specific events or are ongoing. We believe that the related potential costs incurred are adequately covered by our recorded accruals, which are insignificant. The maximum future undiscounted payments mainly based on royalties received associated with vehicles sold to date were $4.0 billion and $3.7 billion for these guarantees at September 30, 2025 and December 31, 2024, the majority of which relates to the indemnification agreements.</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4"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Supplier Finance Programs </w:t>
      </w:r>
      <w:r>
        <w:rPr>
          <w:rFonts w:ascii="Times New Roman" w:cs="Times New Roman" w:eastAsia="Times New Roman" w:hAnsi="Times New Roman"/>
          <w:sz w:val="18"/>
          <w:szCs w:val="18"/>
          <w:color w:val="auto"/>
        </w:rPr>
        <w:t>Third-party finance providers offer certain suppliers the option for payment in advance of their invoice due date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programs that we established. We retain our obligation to the participating suppliers, and we make payments directly to the third-party finance providers on the original invoice due date pursuant to the original invoice terms. There are no assets pledged as security or other forms of guarantees provided for committed payments. Our outstanding eligible balances under our supplier finance programs were $1.7 billion and $0.9 billion at September 30, 2025 and December 31, 2024, which are recorded in Accounts payable (principally trade).</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Indirect Tax-Related Matters </w:t>
      </w:r>
      <w:r>
        <w:rPr>
          <w:rFonts w:ascii="Times New Roman" w:cs="Times New Roman" w:eastAsia="Times New Roman" w:hAnsi="Times New Roman"/>
          <w:sz w:val="18"/>
          <w:szCs w:val="18"/>
          <w:color w:val="auto"/>
        </w:rPr>
        <w:t>Tax matters not subject to the provision of Accounting Standards Codification 740, "Income Taxes" that pertain to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added taxes, customs, duties, sales tax, property taxes and other non-income tax exposures are evaluated globally. For indirect tax-related matters, we estimate our reasonably possible loss in excess of amounts accrued to be up to $6.7 billion at September 30, 2025. Certain indirect tax-related administrative proceedings may require that we deposit funds in escrow or provide an alternative form of security. We are not able to estimate the timing or amount of potential deposits and currently believe any required amounts will not be material.</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Emissions-Related Uncertainties </w:t>
      </w:r>
      <w:r>
        <w:rPr>
          <w:rFonts w:ascii="Times New Roman" w:cs="Times New Roman" w:eastAsia="Times New Roman" w:hAnsi="Times New Roman"/>
          <w:sz w:val="18"/>
          <w:szCs w:val="18"/>
          <w:color w:val="auto"/>
        </w:rPr>
        <w:t>We are subject to state and federal governmental regulations, as well as regulations from governments outside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relating to fuel economy standards and greenhouse gas (GHG) emissions. There are several methods to comply with these regulations that we have utilized and may continue to utilize, including, but not limited to, increasing production and sales of certain vehicles, such as EVs; curtailing production of certain vehicles, such as internal combustion engine (ICE) vehicles; certain technology changes; and/or the purchase of emission credits from third parties. Recently, the U.S. Government began to take actions to reduce the stringency and/or scope of these regulations. During the three months ended September 30, 2025, the One Big Beautiful Bill Act (the Act) set the civil penalties for noncompliance with corporate average fuel economy (CAFE) standards to zero, and NHTSA submitted a proposal to amend CAFE standards to the Office of Management and Budget for review. The Environmental Protection Agency (EPA) also proposed to remove GHG regulations for light-, medium- and heavy-duty on-highway vehicles on a retrospective and prospective basis. We expect any final action to alter U.S. GHG regulations to be subject to legal challenges that could result in the revised rules being vacated until conclusion of the legal proceedings, which is unlikely to occur in the near term.</w:t>
      </w:r>
    </w:p>
    <w:p>
      <w:pPr>
        <w:spacing w:after="0" w:line="214"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Under current regulations, shortfalls to certain emissions standards could result in legal or regulatory proceedings, the recall or decertification of one or more of our products, negotiated remedial actions, fines and penalties, and/or restricted product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offerings. Based on our current and forecasted sales mix, we currently have, and expect to continue to have shortfalls in complying with current U.S. regulations. We recorded compliance-related costs of $0.3 billion and $0.2 billion in the three months ended September 30, 2025 and 2024 and $0.7 billion and $0.6 billion in the nine months ended September 30, 2025 and 2024 in Automotive and other cost of sales. Our compliance-related costs in the three and nine months ended September 30, 2025 include an insignificant charge to write off acquired CAFE credits. Additional compliance costs, under current regulations, including potential fines and penalties, are not reasonably estimable and could be substantial. At September 30, 2025, the carrying amount of our acquired credits was $1.2 billion, most of which may be subject to impairment in the near term should the EPA remove GHG regulations.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three months ended September 30, 2025 and 2024, Income tax expense of $127 million and $709 million was primarily due to tax expense attributable to entities included in our effective tax rate calculation. In the nine months ended September 30, 2025 and 2024, Income tax expense of $1.3 billion and $2.2 billion was primarily due to tax expense attributable to entities included in our effective tax rate calculation.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Restructuring and Other Initiatives</w:t>
      </w:r>
    </w:p>
    <w:p>
      <w:pPr>
        <w:spacing w:after="0" w:line="25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2" w:lineRule="exact"/>
        <w:rPr>
          <w:sz w:val="20"/>
          <w:szCs w:val="20"/>
          <w:color w:val="auto"/>
        </w:rPr>
      </w:pPr>
    </w:p>
    <w:p>
      <w:pPr>
        <w:jc w:val="both"/>
        <w:ind w:right="20" w:firstLine="161"/>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restructuring and other initiatives, including postemployment benefit reserves and charges: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6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interest accretion and other</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Revisions to estimates and effect of foreign currency</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20" w:firstLine="161"/>
        <w:spacing w:after="0" w:line="264" w:lineRule="auto"/>
        <w:rPr>
          <w:sz w:val="20"/>
          <w:szCs w:val="20"/>
          <w:color w:val="auto"/>
        </w:rPr>
      </w:pPr>
      <w:r>
        <w:rPr>
          <w:rFonts w:ascii="Times New Roman" w:cs="Times New Roman" w:eastAsia="Times New Roman" w:hAnsi="Times New Roman"/>
          <w:sz w:val="18"/>
          <w:szCs w:val="18"/>
          <w:color w:val="auto"/>
        </w:rPr>
        <w:t>We recorded no charges in the three and nine months ended September 30, 2025 and incurred $708 million in cash outflows in the nine months ended September 30, 2025 resulting from strategic restructuring activities in GMNA related to Buick dealerships. Cumulatively, we have incurred charges of approximately $2.0 billion and cash outflows of $2.0 billion related to this initiative, which is substantially complete as of September 30,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1" w:lineRule="auto"/>
        <w:rPr>
          <w:sz w:val="20"/>
          <w:szCs w:val="20"/>
          <w:color w:val="auto"/>
        </w:rPr>
      </w:pPr>
      <w:r>
        <w:rPr>
          <w:rFonts w:ascii="Times New Roman" w:cs="Times New Roman" w:eastAsia="Times New Roman" w:hAnsi="Times New Roman"/>
          <w:sz w:val="18"/>
          <w:szCs w:val="18"/>
          <w:color w:val="auto"/>
        </w:rPr>
        <w:t>We have made significant investments and contractual commitments in the development of EVs to help our vehicle fleet comply with emissions and fuel economy regulations that were scheduled to become increasingly stringent. Following recent U.S. Government policy changes, including the termination of certain consumer tax incentives for EV purchases, we expect the adoption rate of EVs to slow. These developments have caused us to reassess our EV capacity and manufacturing footprint. Based on a planned strategic realignment of our EV capacity and manufacturing footprint to expected consumer demand, we recorded charges of $1.6 billion in GMNA in the three months ended September 30, 2025. These charges include non-cash impairment and other charges of $1.2 billion, which are not reflected in the table above, resulting from adjustments to our EV capacity. In addition, we incurred charges of $404 million, of which $356 million are reflected in the table above, primarily related to contract cancellation fees and commercial settlements associated with EV-related investments that will have a cash impact when paid. The non-cash impairment charges include the cost of writing down EV-related tooling and equipment to its nominal salvage value. The reassessment of our EV capacity and manufacturing footprint, including our investments in our battery component manufacturing, is ongoing. In October 2025, we decided to stop producing our BrightDrop EVs. Our CAMI Assembly facility in Ingersoll, Ontario, Canada will be assessed for future opportunities. Because of this decision, we expect to record impairments and other charges in the three months ended December 31, 2025 that are not currently estimable. It is also reasonably possible that we will recognize other future material cash and non-cash charges as a result of our ongoing reassessment of our EV capacity.</w:t>
      </w:r>
    </w:p>
    <w:p>
      <w:pPr>
        <w:spacing w:after="0" w:line="22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October 2023, Cruise voluntarily paused all of its driverless, supervised and manual autonomous vehicle (AV) operations in the U.S. while it examined its processes, systems and tools. In conjunction with these actions, Cruise recorded charges before noncontrolling interest of $529 million in the year ended December 31, 2023, which included non-cash restructuring charges of $250 million. In June 2024, Cruise indefinitely delayed the Cruise Origin and recognized primarily non-cash charges before noncontrolling interest of $631 million. In December 2024, in conjunction with GM's announcement of its decision to no longer fund Cruise's robotaxi development work and its plans to combine the Cruise and GM technical efforts to advance autonomous and assisted driving, Cruise recorded net charges before noncontrolling interest of $522 million, which included net non-cash restructuring charges of $173 million. Cumulatively, we have incurred $577 million of cash outflows resulting from these restructuring activities and have a remaining accrual of $137 million as of September 30, 2025. We expect to complete these restructuring activities by the end of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Stockholders' Equity and Noncontrolling Interests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have 2.0 billion shares of preferred stock and 5.0 billion shares of common stock authorized for issuance. We had no shares of preferred stock issued and outstanding at September 30, 2025 and December 31, 2024. We had 933 million and 995 million shares of common stock issued and outstanding at September 30, 2025 and December 31, 2024.</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Holders of our common stock are entitled to dividends at the sole discretion of our Board of Directors. Our dividends declared per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were $0.15 and $0.42 for the three and nine months ended September 30, 2025 and $0.12 and $0.36 for the three and nine months ended September 30, 2024. Our total dividends paid on common stock were $141 million and $401 million for the three and nine months ended September 30, 2025 and $133 million and $407 million for the three and nine months ended September 30, 2024.</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February 2025, our Board of Directors increased the capacity under our existing share repurchase program by $6.0 billion to an aggregate of $6.3 billion and approved an accelerated share repurchase (ASR) program to repurchase an aggregate amount of $2.0 billion of our common stock. In the nine months ended September 30, 2025, we received and retired 43 million shares upon settlement.</w:t>
      </w:r>
    </w:p>
    <w:p>
      <w:pPr>
        <w:spacing w:after="0" w:line="20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nine months ended September 30, 2025 and 2024, in addition to the shares repurchased under the ASR program, we repurchased approximately 27 million and 53 million shares for $1.5 billion and $2.4 billion under our existing share repurchase program.</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Cruise Common and Preferred Shares </w:t>
      </w:r>
      <w:r>
        <w:rPr>
          <w:rFonts w:ascii="Times New Roman" w:cs="Times New Roman" w:eastAsia="Times New Roman" w:hAnsi="Times New Roman"/>
          <w:sz w:val="18"/>
          <w:szCs w:val="18"/>
          <w:color w:val="auto"/>
        </w:rPr>
        <w:t>In February 2025, we acquired all of the Cruise common shares and Cruise Class F and Class G Preferred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noncontrolling shareholders for an insignificant amount. We have completed the process of compensating a majority of the former Cruise shareholders. During the nine months ended September 30, 2025, the effect on the equity attributable to us for changes in our ownership interest in Cruise was insignificant for Cruise common shares.</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During the three and nine months ended September 30, 2025, net income attributable to stockholders and transfers to the noncontrolling interest in Cruise and other subsidiaries were $1.3 billion and $6.5 billion, which includes a $538 million increase in equity attributable to us, primarily due to the redemption of Cruise preferred shares in February 2025.</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significant components of Accumulated other comprehensive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44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480" w:type="dxa"/>
            <w:vAlign w:val="bottom"/>
            <w:gridSpan w:val="3"/>
          </w:tcPr>
          <w:p>
            <w:pPr>
              <w:spacing w:after="0"/>
              <w:rPr>
                <w:sz w:val="2"/>
                <w:szCs w:val="2"/>
                <w:color w:val="auto"/>
              </w:rPr>
            </w:pPr>
          </w:p>
        </w:tc>
        <w:tc>
          <w:tcPr>
            <w:tcW w:w="1460" w:type="dxa"/>
            <w:vAlign w:val="bottom"/>
            <w:gridSpan w:val="3"/>
          </w:tcPr>
          <w:p>
            <w:pPr>
              <w:spacing w:after="0"/>
              <w:rPr>
                <w:sz w:val="2"/>
                <w:szCs w:val="2"/>
                <w:color w:val="auto"/>
              </w:rPr>
            </w:pPr>
          </w:p>
        </w:tc>
        <w:tc>
          <w:tcPr>
            <w:tcW w:w="13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440" w:type="dxa"/>
            <w:vAlign w:val="bottom"/>
          </w:tcPr>
          <w:p>
            <w:pPr>
              <w:spacing w:after="0"/>
              <w:rPr>
                <w:sz w:val="16"/>
                <w:szCs w:val="16"/>
                <w:color w:val="auto"/>
              </w:rPr>
            </w:pPr>
          </w:p>
        </w:tc>
        <w:tc>
          <w:tcPr>
            <w:tcW w:w="14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4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1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Translation Adjustments</w:t>
            </w: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175"/>
        </w:trPr>
        <w:tc>
          <w:tcPr>
            <w:tcW w:w="54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net of</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and tax(a)(b)(c)</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Defined Benefit Plans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4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0" w:type="dxa"/>
            <w:vAlign w:val="bottom"/>
          </w:tcPr>
          <w:p>
            <w:pPr>
              <w:spacing w:after="0"/>
              <w:rPr>
                <w:sz w:val="1"/>
                <w:szCs w:val="1"/>
                <w:color w:val="auto"/>
              </w:rPr>
            </w:pPr>
          </w:p>
        </w:tc>
      </w:tr>
      <w:tr>
        <w:trPr>
          <w:trHeight w:val="175"/>
        </w:trPr>
        <w:tc>
          <w:tcPr>
            <w:tcW w:w="54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interests before</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net of tax(a)(c)</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55"/>
        </w:trPr>
        <w:tc>
          <w:tcPr>
            <w:tcW w:w="54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Other comprehensive income (loss) and noncontrolling interests, net of</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and tax(a)(c)</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period(d)</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 (Loss) on Cash Flow Hedges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4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4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75"/>
        </w:trPr>
        <w:tc>
          <w:tcPr>
            <w:tcW w:w="54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income (loss) and noncontrolling interest before</w:t>
            </w: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net of tax(a)(c)</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net of tax(c)</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2"/>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tax(a)(c)</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7"/>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noncontrolling interests were insignificant in the three and nine months ended September 30, 2025 and 2024.</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reclassification adjustment was insignificant in the three and nine months ended September 30, 2025 and 2024.</w:t>
      </w:r>
    </w:p>
    <w:p>
      <w:pPr>
        <w:spacing w:after="0" w:line="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income tax effect was insignificant in the three and nine months ended September 30, 2025 and 2024.</w:t>
      </w:r>
    </w:p>
    <w:p>
      <w:pPr>
        <w:spacing w:after="0" w:line="7" w:lineRule="exact"/>
        <w:rPr>
          <w:rFonts w:ascii="Times New Roman" w:cs="Times New Roman" w:eastAsia="Times New Roman" w:hAnsi="Times New Roman"/>
          <w:sz w:val="16"/>
          <w:szCs w:val="16"/>
          <w:color w:val="auto"/>
        </w:rPr>
      </w:pPr>
    </w:p>
    <w:p>
      <w:pPr>
        <w:ind w:left="340" w:hanging="333"/>
        <w:spacing w:after="0" w:line="268"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consists of unamortized actuarial loss on our defined benefit plans. Refer to Note 2. Significant Accounting Policies of our 2024 Form 10-K for additional information.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Earnings Per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86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5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8"/>
        </w:trPr>
        <w:tc>
          <w:tcPr>
            <w:tcW w:w="5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15"/>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107"/>
        </w:trPr>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r>
      <w:tr>
        <w:trPr>
          <w:trHeight w:val="107"/>
        </w:trPr>
        <w:tc>
          <w:tcPr>
            <w:tcW w:w="5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awards under stock incentive plans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5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dilutive securities(b)</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$593 million return from the preferred shareholders related to the redemption of Cruise preferred shares from noncontrolling interest holders in the nine months ended September 30, 2025.</w:t>
      </w:r>
    </w:p>
    <w:p>
      <w:pPr>
        <w:spacing w:after="0" w:line="1" w:lineRule="exact"/>
        <w:rPr>
          <w:rFonts w:ascii="Times New Roman" w:cs="Times New Roman" w:eastAsia="Times New Roman" w:hAnsi="Times New Roman"/>
          <w:sz w:val="16"/>
          <w:szCs w:val="16"/>
          <w:color w:val="auto"/>
        </w:rPr>
      </w:pPr>
    </w:p>
    <w:p>
      <w:pPr>
        <w:ind w:left="340" w:hanging="333"/>
        <w:spacing w:after="0" w:line="272"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attributable to outstanding stock options, Performance Stock Units and Restricted Stock Units (RSUs) at September 30, 2025 and 2024 were excluded from the computation of diluted earnings per share (EPS) because the securities would have had an antidilutive effect.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Reporting</w:t>
      </w:r>
    </w:p>
    <w:p>
      <w:pPr>
        <w:spacing w:after="0" w:line="254"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chief operating decision-maker, who is Chair and Chief Executive Officer, analyzes the results of our business through the following reportable segments: GMNA, GMI and GM Financial. Our chief operating decision-maker evaluates the operating results and performance of our Automotive operations through earnings before interest and income taxes (EBIT)-adjusted, which is presented net of noncontrolling interests. Our chief operating decision-maker evaluates GM Financial through earnings before income taxes-adjusted (EBT-adjusted) because interest income and interest expense are an integral part of its operational and financial performance. These financial metrics are used to view operating trends, perform analytical comparisons and benchmark performance between periods and among geographic regions and to monitor budget-to-actual variances on a monthly basis. To manage operations and make decisions regarding resource allocations, our chief operating decision-maker is regularly provided and reviews expense information at a consolidated, functional level for our global purchasing and supply chain, manufacturing and engineering functions. Warranty and quality metrics are also viewed on a consolidated basis. Currently, a focus is being placed on driving an efficient, consolidated fixed cost structure and managing overall global headcount. Vehicle-level profitability metrics are also reviewed during the planning stage and throughout a program's life cycle on a forecasted basis, and not on an actual basis. Each segment has a manager responsible for executing our strategic initiatives.</w:t>
      </w:r>
    </w:p>
    <w:p>
      <w:pPr>
        <w:spacing w:after="0" w:line="216"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Our Cruise business was pursuing the development and commercialization of AV technology until, in December 2024, we announced plans to refocus our autonomous driving strategy on personal vehicles and no longer fund Cruise's robotaxi development work. Cruise activity includes ongoing costs to be incurred related to the wind down of the robotaxi business. We have combined the GM and Cruise ongoing personal autonomous technical efforts in our GMNA segment. We provide automotive financing services through our GM Financial segment.</w:t>
      </w:r>
    </w:p>
    <w:p>
      <w:pPr>
        <w:spacing w:after="0" w:line="213" w:lineRule="exact"/>
        <w:rPr>
          <w:sz w:val="20"/>
          <w:szCs w:val="20"/>
          <w:color w:val="auto"/>
        </w:rPr>
      </w:pPr>
    </w:p>
    <w:p>
      <w:pPr>
        <w:jc w:val="both"/>
        <w:ind w:firstLine="161"/>
        <w:spacing w:after="0" w:line="287" w:lineRule="auto"/>
        <w:rPr>
          <w:sz w:val="20"/>
          <w:szCs w:val="20"/>
          <w:color w:val="auto"/>
        </w:rPr>
      </w:pPr>
      <w:r>
        <w:rPr>
          <w:rFonts w:ascii="Times New Roman" w:cs="Times New Roman" w:eastAsia="Times New Roman" w:hAnsi="Times New Roman"/>
          <w:sz w:val="17"/>
          <w:szCs w:val="17"/>
          <w:color w:val="auto"/>
        </w:rPr>
        <w:t>Our automotive interest income and interest expense, corporate expenditures, legacy costs from the Opel/Vauxhall Business (primarily pension costs) and certain revenues and expenses that are not part of a reportable segment are recorded centrally in Corporate. Corporate assets primarily consist of cash and cash equivalents, marketable debt securities and intersegment balances. All intersegment balances and transactions have been eliminated in consolidation.</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tables summarize key financial information by segment: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6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At and For the Three Months Ended September 30, 2025</w:t>
            </w: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r>
      <w:tr>
        <w:trPr>
          <w:trHeight w:val="170"/>
        </w:trPr>
        <w:tc>
          <w:tcPr>
            <w:tcW w:w="3560" w:type="dxa"/>
            <w:vAlign w:val="bottom"/>
          </w:tcPr>
          <w:p>
            <w:pPr>
              <w:spacing w:after="0"/>
              <w:rPr>
                <w:sz w:val="14"/>
                <w:szCs w:val="14"/>
                <w:color w:val="auto"/>
              </w:rPr>
            </w:pPr>
          </w:p>
        </w:tc>
        <w:tc>
          <w:tcPr>
            <w:tcW w:w="126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GMNA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GMI</w:t>
            </w:r>
          </w:p>
        </w:tc>
        <w:tc>
          <w:tcPr>
            <w:tcW w:w="320" w:type="dxa"/>
            <w:vAlign w:val="bottom"/>
          </w:tcPr>
          <w:p>
            <w:pPr>
              <w:spacing w:after="0"/>
              <w:rPr>
                <w:sz w:val="14"/>
                <w:szCs w:val="14"/>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40" w:type="dxa"/>
            <w:vAlign w:val="bottom"/>
          </w:tcPr>
          <w:p>
            <w:pPr>
              <w:spacing w:after="0"/>
              <w:rPr>
                <w:sz w:val="14"/>
                <w:szCs w:val="14"/>
                <w:color w:val="auto"/>
              </w:rPr>
            </w:pPr>
          </w:p>
        </w:tc>
        <w:tc>
          <w:tcPr>
            <w:tcW w:w="17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9"/>
              </w:rPr>
              <w:t>Total Reportable Segments</w:t>
            </w:r>
          </w:p>
        </w:tc>
      </w:tr>
      <w:tr>
        <w:trPr>
          <w:trHeight w:val="17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260" w:type="dxa"/>
            <w:vAlign w:val="bottom"/>
            <w:tcBorders>
              <w:top w:val="single" w:sz="8" w:color="auto"/>
            </w:tcBorders>
            <w:shd w:val="clear" w:color="auto" w:fill="CCEEFF"/>
          </w:tcPr>
          <w:p>
            <w:pPr>
              <w:jc w:val="right"/>
              <w:ind w:right="1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3,645</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48,533</w:t>
            </w:r>
          </w:p>
        </w:tc>
      </w:tr>
      <w:tr>
        <w:trPr>
          <w:trHeight w:val="16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1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(38,045)</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(44,996)</w:t>
            </w:r>
          </w:p>
        </w:tc>
      </w:tr>
      <w:tr>
        <w:trPr>
          <w:trHeight w:val="174"/>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1260" w:type="dxa"/>
            <w:vAlign w:val="bottom"/>
            <w:shd w:val="clear" w:color="auto" w:fill="CCEEFF"/>
          </w:tcPr>
          <w:p>
            <w:pPr>
              <w:jc w:val="right"/>
              <w:ind w:right="1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3,536</w:t>
            </w: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1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(1,917)</w:t>
            </w:r>
          </w:p>
        </w:tc>
      </w:tr>
      <w:tr>
        <w:trPr>
          <w:trHeight w:val="18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1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1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69"/>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17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1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4"/>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1,419</w:t>
            </w:r>
          </w:p>
        </w:tc>
      </w:tr>
      <w:tr>
        <w:trPr>
          <w:trHeight w:val="20"/>
        </w:trPr>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7"/>
              <w:spacing w:after="0" w:line="134" w:lineRule="exact"/>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82"/>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40,551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48,591</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6,272</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164,001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22,690</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141,276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328,276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29,943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(70,051)</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288,168</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2,130</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3,066</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r>
      <w:tr>
        <w:trPr>
          <w:trHeight w:val="164"/>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jc w:val="both"/>
        <w:ind w:left="340" w:hanging="333"/>
        <w:spacing w:after="0" w:line="238" w:lineRule="auto"/>
        <w:tabs>
          <w:tab w:leader="none" w:pos="33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GMNA and GMI primarily include material and logistics; manufacturing; equity income;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w:t>
      </w:r>
    </w:p>
    <w:p>
      <w:pPr>
        <w:ind w:left="320" w:hanging="313"/>
        <w:spacing w:after="0"/>
        <w:tabs>
          <w:tab w:leader="none" w:pos="3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EV strategic realignment, OnStar Smart Driver and Cruise restructuring in GMNA.</w:t>
      </w:r>
    </w:p>
    <w:p>
      <w:pPr>
        <w:spacing w:after="0" w:line="9" w:lineRule="exact"/>
        <w:rPr>
          <w:rFonts w:ascii="Times New Roman" w:cs="Times New Roman" w:eastAsia="Times New Roman" w:hAnsi="Times New Roman"/>
          <w:sz w:val="13"/>
          <w:szCs w:val="13"/>
          <w:color w:val="auto"/>
        </w:rPr>
      </w:pPr>
    </w:p>
    <w:p>
      <w:pPr>
        <w:ind w:left="340" w:hanging="333"/>
        <w:spacing w:after="0" w:line="238" w:lineRule="auto"/>
        <w:tabs>
          <w:tab w:leader="none" w:pos="331"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for additional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34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At and For the Three Months Ended September 30, 2024</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21"/>
        </w:trPr>
        <w:tc>
          <w:tcPr>
            <w:tcW w:w="35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tcPr>
          <w:p>
            <w:pPr>
              <w:jc w:val="right"/>
              <w:ind w:right="217"/>
              <w:spacing w:after="0" w:line="121" w:lineRule="exact"/>
              <w:rPr>
                <w:sz w:val="20"/>
                <w:szCs w:val="20"/>
                <w:color w:val="auto"/>
              </w:rPr>
            </w:pPr>
            <w:r>
              <w:rPr>
                <w:rFonts w:ascii="Times New Roman" w:cs="Times New Roman" w:eastAsia="Times New Roman" w:hAnsi="Times New Roman"/>
                <w:sz w:val="13"/>
                <w:szCs w:val="13"/>
                <w:b w:val="1"/>
                <w:bCs w:val="1"/>
                <w:color w:val="auto"/>
              </w:rPr>
              <w:t>Total Reportable</w:t>
            </w:r>
          </w:p>
        </w:tc>
      </w:tr>
      <w:tr>
        <w:trPr>
          <w:trHeight w:val="182"/>
        </w:trPr>
        <w:tc>
          <w:tcPr>
            <w:tcW w:w="3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GMNA</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GMI</w:t>
            </w:r>
          </w:p>
        </w:tc>
        <w:tc>
          <w:tcPr>
            <w:tcW w:w="32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Cruise</w:t>
            </w: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80" w:type="dxa"/>
            <w:vAlign w:val="bottom"/>
          </w:tcPr>
          <w:p>
            <w:pPr>
              <w:spacing w:after="0"/>
              <w:rPr>
                <w:sz w:val="15"/>
                <w:szCs w:val="15"/>
                <w:color w:val="auto"/>
              </w:rPr>
            </w:pPr>
          </w:p>
        </w:tc>
        <w:tc>
          <w:tcPr>
            <w:tcW w:w="128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Segments</w:t>
            </w:r>
          </w:p>
        </w:tc>
      </w:tr>
      <w:tr>
        <w:trPr>
          <w:trHeight w:val="17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960" w:type="dxa"/>
            <w:vAlign w:val="bottom"/>
            <w:tcBorders>
              <w:top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41,157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48,731</w:t>
            </w:r>
          </w:p>
        </w:tc>
      </w:tr>
      <w:tr>
        <w:trPr>
          <w:trHeight w:val="16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(37,175)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(44,403)</w:t>
            </w:r>
          </w:p>
        </w:tc>
      </w:tr>
      <w:tr>
        <w:trPr>
          <w:trHeight w:val="17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96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4,327</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9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3,717</w:t>
            </w:r>
          </w:p>
        </w:tc>
      </w:tr>
      <w:tr>
        <w:trPr>
          <w:trHeight w:val="20"/>
        </w:trPr>
        <w:tc>
          <w:tcPr>
            <w:tcW w:w="3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7"/>
              <w:spacing w:after="0" w:line="134" w:lineRule="exact"/>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82"/>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41,157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48,731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48,757</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 net assets of nonconsolidated affiliates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5,575</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11,039</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 and intangibles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169,036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25,767</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3,552</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135,918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334,274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45,160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(90,145)</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289,289</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2,873</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jc w:val="both"/>
        <w:ind w:left="340" w:hanging="333"/>
        <w:spacing w:after="0" w:line="238" w:lineRule="auto"/>
        <w:tabs>
          <w:tab w:leader="none" w:pos="33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GMNA and GMI primarily include material and logistics; manufacturing; equity income;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people-related costs.</w:t>
      </w:r>
    </w:p>
    <w:p>
      <w:pPr>
        <w:ind w:left="320" w:hanging="313"/>
        <w:spacing w:after="0"/>
        <w:tabs>
          <w:tab w:leader="none" w:pos="3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strategic activities related to restructuring and Buick dealerships in GMNA and charges related to manufacturing operations wind down in GMI.</w:t>
      </w:r>
    </w:p>
    <w:p>
      <w:pPr>
        <w:spacing w:after="0" w:line="9" w:lineRule="exact"/>
        <w:rPr>
          <w:rFonts w:ascii="Times New Roman" w:cs="Times New Roman" w:eastAsia="Times New Roman" w:hAnsi="Times New Roman"/>
          <w:sz w:val="13"/>
          <w:szCs w:val="13"/>
          <w:color w:val="auto"/>
        </w:rPr>
      </w:pPr>
    </w:p>
    <w:p>
      <w:pPr>
        <w:ind w:left="340" w:hanging="333"/>
        <w:spacing w:after="0" w:line="238" w:lineRule="auto"/>
        <w:tabs>
          <w:tab w:leader="none" w:pos="331"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for additional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13"/>
          </w:tcPr>
          <w:p>
            <w:pPr>
              <w:jc w:val="center"/>
              <w:ind w:right="1100"/>
              <w:spacing w:after="0"/>
              <w:rPr>
                <w:sz w:val="20"/>
                <w:szCs w:val="20"/>
                <w:color w:val="auto"/>
              </w:rPr>
            </w:pPr>
            <w:r>
              <w:rPr>
                <w:rFonts w:ascii="Times New Roman" w:cs="Times New Roman" w:eastAsia="Times New Roman" w:hAnsi="Times New Roman"/>
                <w:sz w:val="13"/>
                <w:szCs w:val="13"/>
                <w:b w:val="1"/>
                <w:bCs w:val="1"/>
                <w:color w:val="auto"/>
                <w:w w:val="96"/>
              </w:rPr>
              <w:t>For the Nine Months Ended September 30, 2025</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21"/>
        </w:trPr>
        <w:tc>
          <w:tcPr>
            <w:tcW w:w="3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tcPr>
          <w:p>
            <w:pPr>
              <w:jc w:val="right"/>
              <w:ind w:right="217"/>
              <w:spacing w:after="0" w:line="121" w:lineRule="exact"/>
              <w:rPr>
                <w:sz w:val="20"/>
                <w:szCs w:val="20"/>
                <w:color w:val="auto"/>
              </w:rPr>
            </w:pPr>
            <w:r>
              <w:rPr>
                <w:rFonts w:ascii="Times New Roman" w:cs="Times New Roman" w:eastAsia="Times New Roman" w:hAnsi="Times New Roman"/>
                <w:sz w:val="13"/>
                <w:szCs w:val="13"/>
                <w:b w:val="1"/>
                <w:bCs w:val="1"/>
                <w:color w:val="auto"/>
              </w:rPr>
              <w:t>Total Reportable</w:t>
            </w:r>
          </w:p>
        </w:tc>
      </w:tr>
      <w:tr>
        <w:trPr>
          <w:trHeight w:val="182"/>
        </w:trPr>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w w:val="97"/>
              </w:rPr>
              <w:t>GMNA</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GMI</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Cruise</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w w:val="94"/>
              </w:rPr>
              <w:t>Segments</w:t>
            </w:r>
          </w:p>
        </w:tc>
      </w:tr>
      <w:tr>
        <w:trPr>
          <w:trHeight w:val="175"/>
        </w:trPr>
        <w:tc>
          <w:tcPr>
            <w:tcW w:w="3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720" w:type="dxa"/>
            <w:vAlign w:val="bottom"/>
            <w:tcBorders>
              <w:top w:val="single" w:sz="8" w:color="auto"/>
            </w:tcBorders>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117,424</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gridSpan w:val="2"/>
            <w:shd w:val="clear" w:color="auto" w:fill="CCEEFF"/>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139,579</w:t>
            </w:r>
          </w:p>
        </w:tc>
      </w:tr>
      <w:tr>
        <w:trPr>
          <w:trHeight w:val="169"/>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0"/>
              </w:rPr>
              <w:t>(109,217)</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(8,938)</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(10,563)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(128,992)</w:t>
            </w:r>
          </w:p>
        </w:tc>
      </w:tr>
      <w:tr>
        <w:trPr>
          <w:trHeight w:val="174"/>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720" w:type="dxa"/>
            <w:vAlign w:val="bottom"/>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75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10,587</w:t>
            </w:r>
          </w:p>
        </w:tc>
      </w:tr>
      <w:tr>
        <w:trPr>
          <w:trHeight w:val="16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(2,572)</w:t>
            </w:r>
          </w:p>
        </w:tc>
      </w:tr>
      <w:tr>
        <w:trPr>
          <w:trHeight w:val="18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w:t>
            </w:r>
          </w:p>
        </w:tc>
      </w:tr>
      <w:tr>
        <w:trPr>
          <w:trHeight w:val="16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w:t>
            </w:r>
          </w:p>
        </w:tc>
      </w:tr>
      <w:tr>
        <w:trPr>
          <w:trHeight w:val="16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(560)</w:t>
            </w:r>
          </w:p>
        </w:tc>
      </w:tr>
      <w:tr>
        <w:trPr>
          <w:trHeight w:val="175"/>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4"/>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7,366</w:t>
            </w: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4"/>
        </w:trPr>
        <w:tc>
          <w:tcPr>
            <w:tcW w:w="34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75"/>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117,424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139,732</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6,083</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9,026</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1,063</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14" w:lineRule="exact"/>
        <w:rPr>
          <w:sz w:val="20"/>
          <w:szCs w:val="20"/>
          <w:color w:val="auto"/>
        </w:rPr>
      </w:pPr>
    </w:p>
    <w:p>
      <w:pPr>
        <w:jc w:val="both"/>
        <w:ind w:left="340" w:hanging="333"/>
        <w:spacing w:after="0" w:line="244" w:lineRule="auto"/>
        <w:tabs>
          <w:tab w:leader="none" w:pos="33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GMNA and GMI primarily include material and logistics; manufacturing; equity income;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ongoing costs incurred related to the wind down of Cruise robotaxi activities.</w:t>
      </w:r>
    </w:p>
    <w:p>
      <w:pPr>
        <w:ind w:left="340" w:hanging="333"/>
        <w:spacing w:after="0" w:line="237" w:lineRule="auto"/>
        <w:tabs>
          <w:tab w:leader="none" w:pos="338"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Consists of charges for EV and Ultium Cells Holdings LLC strategic realignments, OnStar Smart Driver and Cruise restructuring in GMNA and charges related to restructuring activities and manufacturing operations wind down in GMI.</w:t>
      </w:r>
    </w:p>
    <w:p>
      <w:pPr>
        <w:ind w:left="340" w:hanging="333"/>
        <w:spacing w:after="0" w:line="238" w:lineRule="auto"/>
        <w:tabs>
          <w:tab w:leader="none" w:pos="331"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for additional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8"/>
          </w:tcPr>
          <w:p>
            <w:pPr>
              <w:jc w:val="center"/>
              <w:ind w:right="1040"/>
              <w:spacing w:after="0"/>
              <w:rPr>
                <w:sz w:val="20"/>
                <w:szCs w:val="20"/>
                <w:color w:val="auto"/>
              </w:rPr>
            </w:pPr>
            <w:r>
              <w:rPr>
                <w:rFonts w:ascii="Times New Roman" w:cs="Times New Roman" w:eastAsia="Times New Roman" w:hAnsi="Times New Roman"/>
                <w:sz w:val="13"/>
                <w:szCs w:val="13"/>
                <w:b w:val="1"/>
                <w:bCs w:val="1"/>
                <w:color w:val="auto"/>
                <w:w w:val="96"/>
              </w:rPr>
              <w:t>For the Nine Months Ended September 30, 2024</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28"/>
        </w:trPr>
        <w:tc>
          <w:tcPr>
            <w:tcW w:w="3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217"/>
              <w:spacing w:after="0" w:line="128" w:lineRule="exact"/>
              <w:rPr>
                <w:sz w:val="20"/>
                <w:szCs w:val="20"/>
                <w:color w:val="auto"/>
              </w:rPr>
            </w:pPr>
            <w:r>
              <w:rPr>
                <w:rFonts w:ascii="Times New Roman" w:cs="Times New Roman" w:eastAsia="Times New Roman" w:hAnsi="Times New Roman"/>
                <w:sz w:val="13"/>
                <w:szCs w:val="13"/>
                <w:b w:val="1"/>
                <w:bCs w:val="1"/>
                <w:color w:val="auto"/>
              </w:rPr>
              <w:t>Total Reportable</w:t>
            </w:r>
          </w:p>
        </w:tc>
      </w:tr>
      <w:tr>
        <w:trPr>
          <w:trHeight w:val="175"/>
        </w:trPr>
        <w:tc>
          <w:tcPr>
            <w:tcW w:w="3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GMNA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GMI</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Cruise</w:t>
            </w: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80" w:type="dxa"/>
            <w:vAlign w:val="bottom"/>
          </w:tcPr>
          <w:p>
            <w:pPr>
              <w:spacing w:after="0"/>
              <w:rPr>
                <w:sz w:val="15"/>
                <w:szCs w:val="15"/>
                <w:color w:val="auto"/>
              </w:rPr>
            </w:pPr>
          </w:p>
        </w:tc>
        <w:tc>
          <w:tcPr>
            <w:tcW w:w="128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Segments</w:t>
            </w:r>
          </w:p>
        </w:tc>
      </w:tr>
      <w:tr>
        <w:trPr>
          <w:trHeight w:val="175"/>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94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117,981</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9,897</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139,715</w:t>
            </w:r>
          </w:p>
        </w:tc>
      </w:tr>
      <w:tr>
        <w:trPr>
          <w:trHeight w:val="169"/>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Segment expenses and other items(a)</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0"/>
              </w:rPr>
              <w:t>(105,726)</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(126,416)</w:t>
            </w:r>
          </w:p>
        </w:tc>
      </w:tr>
      <w:tr>
        <w:trPr>
          <w:trHeight w:val="17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Earnings (loss) before interest and taxes-adjusted</w:t>
            </w:r>
          </w:p>
        </w:tc>
        <w:tc>
          <w:tcPr>
            <w:tcW w:w="9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13,299</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Adjustments(b)</w:t>
            </w: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(1,240)</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Automotive interest income</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w:t>
            </w:r>
          </w:p>
        </w:tc>
      </w:tr>
      <w:tr>
        <w:trPr>
          <w:trHeight w:val="169"/>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Automotive interest expense</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r>
      <w:tr>
        <w:trPr>
          <w:trHeight w:val="175"/>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74"/>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11,076</w:t>
            </w:r>
          </w:p>
        </w:tc>
      </w:tr>
      <w:tr>
        <w:trPr>
          <w:trHeight w:val="20"/>
        </w:trPr>
        <w:tc>
          <w:tcPr>
            <w:tcW w:w="3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37"/>
              <w:spacing w:after="0" w:line="134" w:lineRule="exact"/>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r>
      <w:tr>
        <w:trPr>
          <w:trHeight w:val="182"/>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GMNA</w:t>
            </w:r>
          </w:p>
        </w:tc>
        <w:tc>
          <w:tcPr>
            <w:tcW w:w="1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GMI</w:t>
            </w:r>
          </w:p>
        </w:tc>
        <w:tc>
          <w:tcPr>
            <w:tcW w:w="16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Cruise</w:t>
            </w: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GM Financial</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2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2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 and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117,981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139,740</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property</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Pr>
          <w:p>
            <w:pPr>
              <w:spacing w:after="0"/>
              <w:rPr>
                <w:sz w:val="14"/>
                <w:szCs w:val="14"/>
                <w:color w:val="auto"/>
              </w:rPr>
            </w:pP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7,597</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8,551</w:t>
            </w:r>
          </w:p>
        </w:tc>
      </w:tr>
      <w:tr>
        <w:trPr>
          <w:trHeight w:val="169"/>
        </w:trPr>
        <w:tc>
          <w:tcPr>
            <w:tcW w:w="3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w:t>
            </w:r>
          </w:p>
        </w:tc>
      </w:tr>
      <w:tr>
        <w:trPr>
          <w:trHeight w:val="18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income (loss)(c)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hanging="333"/>
        <w:spacing w:after="0" w:line="238" w:lineRule="auto"/>
        <w:tabs>
          <w:tab w:leader="none" w:pos="33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expenses and other items for GMNA and GMI primarily include material and logistics; manufacturing; equity income; selling, general and administrative people-related costs; advertising; information technology; engineering; professional services; and policy, campaign and warranty. GM Financial items primarily consist of GM Financial interest expense; leased vehicle depreciation; people-related costs; provision for loan losses and gains and losses on termination of leased vehicles. Cruise items primarily consist of people-related costs.</w:t>
      </w:r>
    </w:p>
    <w:p>
      <w:pPr>
        <w:ind w:left="320" w:hanging="313"/>
        <w:spacing w:after="0"/>
        <w:tabs>
          <w:tab w:leader="none" w:pos="32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charges for strategic activities related to restructuring actions and Buick dealerships in GMNA, charges related to manufacturing operations wind down in GMI and charges related to Cruise restructuring.</w:t>
      </w:r>
    </w:p>
    <w:p>
      <w:pPr>
        <w:spacing w:after="0" w:line="21" w:lineRule="exact"/>
        <w:rPr>
          <w:rFonts w:ascii="Times New Roman" w:cs="Times New Roman" w:eastAsia="Times New Roman" w:hAnsi="Times New Roman"/>
          <w:sz w:val="11"/>
          <w:szCs w:val="11"/>
          <w:color w:val="auto"/>
        </w:rPr>
      </w:pPr>
    </w:p>
    <w:p>
      <w:pPr>
        <w:ind w:left="340" w:hanging="333"/>
        <w:spacing w:after="0" w:line="259" w:lineRule="auto"/>
        <w:tabs>
          <w:tab w:leader="none" w:pos="331"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Equity earnings related to Ultium Cells Holdings LLC are presented in Automotive and other cost of sales as this entity is integral to the operations of our business by providing battery cells for our EVs. Refer to Note 7 for additional information.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This Management's Discussion and Analysis of Financial Condition and Results of Operations (MD&amp;A) should be read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conjunction with the accompanying condensed consolidated financial statements and the notes thereto, and the audited consolidated financial statements and notes thereto included in our 2024 Form 10-K.</w:t>
      </w:r>
    </w:p>
    <w:p>
      <w:pPr>
        <w:spacing w:after="0" w:line="20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Part I, Item 1A. Risk Factors of our 2024 Form 10-K and Part II, Item 1A. Risk Factors for a discussion of these risks and uncertainties. Except for per share amounts or as otherwise specified, dollar amounts presented within tables are stated in millions. Certain columns and rows may not add due to rounding.</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Overview </w:t>
      </w:r>
      <w:r>
        <w:rPr>
          <w:rFonts w:ascii="Times New Roman" w:cs="Times New Roman" w:eastAsia="Times New Roman" w:hAnsi="Times New Roman"/>
          <w:sz w:val="18"/>
          <w:szCs w:val="18"/>
          <w:color w:val="auto"/>
        </w:rPr>
        <w:t>Our vision for the future is a world with zero crashes, zero emissions and zero congestion. We will adapt to customer preferences while executing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growth-focused strategy to invest in EVs, hybrids, personal AV technology, software-enabled services and other new business opportunities. To support strong margins and cash flow during this transition, we continue to strengthen our market position in profitable ICE vehicles, such as trucks and SUVs. We plan to execute our strategy with a steadfast commitment to good corporate citizenship through more sustainable operations and a leading health and safety culture.</w:t>
      </w:r>
    </w:p>
    <w:p>
      <w:pPr>
        <w:spacing w:after="0" w:line="208"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Our financial performance continues to be driven by the strength of our vehicle portfolio, including high margin full-size pickup trucks and SUVs, strong consumer demand for our products and the execution of our core business strategy. We remain focused on maintaining an efficient cost structure and pricing discipline. We continue to prioritize driving down costs to improve profitability and are aligning EV capacity to expected consumer demand. In February 2025, we completed the acquisition of the noncontrolling interests in Cruise and are prioritizing the development of ADAS on a path to fully autonomous personal vehicles. We are monitoring industry pricing pressures, changing interest rates, inflation, warranty claims, consumer demand trends, changes to the regulatory environment, including with respect to fuel economy standards, GHG emissions regulations, corporate taxes and EV incentives.</w:t>
      </w:r>
    </w:p>
    <w:p>
      <w:pPr>
        <w:spacing w:after="0" w:line="212"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In the first quarter of 2025, the U.S. Government announced new tariffs, inclusive of vehicles and parts imported into the U.S. The tariff environment continues to remain highly dynamic and the specific tariffs applicable to goods imported by GM and its suppliers into the U.S., including under the U.S.-Mexico-Canada Agreement, continue to evolve, as do import tariffs charged by other countries. In October 2025, the U.S. Government announced certain modifications to tariffs relevant to the automotive industry, including tariffs related to imports of heavy-duty trucks and, separately, to parts for passenger vehicles and light-duty trucks. With respect to tariffs on imports of heavy-duty trucks, we do not anticipate that such tariffs will have a material impact on our business results. With respect to the expansion and extension of the import adjustment offset program established pursuant to Presidential Proclamation 10925, and due in part to increased competitiveness of our U.S. produced vehicles, GM anticipates that the recently announced changes will result in a material positive benefit to our fourth quarter 2025 business results, as well as in future quarters. Based on the current tariff environment, we estimate that impacts to EBIT-adjusted could range from $3.5 billion to $4.5 billion for the year ending December 31, 2025. Refer to Part II, Item 1A. Risk Factors for a full discussion of the risks associated with the U.S. tariff environment.</w:t>
      </w:r>
    </w:p>
    <w:p>
      <w:pPr>
        <w:spacing w:after="0" w:line="218"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On July 4, 2025, the Act was signed into law that includes the extension and modification of certain key provisions of the U.S. Tax Cuts and Jobs Act of 2017, modification of certain Inflation Reduction Act incentives, acceleration of the phase-out of clean vehicle and other clean energy credits and sets the civil penalties to zero for noncompliance with CAFE standards. The Act also introduces a new auto loan interest deductibility provision that allows some individuals to deduct up to $10,000 per year in interest on new, U.S.-assembled personal vehicles purchased between 2025 and 2028. There are a variety of effective dates in the Act and only certain key provisions with financial reporting implications are expected to affect our financial statements for the year ending December 31, 2025. In July 2025, the EPA proposed to remove GHG regulations for light-, medium- and heavy-duty on-highway vehicles on a retrospective and prospective basis. Should the EPA remove GHG regulations, the majority of the carrying amount of our acquired credits of $1.2 billion may be subject to impairment in the near term and our ongoing cost of compliance to the GHG regulations would be favorably impacted.</w:t>
      </w:r>
    </w:p>
    <w:p>
      <w:pPr>
        <w:spacing w:after="0" w:line="21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Following these recent U.S. Government policy changes, including the termination of consumer tax incentives for EV purchases and the reduction in stringency of emissions regulations, we expect the adoption rate of EVs to slow. These developments have caused us to reassess our EV capacity and manufacturing footprint to align with expected consumer demand. Based on a planned strategic realignment of our EV capacity and manufacturing footprint to expected consumer demand, we recorded charges of $1.6 billion in GMNA in the three months ended September 30, 2025. The reassessment of our EV capacity and manufacturing footprint, including our investments in our battery component manufacturing, is ongoing and it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is reasonably possible that we will recognize additional future material cash and non-cash charges that may adversely affect our results of operations and cash flows in the period in which they are recognized. These amounts will be recognized in our results as decisions are made and will be reflected as adjustments in our non-GAAP financial measures. Refer to the "Non-GAAP Measures" section of this MD&amp;A for additional information. Our strategic realignment of EV capacity does not impact today's retail portfolio of Chevrolet, GMC, and Cadillac EVs currently in production, and we expect these models to remain available to consumers.</w:t>
      </w:r>
    </w:p>
    <w:p>
      <w:pPr>
        <w:spacing w:after="0" w:line="213"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we continue to assess our performance and the needs of our evolving business, additional restructuring and rationalization actions could be required. These actions could give rise to future asset impairments or other charges, which may have a material impact on our operating results. Refer to the "Consolidated Results" and regional sections of this MD&amp;A for additional information.</w:t>
      </w:r>
    </w:p>
    <w:p>
      <w:pPr>
        <w:spacing w:after="0" w:line="204"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color w:val="auto"/>
        </w:rPr>
        <w:t>We face continuing market, operating and regulatory challenges in several countries across the globe due to, among other factors, competitive pressures, our product portfolio offerings, heightened emission standards, labor disruptions, foreign exchange volatility, evolving trade policy and political uncertainty. In addition, we are monitoring a potential disruption to automotive industry supply chains with respect to certain electrical subcomponents, including transistors, diodes and other semiconductors. While we are working with our supply chain partners to avoid impacts to GM, a disruption in the supply of such electrical subcomponents is possible, which could have an impact on our planned production schedules. Refer to Part I, Item 1A. Risk Factors in our 2024 Form 10-K and Part II, Item 1A. Risk Factors for a discussion of these challenges.</w:t>
      </w:r>
    </w:p>
    <w:p>
      <w:pPr>
        <w:spacing w:after="0" w:line="212"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year ending December 31, 2025, we expect Net income attributable to stockholders of between $7.7 billion and $8.3 billion, EBIT-adjusted of between $12.0 billion and $13.0 billion, EPS-diluted of between $8.30 and $9.05 and EPS-diluted-adjusted of between $9.75 and $10.50. Refer to the "Non-GAAP Measures" section of this MD&amp;A for additional information.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Net income attributable to stockholders to expected EBIT-adjusted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Year Ending December 31, 2025</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$ 7.7-8.3</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income, net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$ 12.0-13.0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MD&amp;A for adjustment details. These expected financial results do not include the potential impact of future adjustments related to special items.</w:t>
      </w:r>
    </w:p>
    <w:p>
      <w:pPr>
        <w:spacing w:after="0" w:line="1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expected EPS-diluted to expected EPS-diluted-adjusted</w:t>
      </w:r>
      <w:r>
        <w:rPr>
          <w:rFonts w:ascii="Times New Roman" w:cs="Times New Roman" w:eastAsia="Times New Roman" w:hAnsi="Times New Roman"/>
          <w:sz w:val="16"/>
          <w:szCs w:val="16"/>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32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Year Ending December 31, 2025</w:t>
            </w:r>
          </w:p>
        </w:tc>
      </w:tr>
      <w:tr>
        <w:trPr>
          <w:trHeight w:val="25"/>
        </w:trPr>
        <w:tc>
          <w:tcPr>
            <w:tcW w:w="7960" w:type="dxa"/>
            <w:vAlign w:val="bottom"/>
            <w:tcBorders>
              <w:bottom w:val="single" w:sz="8" w:color="CCEEFF"/>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2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$ 8.30-9.05</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$ 9.75-10.50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ind w:left="340" w:hanging="333"/>
        <w:spacing w:after="0" w:line="272" w:lineRule="auto"/>
        <w:tabs>
          <w:tab w:leader="none" w:pos="33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diluted earnings per common share to EPS-diluted-adjusted within this MD&amp;A for adjustment details. These expected financial results do not include the potential impact of future adjustments related to special items.</w:t>
      </w:r>
    </w:p>
    <w:p>
      <w:pPr>
        <w:spacing w:after="0" w:line="188"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w:t>
      </w:r>
      <w:r>
        <w:rPr>
          <w:rFonts w:ascii="Times New Roman" w:cs="Times New Roman" w:eastAsia="Times New Roman" w:hAnsi="Times New Roman"/>
          <w:sz w:val="18"/>
          <w:szCs w:val="18"/>
          <w:color w:val="auto"/>
        </w:rPr>
        <w:t>Industry sales in North America were 15.5 million units in the nine months ended September 30, 2025, representing an increase of 4.1%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corresponding period in 2024. U.S. industry sales were 12.5 million units in the nine months ended September 30, 2025, representing an increase of 4.1% compared to the corresponding period in 2024.</w:t>
      </w:r>
    </w:p>
    <w:p>
      <w:pPr>
        <w:spacing w:after="0" w:line="200"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total vehicle sales in the U.S., our largest market in North America, were 2.2 million units for market share of 17.2% in the nine months ended September 30, 2025, representing an increase of 1.0 percentage points compared to the corresponding period in 2024.</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We achieved solid margins in the nine months ended September 30, 2025 driven by the strength of our product portfolio and ongoing cost discipline. However, the evolving tariff and policy landscape could have a material impact on our profitability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going forward. We remain focused on improving our EV profitability while maintaining our focus on cost. In addition, our outlook is dependent on continued supply chain availability, the resiliency of the U.S. economy and overall economic conditions, including the imposition of tariffs, less available offsets and deductions, or other trade restrictions by the U.S. or its trading partners. Looking ahead, our top priority is returning GMNA to its historical 8.0-10.0% EBIT-adjusted margins as quickly as possible.</w:t>
      </w:r>
    </w:p>
    <w:p>
      <w:pPr>
        <w:spacing w:after="0" w:line="20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w:t>
      </w:r>
      <w:r>
        <w:rPr>
          <w:rFonts w:ascii="Times New Roman" w:cs="Times New Roman" w:eastAsia="Times New Roman" w:hAnsi="Times New Roman"/>
          <w:sz w:val="18"/>
          <w:szCs w:val="18"/>
          <w:color w:val="auto"/>
        </w:rPr>
        <w:t>Industry sales in China were 19.3 million units in the nine months ended September 30, 2025, representing an increase of 6.5%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corresponding period in 2024. Our total vehicle sales in China were 1.4 million units for market share of 7.0% in the nine months ended September 30, 2025, representing an increase of 0.2 percentage points compared to the corresponding period in 2024. Our Automotive China JVs generated equity income of $0.2 billion in the nine months ended September 30, 2025. We continue to focus on enhancing the competitiveness of our products in the Chinese market and executing restructuring plans. Additional restructuring charges may be incurred going forward.</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Outside of China, industry sales were 19.8 million units in the nine months ended September 30, 2025, representing an increase of 3.2% compared to the corresponding period in 2024. Our total vehicle sales outside of China were 0.7 million units for market share of 3.3% in the nine months ended September 30, 2025, representing a decrease of 0.3 percentage points compared to the corresponding period in 2024.</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Vehicle Sales </w:t>
      </w:r>
      <w:r>
        <w:rPr>
          <w:rFonts w:ascii="Times New Roman" w:cs="Times New Roman" w:eastAsia="Times New Roman" w:hAnsi="Times New Roman"/>
          <w:sz w:val="18"/>
          <w:szCs w:val="18"/>
          <w:color w:val="auto"/>
        </w:rPr>
        <w:t>The principal factors that determine consumer vehicle preferences in the markets in which we operate include overall vehicle design,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quality, available options, safety, reliability, fuel economy or range and functionality. Market leadership in individual countries in which we compete varies widely.</w:t>
      </w:r>
    </w:p>
    <w:p>
      <w:pPr>
        <w:spacing w:after="0" w:line="20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present both wholesale and total vehicle sales data to assist in the analysis of our revenue and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nine months ended September 30, 2025, 26.4% of our wholesale vehicle sales volume was generated outside the U.S. The following table summarizes wholesale vehicle sales by our Automotive operations (vehicles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16"/>
                <w:szCs w:val="16"/>
                <w:color w:val="auto"/>
              </w:rPr>
            </w:pPr>
          </w:p>
        </w:tc>
      </w:tr>
      <w:tr>
        <w:trPr>
          <w:trHeight w:val="25"/>
        </w:trPr>
        <w:tc>
          <w:tcPr>
            <w:tcW w:w="1980" w:type="dxa"/>
            <w:vAlign w:val="bottom"/>
          </w:tcPr>
          <w:p>
            <w:pPr>
              <w:spacing w:after="0"/>
              <w:rPr>
                <w:sz w:val="2"/>
                <w:szCs w:val="2"/>
                <w:color w:val="auto"/>
              </w:rPr>
            </w:pPr>
          </w:p>
        </w:tc>
        <w:tc>
          <w:tcPr>
            <w:tcW w:w="2300" w:type="dxa"/>
            <w:vAlign w:val="bottom"/>
            <w:gridSpan w:val="4"/>
          </w:tcPr>
          <w:p>
            <w:pPr>
              <w:spacing w:after="0"/>
              <w:rPr>
                <w:sz w:val="2"/>
                <w:szCs w:val="2"/>
                <w:color w:val="auto"/>
              </w:rPr>
            </w:pPr>
          </w:p>
        </w:tc>
        <w:tc>
          <w:tcPr>
            <w:tcW w:w="2360" w:type="dxa"/>
            <w:vAlign w:val="bottom"/>
            <w:gridSpan w:val="4"/>
          </w:tcPr>
          <w:p>
            <w:pPr>
              <w:spacing w:after="0"/>
              <w:rPr>
                <w:sz w:val="2"/>
                <w:szCs w:val="2"/>
                <w:color w:val="auto"/>
              </w:rPr>
            </w:pPr>
          </w:p>
        </w:tc>
        <w:tc>
          <w:tcPr>
            <w:tcW w:w="2340" w:type="dxa"/>
            <w:vAlign w:val="bottom"/>
            <w:gridSpan w:val="4"/>
          </w:tcPr>
          <w:p>
            <w:pPr>
              <w:spacing w:after="0"/>
              <w:rPr>
                <w:sz w:val="2"/>
                <w:szCs w:val="2"/>
                <w:color w:val="auto"/>
              </w:rPr>
            </w:pPr>
          </w:p>
        </w:tc>
        <w:tc>
          <w:tcPr>
            <w:tcW w:w="2260" w:type="dxa"/>
            <w:vAlign w:val="bottom"/>
            <w:gridSpan w:val="3"/>
          </w:tcPr>
          <w:p>
            <w:pPr>
              <w:spacing w:after="0"/>
              <w:rPr>
                <w:sz w:val="2"/>
                <w:szCs w:val="2"/>
                <w:color w:val="auto"/>
              </w:rPr>
            </w:pPr>
          </w:p>
        </w:tc>
      </w:tr>
      <w:tr>
        <w:trPr>
          <w:trHeight w:val="188"/>
        </w:trPr>
        <w:tc>
          <w:tcPr>
            <w:tcW w:w="1980" w:type="dxa"/>
            <w:vAlign w:val="bottom"/>
          </w:tcPr>
          <w:p>
            <w:pPr>
              <w:spacing w:after="0"/>
              <w:rPr>
                <w:sz w:val="16"/>
                <w:szCs w:val="16"/>
                <w:color w:val="auto"/>
              </w:rPr>
            </w:pPr>
          </w:p>
        </w:tc>
        <w:tc>
          <w:tcPr>
            <w:tcW w:w="2300" w:type="dxa"/>
            <w:vAlign w:val="bottom"/>
            <w:tcBorders>
              <w:top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4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2340" w:type="dxa"/>
            <w:vAlign w:val="bottom"/>
            <w:tcBorders>
              <w:top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6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8"/>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87.1 %</w:t>
            </w:r>
          </w:p>
        </w:tc>
      </w:tr>
      <w:tr>
        <w:trPr>
          <w:trHeight w:val="228"/>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47"/>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Total vehicle sales data represents: (1) retail sales (i.e., sales to consumers who purchase new vehicles from dealers or distributors); (2) fleet sales (i.e., sales to large and small businesses, governments and daily rental car companies); and (3) sales of courtesy transportation vehicles (i.e., vehicles previously used by dealers that were sold to the end consumer).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our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industry and GM total vehicle sales and our related competitive position by geographic region (vehicles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00" w:type="dxa"/>
            <w:vAlign w:val="bottom"/>
          </w:tcPr>
          <w:p>
            <w:pPr>
              <w:spacing w:after="0"/>
              <w:rPr>
                <w:sz w:val="2"/>
                <w:szCs w:val="2"/>
                <w:color w:val="auto"/>
              </w:rPr>
            </w:pPr>
          </w:p>
        </w:tc>
        <w:tc>
          <w:tcPr>
            <w:tcW w:w="2340" w:type="dxa"/>
            <w:vAlign w:val="bottom"/>
            <w:gridSpan w:val="6"/>
          </w:tcPr>
          <w:p>
            <w:pPr>
              <w:spacing w:after="0"/>
              <w:rPr>
                <w:sz w:val="2"/>
                <w:szCs w:val="2"/>
                <w:color w:val="auto"/>
              </w:rPr>
            </w:pPr>
          </w:p>
        </w:tc>
        <w:tc>
          <w:tcPr>
            <w:tcW w:w="2380" w:type="dxa"/>
            <w:vAlign w:val="bottom"/>
            <w:gridSpan w:val="6"/>
          </w:tcPr>
          <w:p>
            <w:pPr>
              <w:spacing w:after="0"/>
              <w:rPr>
                <w:sz w:val="2"/>
                <w:szCs w:val="2"/>
                <w:color w:val="auto"/>
              </w:rPr>
            </w:pPr>
          </w:p>
        </w:tc>
        <w:tc>
          <w:tcPr>
            <w:tcW w:w="2400" w:type="dxa"/>
            <w:vAlign w:val="bottom"/>
            <w:gridSpan w:val="6"/>
          </w:tcPr>
          <w:p>
            <w:pPr>
              <w:spacing w:after="0"/>
              <w:rPr>
                <w:sz w:val="2"/>
                <w:szCs w:val="2"/>
                <w:color w:val="auto"/>
              </w:rPr>
            </w:pPr>
          </w:p>
        </w:tc>
        <w:tc>
          <w:tcPr>
            <w:tcW w:w="232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2340" w:type="dxa"/>
            <w:vAlign w:val="bottom"/>
            <w:tcBorders>
              <w:top w:val="single" w:sz="8" w:color="auto"/>
            </w:tcBorders>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300" w:type="dxa"/>
            <w:vAlign w:val="bottom"/>
            <w:tcBorders>
              <w:top w:val="single" w:sz="8" w:color="auto"/>
            </w:tcBorders>
            <w:gridSpan w:val="5"/>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2400" w:type="dxa"/>
            <w:vAlign w:val="bottom"/>
            <w:tcBorders>
              <w:top w:val="single" w:sz="8" w:color="auto"/>
            </w:tcBorders>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320" w:type="dxa"/>
            <w:vAlign w:val="bottom"/>
            <w:tcBorders>
              <w:top w:val="single" w:sz="8" w:color="auto"/>
            </w:tcBorders>
            <w:gridSpan w:val="5"/>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34"/>
        </w:trPr>
        <w:tc>
          <w:tcPr>
            <w:tcW w:w="1800" w:type="dxa"/>
            <w:vAlign w:val="bottom"/>
          </w:tcPr>
          <w:p>
            <w:pPr>
              <w:spacing w:after="0"/>
              <w:rPr>
                <w:sz w:val="11"/>
                <w:szCs w:val="11"/>
                <w:color w:val="auto"/>
              </w:rPr>
            </w:pPr>
          </w:p>
        </w:tc>
        <w:tc>
          <w:tcPr>
            <w:tcW w:w="84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4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4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8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40" w:type="dxa"/>
            <w:vAlign w:val="bottom"/>
            <w:tcBorders>
              <w:top w:val="single" w:sz="8" w:color="auto"/>
            </w:tcBorders>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86"/>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54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GM</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85"/>
              <w:spacing w:after="0" w:line="135"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95"/>
        </w:trPr>
        <w:tc>
          <w:tcPr>
            <w:tcW w:w="18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8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9"/>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North America</w:t>
            </w: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12"/>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11"/>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North America</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0" w:type="dxa"/>
            <w:vAlign w:val="bottom"/>
          </w:tcPr>
          <w:p>
            <w:pPr>
              <w:spacing w:after="0"/>
              <w:rPr>
                <w:sz w:val="1"/>
                <w:szCs w:val="1"/>
                <w:color w:val="auto"/>
              </w:rPr>
            </w:pPr>
          </w:p>
        </w:tc>
      </w:tr>
      <w:tr>
        <w:trPr>
          <w:trHeight w:val="141"/>
        </w:trPr>
        <w:tc>
          <w:tcPr>
            <w:tcW w:w="180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Asia/Pacific, Middle East</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8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and Africa</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China(a)</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12"/>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16,310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144"/>
        </w:trPr>
        <w:tc>
          <w:tcPr>
            <w:tcW w:w="18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color w:val="auto"/>
              </w:rPr>
              <w:t>Total Asia/Pacific, Middle</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12,121</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35,903</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34,433</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20"/>
        </w:trPr>
        <w:tc>
          <w:tcPr>
            <w:tcW w:w="1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East and Africa</w:t>
            </w: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South America</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12"/>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11"/>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South America</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6"/>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 GM markets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18,868</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18,185</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54,602</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52,193</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0" w:type="dxa"/>
            <w:vAlign w:val="bottom"/>
          </w:tcPr>
          <w:p>
            <w:pPr>
              <w:spacing w:after="0"/>
              <w:rPr>
                <w:sz w:val="1"/>
                <w:szCs w:val="1"/>
                <w:color w:val="auto"/>
              </w:rPr>
            </w:pPr>
          </w:p>
        </w:tc>
      </w:tr>
      <w:tr>
        <w:trPr>
          <w:trHeight w:val="218"/>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Europe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12,493</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Worldwide(b)</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21,910</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67,095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64,734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8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b w:val="1"/>
                <w:bCs w:val="1"/>
                <w:color w:val="auto"/>
              </w:rPr>
              <w:t>United States</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18"/>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Trucks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0" w:type="dxa"/>
            <w:vAlign w:val="bottom"/>
          </w:tcPr>
          <w:p>
            <w:pPr>
              <w:spacing w:after="0"/>
              <w:rPr>
                <w:sz w:val="1"/>
                <w:szCs w:val="1"/>
                <w:color w:val="auto"/>
              </w:rPr>
            </w:pPr>
          </w:p>
        </w:tc>
      </w:tr>
      <w:tr>
        <w:trPr>
          <w:trHeight w:val="212"/>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Crossovers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8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12.3 %</w:t>
            </w:r>
          </w:p>
        </w:tc>
        <w:tc>
          <w:tcPr>
            <w:tcW w:w="0" w:type="dxa"/>
            <w:vAlign w:val="bottom"/>
          </w:tcPr>
          <w:p>
            <w:pPr>
              <w:spacing w:after="0"/>
              <w:rPr>
                <w:sz w:val="1"/>
                <w:szCs w:val="1"/>
                <w:color w:val="auto"/>
              </w:rPr>
            </w:pPr>
          </w:p>
        </w:tc>
      </w:tr>
      <w:tr>
        <w:trPr>
          <w:trHeight w:val="23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United States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16.5 %</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China(a)</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80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SGMS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SGMW</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sales by the Automotive China JVs: SAIC General Motors Sales Co., Ltd. (SGMS) and SAIC GM Wuling Automobile Co., Ltd. (SGMW).</w:t>
      </w:r>
    </w:p>
    <w:p>
      <w:pPr>
        <w:spacing w:after="0" w:line="14" w:lineRule="exact"/>
        <w:rPr>
          <w:rFonts w:ascii="Times New Roman" w:cs="Times New Roman" w:eastAsia="Times New Roman" w:hAnsi="Times New Roman"/>
          <w:sz w:val="16"/>
          <w:szCs w:val="16"/>
          <w:color w:val="auto"/>
        </w:rPr>
      </w:pPr>
    </w:p>
    <w:p>
      <w:pPr>
        <w:ind w:left="340" w:hanging="333"/>
        <w:spacing w:after="0" w:line="255"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Cuba, Iran, North Korea, Syria and certain regions of Ukraine are subject to broad economic sanctions. Accordingly, these countries are excluded from industry sales data and corresponding calculation of market share.</w:t>
      </w:r>
    </w:p>
    <w:p>
      <w:pPr>
        <w:spacing w:after="0" w:line="21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3520" w:type="dxa"/>
            <w:vAlign w:val="bottom"/>
            <w:gridSpan w:val="4"/>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20" w:type="dxa"/>
            <w:vAlign w:val="bottom"/>
            <w:gridSpan w:val="3"/>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5"/>
        </w:trPr>
        <w:tc>
          <w:tcPr>
            <w:tcW w:w="430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76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r>
      <w:tr>
        <w:trPr>
          <w:trHeight w:val="188"/>
        </w:trPr>
        <w:tc>
          <w:tcPr>
            <w:tcW w:w="4300" w:type="dxa"/>
            <w:vAlign w:val="bottom"/>
          </w:tcPr>
          <w:p>
            <w:pPr>
              <w:spacing w:after="0"/>
              <w:rPr>
                <w:sz w:val="16"/>
                <w:szCs w:val="16"/>
                <w:color w:val="auto"/>
              </w:rPr>
            </w:pPr>
          </w:p>
        </w:tc>
        <w:tc>
          <w:tcPr>
            <w:tcW w:w="176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7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6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GMNA</w:t>
            </w:r>
          </w:p>
        </w:tc>
        <w:tc>
          <w:tcPr>
            <w:tcW w:w="16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447</w:t>
            </w:r>
          </w:p>
        </w:tc>
      </w:tr>
      <w:tr>
        <w:trPr>
          <w:trHeight w:val="228"/>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GMI</w:t>
            </w:r>
          </w:p>
        </w:tc>
        <w:tc>
          <w:tcPr>
            <w:tcW w:w="1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274</w:t>
            </w:r>
          </w:p>
        </w:tc>
      </w:tr>
      <w:tr>
        <w:trPr>
          <w:trHeight w:val="24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fleet sales</w:t>
            </w:r>
          </w:p>
        </w:tc>
        <w:tc>
          <w:tcPr>
            <w:tcW w:w="16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721</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sales as a percentage of total vehicle sales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r>
      <w:tr>
        <w:trPr>
          <w:trHeight w:val="887"/>
        </w:trPr>
        <w:tc>
          <w:tcPr>
            <w:tcW w:w="4300" w:type="dxa"/>
            <w:vAlign w:val="bottom"/>
          </w:tcPr>
          <w:p>
            <w:pPr>
              <w:spacing w:after="0"/>
              <w:rPr>
                <w:sz w:val="24"/>
                <w:szCs w:val="24"/>
                <w:color w:val="auto"/>
              </w:rPr>
            </w:pPr>
          </w:p>
        </w:tc>
        <w:tc>
          <w:tcPr>
            <w:tcW w:w="16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6"/>
        </w:trPr>
        <w:tc>
          <w:tcPr>
            <w:tcW w:w="43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w:t>
      </w:r>
      <w:r>
        <w:rPr>
          <w:rFonts w:ascii="Times New Roman" w:cs="Times New Roman" w:eastAsia="Times New Roman" w:hAnsi="Times New Roman"/>
          <w:sz w:val="18"/>
          <w:szCs w:val="18"/>
          <w:color w:val="auto"/>
        </w:rPr>
        <w:t>We believe that offering a comprehensive suite of financing products will generate incremental sales of our vehicles, drive incremental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GM Financial earnings and help support our sales throughout various economic cycles. GM Financial's penetration of our retail sales in the U.S. was 34% in the nine months ended September 30, 2025 and 39% in the corresponding period in 2024. Penetration levels vary depending on incentive financing programs available and competing third-party financing products in the market. GM Financial's prime loan originations as a percentage of total loan originations in North America were 80% in the nine months ended September 30, 2025 and 2024. In the nine months ended September 30, 2025, GM Financial's revenue consisted of leased vehicle income of 46%, retail finance charge income of 41% and commercial finance charge income of 7%.</w:t>
      </w:r>
    </w:p>
    <w:p>
      <w:pPr>
        <w:spacing w:after="0" w:line="21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 Financial's leasing program is exposed to residual values, which are heavily dependent on used vehicle prices. Gains on terminations of leased vehicles of $0.1 billion and $0.5 billion were included in GM Financial interest, operating and other expenses for the three and nine months ended September 30, 2025, compared to gains of $0.2 billion and $0.6 billion in the corresponding periods in 2024. The decrease in gains is primarily due to fewer terminated leases in 2025. The following table summarizes the estimated residual value based on GM Financial's most recent estimates and the number of units included in GM Financial Equipment on operating leases, net by vehicle type (units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40" w:type="dxa"/>
            <w:vAlign w:val="bottom"/>
          </w:tcPr>
          <w:p>
            <w:pPr>
              <w:spacing w:after="0"/>
              <w:rPr>
                <w:sz w:val="16"/>
                <w:szCs w:val="16"/>
                <w:color w:val="auto"/>
              </w:rPr>
            </w:pPr>
          </w:p>
        </w:tc>
      </w:tr>
      <w:tr>
        <w:trPr>
          <w:trHeight w:val="25"/>
        </w:trPr>
        <w:tc>
          <w:tcPr>
            <w:tcW w:w="2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6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r>
      <w:tr>
        <w:trPr>
          <w:trHeight w:val="188"/>
        </w:trPr>
        <w:tc>
          <w:tcPr>
            <w:tcW w:w="2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Residual Value</w:t>
            </w:r>
          </w:p>
        </w:tc>
        <w:tc>
          <w:tcPr>
            <w:tcW w:w="146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8"/>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22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r>
      <w:tr>
        <w:trPr>
          <w:trHeight w:val="228"/>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Consolidated Results </w:t>
      </w:r>
      <w:r>
        <w:rPr>
          <w:rFonts w:ascii="Times New Roman" w:cs="Times New Roman" w:eastAsia="Times New Roman" w:hAnsi="Times New Roman"/>
          <w:sz w:val="18"/>
          <w:szCs w:val="18"/>
          <w:color w:val="auto"/>
        </w:rPr>
        <w:t>We review changes in our results of operations under five categories: Volume, Mix, Price, Cost and Other. Volume measures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expenses;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Total Net Sales and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4"/>
                <w:szCs w:val="14"/>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4"/>
                <w:szCs w:val="14"/>
                <w:color w:val="auto"/>
              </w:rPr>
            </w:pPr>
          </w:p>
        </w:tc>
        <w:tc>
          <w:tcPr>
            <w:tcW w:w="60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4"/>
                <w:szCs w:val="14"/>
                <w:color w:val="auto"/>
              </w:rPr>
            </w:pPr>
          </w:p>
        </w:tc>
        <w:tc>
          <w:tcPr>
            <w:tcW w:w="6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4"/>
                <w:szCs w:val="14"/>
                <w:color w:val="auto"/>
              </w:rPr>
            </w:pPr>
          </w:p>
        </w:tc>
        <w:tc>
          <w:tcPr>
            <w:tcW w:w="5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n.m.</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48,591</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48,757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4"/>
                <w:szCs w:val="14"/>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0" w:type="dxa"/>
            <w:vAlign w:val="bottom"/>
          </w:tcPr>
          <w:p>
            <w:pPr>
              <w:spacing w:after="0"/>
              <w:rPr>
                <w:sz w:val="14"/>
                <w:szCs w:val="14"/>
                <w:color w:val="auto"/>
              </w:rPr>
            </w:pPr>
          </w:p>
        </w:tc>
        <w:tc>
          <w:tcPr>
            <w:tcW w:w="10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gridSpan w:val="2"/>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4"/>
                <w:szCs w:val="14"/>
                <w:color w:val="auto"/>
              </w:rPr>
            </w:pPr>
          </w:p>
        </w:tc>
        <w:tc>
          <w:tcPr>
            <w:tcW w:w="60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4"/>
                <w:szCs w:val="14"/>
                <w:color w:val="auto"/>
              </w:rPr>
            </w:pPr>
          </w:p>
        </w:tc>
        <w:tc>
          <w:tcPr>
            <w:tcW w:w="6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4"/>
                <w:szCs w:val="14"/>
                <w:color w:val="auto"/>
              </w:rPr>
            </w:pPr>
          </w:p>
        </w:tc>
        <w:tc>
          <w:tcPr>
            <w:tcW w:w="5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Automotive</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 Financial</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Eliminations/reclassifications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net sales and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139,732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139,740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1"/>
                <w:szCs w:val="21"/>
                <w:color w:val="auto"/>
              </w:rPr>
            </w:pPr>
          </w:p>
        </w:tc>
        <w:tc>
          <w:tcPr>
            <w:tcW w:w="10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Mix, Price and Other.</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Cost of 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4"/>
                <w:szCs w:val="14"/>
                <w:color w:val="auto"/>
              </w:rPr>
            </w:pP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4"/>
                <w:szCs w:val="14"/>
                <w:color w:val="auto"/>
              </w:rPr>
            </w:pPr>
          </w:p>
        </w:tc>
        <w:tc>
          <w:tcPr>
            <w:tcW w:w="10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4"/>
                <w:szCs w:val="14"/>
                <w:color w:val="auto"/>
              </w:rPr>
            </w:pPr>
          </w:p>
        </w:tc>
        <w:tc>
          <w:tcPr>
            <w:tcW w:w="62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4"/>
                <w:szCs w:val="14"/>
                <w:color w:val="auto"/>
              </w:rPr>
            </w:pPr>
          </w:p>
        </w:tc>
        <w:tc>
          <w:tcPr>
            <w:tcW w:w="6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4"/>
                <w:szCs w:val="14"/>
                <w:color w:val="auto"/>
              </w:rPr>
            </w:pP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3"/>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right w:val="single" w:sz="8" w:color="auto"/>
            </w:tcBorders>
            <w:gridSpan w:val="2"/>
          </w:tcPr>
          <w:p>
            <w:pPr>
              <w:ind w:left="580"/>
              <w:spacing w:after="0"/>
              <w:rPr>
                <w:sz w:val="20"/>
                <w:szCs w:val="20"/>
                <w:color w:val="auto"/>
              </w:rPr>
            </w:pPr>
            <w:r>
              <w:rPr>
                <w:rFonts w:ascii="Times New Roman" w:cs="Times New Roman" w:eastAsia="Times New Roman" w:hAnsi="Times New Roman"/>
                <w:sz w:val="16"/>
                <w:szCs w:val="16"/>
                <w:color w:val="auto"/>
              </w:rPr>
              <w:t>n.m.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41,936</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39,007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3"/>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140" w:type="dxa"/>
            <w:vAlign w:val="bottom"/>
            <w:tcBorders>
              <w:bottom w:val="single" w:sz="8" w:color="auto"/>
            </w:tcBorders>
            <w:gridSpan w:val="2"/>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2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40" w:type="dxa"/>
            <w:vAlign w:val="bottom"/>
            <w:gridSpan w:val="6"/>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3"/>
                <w:szCs w:val="13"/>
                <w:color w:val="auto"/>
              </w:rPr>
            </w:pPr>
          </w:p>
        </w:tc>
        <w:tc>
          <w:tcPr>
            <w:tcW w:w="1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0" w:type="dxa"/>
            <w:vAlign w:val="bottom"/>
            <w:gridSpan w:val="3"/>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20" w:type="dxa"/>
            <w:vAlign w:val="bottom"/>
          </w:tcPr>
          <w:p>
            <w:pPr>
              <w:spacing w:after="0"/>
              <w:rPr>
                <w:sz w:val="13"/>
                <w:szCs w:val="13"/>
                <w:color w:val="auto"/>
              </w:rPr>
            </w:pPr>
          </w:p>
        </w:tc>
        <w:tc>
          <w:tcPr>
            <w:tcW w:w="62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Mix</w:t>
            </w:r>
          </w:p>
        </w:tc>
        <w:tc>
          <w:tcPr>
            <w:tcW w:w="220" w:type="dxa"/>
            <w:vAlign w:val="bottom"/>
          </w:tcPr>
          <w:p>
            <w:pPr>
              <w:spacing w:after="0"/>
              <w:rPr>
                <w:sz w:val="13"/>
                <w:szCs w:val="13"/>
                <w:color w:val="auto"/>
              </w:rPr>
            </w:pPr>
          </w:p>
        </w:tc>
        <w:tc>
          <w:tcPr>
            <w:tcW w:w="6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5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1000" w:type="dxa"/>
            <w:vAlign w:val="bottom"/>
            <w:gridSpan w:val="3"/>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GMNA</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100,858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0.6</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Cruise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1,499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90.2 %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Eliminations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automotive and other cost of</w:t>
            </w:r>
          </w:p>
        </w:tc>
        <w:tc>
          <w:tcPr>
            <w:tcW w:w="20" w:type="dxa"/>
            <w:vAlign w:val="bottom"/>
            <w:vMerge w:val="restart"/>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116,416</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111,618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ind w:right="22"/>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28"/>
        </w:trPr>
        <w:tc>
          <w:tcPr>
            <w:tcW w:w="2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sales</w:t>
            </w:r>
          </w:p>
        </w:tc>
        <w:tc>
          <w:tcPr>
            <w:tcW w:w="2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three months ended September 30, 2025, increased Cost was primarily due to: (1) charges of $1.6 billion due to the EV strategic realignment; (2) increased material and freight costs of $1.0 billion, including $1.1 billion due to tariffs; (3) increased warranty-related costs of $0.9 billion; and (4) charges of $0.3 billion due to our former OnStar Smart Driver program; partially offset by (5) decreased engineering costs of $0.2 billion, driven primarily by the wind down of Cruise robotaxi operations. In the three months ended September 30, 2025, favorable Other was primarily due to net foreign currency changes in the Mexican peso.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the nine months ended September 30, 2025, increased Cost was primarily due to: (1) increased material and freight costs of $2.7 billion, including $2.4 billion due to tariffs; (2) charges of $1.6 billion due to the EV strategic realignment; (3) increased warranty-related costs of $1.3 billion; (4) unfavorable net realizable value inventory adjustments, primarily EV-related, of $0.5 billion in the nine months ended September 30, 2025 compared to similar favorable inventory adjustments of $0.4 billion in the nine months ended September 30, 2024; (5) charges of $0.3 billion due to the Ultium Cells Holdings LLC strategic realignment; (6) charges of $0.3 billion due to our former OnStar Smart Driver program; and (7) increased manufacturing costs of $0.2 billion; partially offset by (8) decreased engineering costs of $0.7 billion, driven primarily by the wind down of Cruise robotaxi operations; and (9) the reduction of charges related to Cruise restructuring of $0.6 billion. In the nine months ended September 30, 2025, favorable Other was primarily due to net foreign currency changes in the Mexican peso.</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the regional sections of this MD&amp;A for additional information on Volume and Mix.</w:t>
      </w:r>
    </w:p>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Automotive and Other Selling, General and Administrative Expense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21"/>
        </w:trPr>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40" w:type="dxa"/>
            <w:vAlign w:val="bottom"/>
          </w:tcPr>
          <w:p>
            <w:pPr>
              <w:spacing w:after="0"/>
              <w:rPr>
                <w:sz w:val="10"/>
                <w:szCs w:val="10"/>
                <w:color w:val="auto"/>
              </w:rPr>
            </w:pPr>
          </w:p>
        </w:tc>
        <w:tc>
          <w:tcPr>
            <w:tcW w:w="920" w:type="dxa"/>
            <w:vAlign w:val="bottom"/>
          </w:tcPr>
          <w:p>
            <w:pPr>
              <w:jc w:val="center"/>
              <w:ind w:right="48"/>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82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0"/>
                <w:szCs w:val="10"/>
                <w:color w:val="auto"/>
              </w:rPr>
            </w:pPr>
          </w:p>
        </w:tc>
        <w:tc>
          <w:tcPr>
            <w:tcW w:w="920" w:type="dxa"/>
            <w:vAlign w:val="bottom"/>
          </w:tcPr>
          <w:p>
            <w:pPr>
              <w:jc w:val="center"/>
              <w:ind w:right="48"/>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900" w:type="dxa"/>
            <w:vAlign w:val="bottom"/>
          </w:tcPr>
          <w:p>
            <w:pPr>
              <w:spacing w:after="0"/>
              <w:rPr>
                <w:sz w:val="10"/>
                <w:szCs w:val="10"/>
                <w:color w:val="auto"/>
              </w:rPr>
            </w:pPr>
          </w:p>
        </w:tc>
      </w:tr>
      <w:tr>
        <w:trPr>
          <w:trHeight w:val="182"/>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20" w:type="dxa"/>
            <w:vAlign w:val="bottom"/>
          </w:tcPr>
          <w:p>
            <w:pPr>
              <w:jc w:val="right"/>
              <w:ind w:right="264"/>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90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1"/>
        </w:trPr>
        <w:tc>
          <w:tcPr>
            <w:tcW w:w="24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Automotive and other selling,</w:t>
            </w: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175"/>
        </w:trPr>
        <w:tc>
          <w:tcPr>
            <w:tcW w:w="242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2"/>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21"/>
                <w:szCs w:val="21"/>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25.8 %</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7,292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15.5 %</w:t>
            </w:r>
          </w:p>
        </w:tc>
      </w:tr>
    </w:tbl>
    <w:p>
      <w:pPr>
        <w:spacing w:after="0" w:line="3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three months ended September 30, 2025, Automotive and other selling, general and administrative expense decreased primarily due to: (1) decreased advertising, selling and administrative costs of $0.4 billion; and (2) the absence of charges related to strategic activities to transition certain Buick dealerships of $0.2 billion.</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2025, Automotive and other selling, general and administrative expense decreased primarily due to: (1) decreased advertising, selling and administrative costs of $0.7 billion; and (2) the absence of charges related to strategic activities to transition certain Buick dealerships of $0.3 billion.</w:t>
      </w: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and Other Non-operating Income, net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21"/>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0"/>
                <w:szCs w:val="10"/>
                <w:color w:val="auto"/>
              </w:rPr>
            </w:pPr>
          </w:p>
        </w:tc>
        <w:tc>
          <w:tcPr>
            <w:tcW w:w="900" w:type="dxa"/>
            <w:vAlign w:val="bottom"/>
          </w:tcPr>
          <w:p>
            <w:pPr>
              <w:jc w:val="center"/>
              <w:ind w:right="68"/>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9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0"/>
                <w:szCs w:val="10"/>
                <w:color w:val="auto"/>
              </w:rPr>
            </w:pPr>
          </w:p>
        </w:tc>
        <w:tc>
          <w:tcPr>
            <w:tcW w:w="920" w:type="dxa"/>
            <w:vAlign w:val="bottom"/>
          </w:tcPr>
          <w:p>
            <w:pPr>
              <w:jc w:val="center"/>
              <w:ind w:right="48"/>
              <w:spacing w:after="0" w:line="121"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900" w:type="dxa"/>
            <w:vAlign w:val="bottom"/>
          </w:tcPr>
          <w:p>
            <w:pPr>
              <w:spacing w:after="0"/>
              <w:rPr>
                <w:sz w:val="10"/>
                <w:szCs w:val="10"/>
                <w:color w:val="auto"/>
              </w:rPr>
            </w:pPr>
          </w:p>
        </w:tc>
      </w:tr>
      <w:tr>
        <w:trPr>
          <w:trHeight w:val="182"/>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0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0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1"/>
        </w:trPr>
        <w:tc>
          <w:tcPr>
            <w:tcW w:w="23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Interest income and other non-</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242"/>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20.6 %</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52.3 %</w:t>
            </w:r>
          </w:p>
        </w:tc>
      </w:tr>
    </w:tbl>
    <w:p>
      <w:pPr>
        <w:spacing w:after="0" w:line="3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three months ended September 30, 2025, Interest income and other non-operating income, net increased primarily due to individually insignificant items.</w:t>
      </w:r>
    </w:p>
    <w:p>
      <w:pPr>
        <w:spacing w:after="0" w:line="189"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In the nine months ended September 30, 2025, Interest income and other non-operating income, net increased primarily due to $0.3 billion in gains related to revaluation of investments and other individually insignificant items.</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28"/>
        </w:trPr>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20" w:type="dxa"/>
            <w:vAlign w:val="bottom"/>
          </w:tcPr>
          <w:p>
            <w:pPr>
              <w:spacing w:after="0"/>
              <w:rPr>
                <w:sz w:val="11"/>
                <w:szCs w:val="11"/>
                <w:color w:val="auto"/>
              </w:rPr>
            </w:pPr>
          </w:p>
        </w:tc>
        <w:tc>
          <w:tcPr>
            <w:tcW w:w="900" w:type="dxa"/>
            <w:vAlign w:val="bottom"/>
          </w:tcPr>
          <w:p>
            <w:pPr>
              <w:jc w:val="center"/>
              <w:ind w:right="68"/>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9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1"/>
                <w:szCs w:val="11"/>
                <w:color w:val="auto"/>
              </w:rPr>
            </w:pPr>
          </w:p>
        </w:tc>
        <w:tc>
          <w:tcPr>
            <w:tcW w:w="920" w:type="dxa"/>
            <w:vAlign w:val="bottom"/>
          </w:tcPr>
          <w:p>
            <w:pPr>
              <w:jc w:val="center"/>
              <w:ind w:right="48"/>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Favorable/</w:t>
            </w:r>
          </w:p>
        </w:tc>
        <w:tc>
          <w:tcPr>
            <w:tcW w:w="920" w:type="dxa"/>
            <w:vAlign w:val="bottom"/>
          </w:tcPr>
          <w:p>
            <w:pPr>
              <w:spacing w:after="0"/>
              <w:rPr>
                <w:sz w:val="11"/>
                <w:szCs w:val="11"/>
                <w:color w:val="auto"/>
              </w:rPr>
            </w:pP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0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11"/>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(Unfavorable)</w:t>
            </w:r>
          </w:p>
        </w:tc>
        <w:tc>
          <w:tcPr>
            <w:tcW w:w="9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2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82.1 %</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40.8 %</w:t>
            </w:r>
          </w:p>
        </w:tc>
      </w:tr>
    </w:tbl>
    <w:p>
      <w:pPr>
        <w:spacing w:after="0" w:line="3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 the three and nine months ended September 30, 2025, Income tax expense decreased primarily due to lower pre-tax income.</w:t>
      </w:r>
    </w:p>
    <w:p>
      <w:pPr>
        <w:spacing w:after="0" w:line="250"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For the three and nine months ended September 30, 2025, our effective tax rate was 8.9% and 18.0% and our effective tax rate-adjusted (ETR-adjusted) was 19.8% and 19.3%. We expect our ETR-adjusted to be between 20% and 21% for the year ending December 31, 2025. Refer to the "Non-GAAP Measures" section of this MD&amp;A for additional information.</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Refer to Note 15 to our condensed consolidated financial statements for additional information related to Income tax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North America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4"/>
                <w:szCs w:val="14"/>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200" w:type="dxa"/>
            <w:vAlign w:val="bottom"/>
          </w:tcPr>
          <w:p>
            <w:pPr>
              <w:spacing w:after="0"/>
              <w:rPr>
                <w:sz w:val="14"/>
                <w:szCs w:val="14"/>
                <w:color w:val="auto"/>
              </w:rPr>
            </w:pPr>
          </w:p>
        </w:tc>
        <w:tc>
          <w:tcPr>
            <w:tcW w:w="5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4"/>
                <w:szCs w:val="14"/>
                <w:color w:val="auto"/>
              </w:rPr>
            </w:pPr>
          </w:p>
        </w:tc>
        <w:tc>
          <w:tcPr>
            <w:tcW w:w="5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4"/>
                <w:szCs w:val="14"/>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4"/>
                <w:szCs w:val="14"/>
                <w:color w:val="auto"/>
              </w:rPr>
            </w:pPr>
          </w:p>
        </w:tc>
        <w:tc>
          <w:tcPr>
            <w:tcW w:w="48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3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40,551</w:t>
            </w:r>
          </w:p>
        </w:tc>
        <w:tc>
          <w:tcPr>
            <w:tcW w:w="7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41,157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3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2,506</w:t>
            </w:r>
          </w:p>
        </w:tc>
        <w:tc>
          <w:tcPr>
            <w:tcW w:w="700" w:type="dxa"/>
            <w:vAlign w:val="bottom"/>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3,982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840</w:t>
            </w:r>
          </w:p>
        </w:tc>
        <w:tc>
          <w:tcPr>
            <w:tcW w:w="7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4"/>
            <w:vMerge w:val="restart"/>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98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200" w:type="dxa"/>
            <w:vAlign w:val="bottom"/>
          </w:tcPr>
          <w:p>
            <w:pPr>
              <w:spacing w:after="0"/>
              <w:rPr>
                <w:sz w:val="13"/>
                <w:szCs w:val="13"/>
                <w:color w:val="auto"/>
              </w:rPr>
            </w:pPr>
          </w:p>
        </w:tc>
        <w:tc>
          <w:tcPr>
            <w:tcW w:w="5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Mix</w:t>
            </w:r>
          </w:p>
        </w:tc>
        <w:tc>
          <w:tcPr>
            <w:tcW w:w="180" w:type="dxa"/>
            <w:vAlign w:val="bottom"/>
          </w:tcPr>
          <w:p>
            <w:pPr>
              <w:spacing w:after="0"/>
              <w:rPr>
                <w:sz w:val="13"/>
                <w:szCs w:val="13"/>
                <w:color w:val="auto"/>
              </w:rPr>
            </w:pPr>
          </w:p>
        </w:tc>
        <w:tc>
          <w:tcPr>
            <w:tcW w:w="5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3"/>
                <w:szCs w:val="13"/>
                <w:color w:val="auto"/>
              </w:rPr>
            </w:pPr>
          </w:p>
        </w:tc>
        <w:tc>
          <w:tcPr>
            <w:tcW w:w="5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0" w:type="dxa"/>
            <w:vAlign w:val="bottom"/>
          </w:tcPr>
          <w:p>
            <w:pPr>
              <w:spacing w:after="0"/>
              <w:rPr>
                <w:sz w:val="13"/>
                <w:szCs w:val="13"/>
                <w:color w:val="auto"/>
              </w:rPr>
            </w:pPr>
          </w:p>
        </w:tc>
        <w:tc>
          <w:tcPr>
            <w:tcW w:w="48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0" w:type="dxa"/>
            <w:vAlign w:val="bottom"/>
          </w:tcPr>
          <w:p>
            <w:pPr>
              <w:spacing w:after="0"/>
              <w:rPr>
                <w:sz w:val="1"/>
                <w:szCs w:val="1"/>
                <w:color w:val="auto"/>
              </w:rPr>
            </w:pPr>
          </w:p>
        </w:tc>
      </w:tr>
      <w:tr>
        <w:trPr>
          <w:trHeight w:val="193"/>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4"/>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5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3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117,424</w:t>
            </w:r>
          </w:p>
        </w:tc>
        <w:tc>
          <w:tcPr>
            <w:tcW w:w="70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2"/>
              </w:rPr>
              <w:t>117,981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3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8,207</w:t>
            </w:r>
          </w:p>
        </w:tc>
        <w:tc>
          <w:tcPr>
            <w:tcW w:w="700" w:type="dxa"/>
            <w:vAlign w:val="bottom"/>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12,254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8"/>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2,516</w:t>
            </w:r>
          </w:p>
        </w:tc>
        <w:tc>
          <w:tcPr>
            <w:tcW w:w="7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2,588</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Total Net Sales and Revenue </w:t>
      </w:r>
      <w:r>
        <w:rPr>
          <w:rFonts w:ascii="Times New Roman" w:cs="Times New Roman" w:eastAsia="Times New Roman" w:hAnsi="Times New Roman"/>
          <w:sz w:val="18"/>
          <w:szCs w:val="18"/>
          <w:color w:val="auto"/>
        </w:rPr>
        <w:t>In the three months ended September 30, 2025, Total net sales and revenue decreased primarily due to: (1)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decreased net wholesale volumes due to decreased sales of cars and crossover vehicles, partially offset by increased sales of full-size pickup trucks; partially offset by (2) favorable Mix associated with decreased sales of cars, increased sales of full-size SUVs and decreased sales of crossover vehicles; (3) favorable Price as a result of lean dealer inventory levels due to strong demand for our products; and (4) favorable Other due to increased sales of parts and accessories.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the nine months ended September 30, 2025, Total net sales and revenue decreased primarily due to: (1) decreased net wholesale volumes due to decreased sales of cars and full-size pickup trucks, due to portfolio actions and lower planned production for product upgrades, partially offset by increased sales of crossover vehicles, including EVs, and mid-size pickup trucks and vans; partially offset by (2) favorable Mix associated with decreased sales of cars and increased sales of full-size SUVs, partially offset by increased sales of crossover vehicles, including EVs; and (3) favorable Price as a result of lean dealer inventory levels due to strong demand for our products.</w:t>
      </w:r>
    </w:p>
    <w:p>
      <w:pPr>
        <w:spacing w:after="0" w:line="209"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GMNA EBIT-Adjusted </w:t>
      </w:r>
      <w:r>
        <w:rPr>
          <w:rFonts w:ascii="Times New Roman" w:cs="Times New Roman" w:eastAsia="Times New Roman" w:hAnsi="Times New Roman"/>
          <w:sz w:val="18"/>
          <w:szCs w:val="18"/>
          <w:color w:val="auto"/>
        </w:rPr>
        <w:t>In the three months ended September 30, 2025, EBIT-adjusted decreased primarily due to: (1) unfavorable Cost primarily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material and freight costs of $0.9 billion, including $1.1 billion due to tariffs, and increased warranty-related costs of $0.9 billion, partially offset by decreased advertising, selling and administrative costs of $0.2 billion; and (2) decreased net wholesale volumes; partially offset by (3) favorable Price;</w:t>
      </w:r>
    </w:p>
    <w:p>
      <w:pPr>
        <w:ind w:firstLine="7"/>
        <w:spacing w:after="0" w:line="258" w:lineRule="auto"/>
        <w:tabs>
          <w:tab w:leader="none" w:pos="2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Mix associated with decreased sales of cars and increased sales of full-size pickup trucks, partially offset by decreased sales of crossover vehicles; and (5) favorable Other due to net foreign currency changes primarily in the Mexican peso.</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In the nine months ended September 30, 2025, EBIT-adjusted decreased primarily due to: (1) unfavorable Cost primarily due to increased material and freight costs of $2.5 billion, including $2.4 billion due to tariffs, increased warranty-related costs of $1.4 billion, unfavorable net realizable value inventory adjustments, primarily EV-related, of $0.4 billion in the nine months ended September 30, 2025 compared to similar favorable inventory adjustments of $0.4 billion in the nine months ended September 30, 2024, and increased manufacturing costs of $0.2 billion, partially offset by decreased advertising, selling and administrative costs of $0.2 billion; (2) decreased net wholesale volumes; and (3) unfavorable Mix associated with increased sales of crossover vehicles, including EVs, partially offset by decreased sales of cars; partially offset by (4) favorable Price; and (5) favorable Other due to net foreign currency changes primarily in the Mexican peso and favorable revaluation of investments.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International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4"/>
                <w:szCs w:val="14"/>
                <w:color w:val="auto"/>
              </w:rPr>
            </w:pPr>
          </w:p>
        </w:tc>
        <w:tc>
          <w:tcPr>
            <w:tcW w:w="13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180" w:type="dxa"/>
            <w:vAlign w:val="bottom"/>
          </w:tcPr>
          <w:p>
            <w:pPr>
              <w:spacing w:after="0"/>
              <w:rPr>
                <w:sz w:val="14"/>
                <w:szCs w:val="14"/>
                <w:color w:val="auto"/>
              </w:rPr>
            </w:pPr>
          </w:p>
        </w:tc>
        <w:tc>
          <w:tcPr>
            <w:tcW w:w="4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4"/>
                <w:szCs w:val="14"/>
                <w:color w:val="auto"/>
              </w:rPr>
            </w:pPr>
          </w:p>
        </w:tc>
        <w:tc>
          <w:tcPr>
            <w:tcW w:w="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4"/>
                <w:szCs w:val="14"/>
                <w:color w:val="auto"/>
              </w:rPr>
            </w:pPr>
          </w:p>
        </w:tc>
        <w:tc>
          <w:tcPr>
            <w:tcW w:w="5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4"/>
                <w:szCs w:val="14"/>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3,645</w:t>
            </w:r>
          </w:p>
        </w:tc>
        <w:tc>
          <w:tcPr>
            <w:tcW w:w="7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8"/>
              </w:rPr>
              <w:t>(0.1)</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226</w:t>
            </w:r>
          </w:p>
        </w:tc>
        <w:tc>
          <w:tcPr>
            <w:tcW w:w="7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420" w:type="dxa"/>
            <w:vAlign w:val="bottom"/>
            <w:vMerge w:val="restart"/>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8"/>
                <w:szCs w:val="18"/>
                <w:i w:val="1"/>
                <w:iCs w:val="1"/>
                <w:color w:val="auto"/>
              </w:rPr>
              <w:t>80</w:t>
            </w:r>
          </w:p>
        </w:tc>
        <w:tc>
          <w:tcPr>
            <w:tcW w:w="760" w:type="dxa"/>
            <w:vAlign w:val="bottom"/>
            <w:vMerge w:val="restart"/>
          </w:tcPr>
          <w:p>
            <w:pPr>
              <w:jc w:val="right"/>
              <w:ind w:right="476"/>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(137)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217</w:t>
            </w:r>
          </w:p>
        </w:tc>
        <w:tc>
          <w:tcPr>
            <w:tcW w:w="100" w:type="dxa"/>
            <w:vAlign w:val="bottom"/>
          </w:tcPr>
          <w:p>
            <w:pPr>
              <w:spacing w:after="0"/>
              <w:rPr>
                <w:sz w:val="15"/>
                <w:szCs w:val="15"/>
                <w:color w:val="auto"/>
              </w:rPr>
            </w:pPr>
          </w:p>
        </w:tc>
        <w:tc>
          <w:tcPr>
            <w:tcW w:w="10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n.m.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4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420" w:type="dxa"/>
            <w:vAlign w:val="bottom"/>
            <w:vMerge w:val="restart"/>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6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i w:val="1"/>
                <w:iCs w:val="1"/>
                <w:color w:val="auto"/>
              </w:rPr>
              <w:t>146</w:t>
            </w:r>
          </w:p>
        </w:tc>
        <w:tc>
          <w:tcPr>
            <w:tcW w:w="760" w:type="dxa"/>
            <w:vAlign w:val="bottom"/>
            <w:vMerge w:val="restart"/>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179</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(33)</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(18.2)%</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 (loss)</w:t>
            </w:r>
          </w:p>
        </w:tc>
        <w:tc>
          <w:tcPr>
            <w:tcW w:w="4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137</w:t>
            </w:r>
          </w:p>
        </w:tc>
        <w:tc>
          <w:tcPr>
            <w:tcW w:w="7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__________</w:t>
            </w: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2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vMerge w:val="restart"/>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w w:val="98"/>
              </w:rPr>
              <w:t>Variance Due To</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9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260" w:type="dxa"/>
            <w:vAlign w:val="bottom"/>
          </w:tcPr>
          <w:p>
            <w:pPr>
              <w:spacing w:after="0"/>
              <w:rPr>
                <w:sz w:val="13"/>
                <w:szCs w:val="13"/>
                <w:color w:val="auto"/>
              </w:rPr>
            </w:pPr>
          </w:p>
        </w:tc>
        <w:tc>
          <w:tcPr>
            <w:tcW w:w="13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9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Volume</w:t>
            </w:r>
          </w:p>
        </w:tc>
        <w:tc>
          <w:tcPr>
            <w:tcW w:w="180" w:type="dxa"/>
            <w:vAlign w:val="bottom"/>
          </w:tcPr>
          <w:p>
            <w:pPr>
              <w:spacing w:after="0"/>
              <w:rPr>
                <w:sz w:val="13"/>
                <w:szCs w:val="13"/>
                <w:color w:val="auto"/>
              </w:rPr>
            </w:pPr>
          </w:p>
        </w:tc>
        <w:tc>
          <w:tcPr>
            <w:tcW w:w="4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Mix</w:t>
            </w:r>
          </w:p>
        </w:tc>
        <w:tc>
          <w:tcPr>
            <w:tcW w:w="200" w:type="dxa"/>
            <w:vAlign w:val="bottom"/>
          </w:tcPr>
          <w:p>
            <w:pPr>
              <w:spacing w:after="0"/>
              <w:rPr>
                <w:sz w:val="13"/>
                <w:szCs w:val="13"/>
                <w:color w:val="auto"/>
              </w:rPr>
            </w:pPr>
          </w:p>
        </w:tc>
        <w:tc>
          <w:tcPr>
            <w:tcW w:w="48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20" w:type="dxa"/>
            <w:vAlign w:val="bottom"/>
          </w:tcPr>
          <w:p>
            <w:pPr>
              <w:spacing w:after="0"/>
              <w:rPr>
                <w:sz w:val="13"/>
                <w:szCs w:val="13"/>
                <w:color w:val="auto"/>
              </w:rPr>
            </w:pPr>
          </w:p>
        </w:tc>
        <w:tc>
          <w:tcPr>
            <w:tcW w:w="5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(Unfavorable)</w:t>
            </w:r>
          </w:p>
        </w:tc>
        <w:tc>
          <w:tcPr>
            <w:tcW w:w="94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5"/>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 and revenue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9,398</w:t>
            </w:r>
          </w:p>
        </w:tc>
        <w:tc>
          <w:tcPr>
            <w:tcW w:w="7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9,897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8"/>
              </w:rPr>
              <w:t>(0.5)</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460</w:t>
            </w:r>
          </w:p>
        </w:tc>
        <w:tc>
          <w:tcPr>
            <w:tcW w:w="760" w:type="dxa"/>
            <w:vAlign w:val="bottom"/>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left="36"/>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 margin</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Equity income (loss) —</w:t>
            </w:r>
          </w:p>
        </w:tc>
        <w:tc>
          <w:tcPr>
            <w:tcW w:w="420" w:type="dxa"/>
            <w:vAlign w:val="bottom"/>
            <w:vMerge w:val="restart"/>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60" w:type="dxa"/>
            <w:vAlign w:val="bottom"/>
            <w:vMerge w:val="restart"/>
          </w:tcPr>
          <w:p>
            <w:pPr>
              <w:jc w:val="right"/>
              <w:ind w:right="153"/>
              <w:spacing w:after="0"/>
              <w:rPr>
                <w:sz w:val="20"/>
                <w:szCs w:val="20"/>
                <w:color w:val="auto"/>
              </w:rPr>
            </w:pPr>
            <w:r>
              <w:rPr>
                <w:rFonts w:ascii="Times New Roman" w:cs="Times New Roman" w:eastAsia="Times New Roman" w:hAnsi="Times New Roman"/>
                <w:sz w:val="18"/>
                <w:szCs w:val="18"/>
                <w:i w:val="1"/>
                <w:iCs w:val="1"/>
                <w:color w:val="auto"/>
              </w:rPr>
              <w:t>197</w:t>
            </w:r>
          </w:p>
        </w:tc>
        <w:tc>
          <w:tcPr>
            <w:tcW w:w="760" w:type="dxa"/>
            <w:vAlign w:val="bottom"/>
            <w:vMerge w:val="restart"/>
          </w:tcPr>
          <w:p>
            <w:pPr>
              <w:jc w:val="right"/>
              <w:ind w:right="476"/>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(347)</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544</w:t>
            </w:r>
          </w:p>
        </w:tc>
        <w:tc>
          <w:tcPr>
            <w:tcW w:w="100" w:type="dxa"/>
            <w:vAlign w:val="bottom"/>
          </w:tcPr>
          <w:p>
            <w:pPr>
              <w:spacing w:after="0"/>
              <w:rPr>
                <w:sz w:val="15"/>
                <w:szCs w:val="15"/>
                <w:color w:val="auto"/>
              </w:rPr>
            </w:pPr>
          </w:p>
        </w:tc>
        <w:tc>
          <w:tcPr>
            <w:tcW w:w="10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n.m.</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Automotive China</w:t>
            </w:r>
          </w:p>
        </w:tc>
        <w:tc>
          <w:tcPr>
            <w:tcW w:w="42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i w:val="1"/>
                <w:iCs w:val="1"/>
                <w:color w:val="auto"/>
              </w:rPr>
              <w:t>EBIT-adjusted — excluding</w:t>
            </w:r>
          </w:p>
        </w:tc>
        <w:tc>
          <w:tcPr>
            <w:tcW w:w="420" w:type="dxa"/>
            <w:vAlign w:val="bottom"/>
            <w:vMerge w:val="restart"/>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960" w:type="dxa"/>
            <w:vAlign w:val="bottom"/>
            <w:vMerge w:val="restart"/>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i w:val="1"/>
                <w:iCs w:val="1"/>
                <w:color w:val="auto"/>
              </w:rPr>
              <w:t>266</w:t>
            </w:r>
          </w:p>
        </w:tc>
        <w:tc>
          <w:tcPr>
            <w:tcW w:w="760" w:type="dxa"/>
            <w:vAlign w:val="bottom"/>
            <w:vMerge w:val="restart"/>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429</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(163)</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(37.9)%</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Equity income (loss)(a)</w:t>
            </w:r>
          </w:p>
        </w:tc>
        <w:tc>
          <w:tcPr>
            <w:tcW w:w="42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Wholesale vehicle sales</w:t>
            </w: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346</w:t>
            </w:r>
          </w:p>
        </w:tc>
        <w:tc>
          <w:tcPr>
            <w:tcW w:w="7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383</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tab/>
        <w:t>Excludes adjustments related to Automotive China JVs restructuring recorded in GMI.</w:t>
      </w:r>
    </w:p>
    <w:p>
      <w:pPr>
        <w:spacing w:after="0" w:line="23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 vehicle sales of our Automotive China JVs are not recorded in Total net sales and revenue. The results of our joint ventures are recorded in Equity income (loss), which is included in EBIT-adjusted above.</w:t>
      </w:r>
    </w:p>
    <w:p>
      <w:pPr>
        <w:spacing w:after="0" w:line="185"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Total Net Sales and Revenue </w:t>
      </w:r>
      <w:r>
        <w:rPr>
          <w:rFonts w:ascii="Times New Roman" w:cs="Times New Roman" w:eastAsia="Times New Roman" w:hAnsi="Times New Roman"/>
          <w:sz w:val="18"/>
          <w:szCs w:val="18"/>
          <w:color w:val="auto"/>
        </w:rPr>
        <w:t>In the three months ended September 30, 2025, Total net sales and revenue increased primarily due to: (1) favorable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Mix in Brazil and the Middle East; and (2) favorable Price across multiple vehicle lines in Argentina; partially offset by (3) decreased net wholesale volumes in Brazil and Korea, partially offset by increased wholesale volumes in Argentina and Egypt; and (4) unfavorable Other primarily due to net foreign currency changes in the Argentine peso, partially offset by the Brazilian real.</w:t>
      </w:r>
    </w:p>
    <w:p>
      <w:pPr>
        <w:spacing w:after="0" w:line="20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nine months ended September 30, 2025, Total net sales and revenue decreased primarily due to: (1) decreased net wholesale volumes in Brazil, partially offset by increased volumes in Argentina; and (2) unfavorable Other primarily due to net foreign currency changes in the Argentine peso, Brazilian real and Egyptian pound; partially offset by (3) favorable Mix in South America, partially offset by the Middle East; and (4) favorable Price in Argentina, the Middle East and Brazil.</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GMI EBIT-Adjusted </w:t>
      </w:r>
      <w:r>
        <w:rPr>
          <w:rFonts w:ascii="Times New Roman" w:cs="Times New Roman" w:eastAsia="Times New Roman" w:hAnsi="Times New Roman"/>
          <w:sz w:val="18"/>
          <w:szCs w:val="18"/>
          <w:color w:val="auto"/>
        </w:rPr>
        <w:t>In the three months ended September 30, 2025, EBIT-adjusted increased primarily due to: (1) favorable Price; (2) favorable Mix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Brazil and Argentina; and (3) favorable Other primarily due to increased Automotive China JVs equity income (loss), partially offset by net foreign currency changes in the Argentine peso; partially offset by (4) unfavorable Cost primarily due to increased material and logistics costs in Brazil and the Middle East.</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2025, EBIT-adjusted increased primarily due to: (1) favorable Price; (2) favorable Mix in Brazil and Argentina, partially offset by the Middle East; and (3) favorable Other primarily due to increased Automotive China JVs equity income (loss), partially offset by net foreign currency changes in the Argentine peso and the Brazilian real;</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partially offset by (4) decreased net wholesale volumes in Brazil and Korea, partially offset by increased volumes in Argentina and Egypt; and (5) unfavorable Cost primarily due to increased material and logistics costs in Brazil and the Middle East, partially offset by Korea.</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certain key operational and financial data for the Automotive China JVs (vehicles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40" w:type="dxa"/>
            <w:vAlign w:val="bottom"/>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61"/>
        </w:trPr>
        <w:tc>
          <w:tcPr>
            <w:tcW w:w="5200" w:type="dxa"/>
            <w:vAlign w:val="bottom"/>
            <w:tcBorders>
              <w:top w:val="single" w:sz="8" w:color="CCEEFF"/>
            </w:tcBorders>
            <w:gridSpan w:val="9"/>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w w:val="99"/>
              </w:rPr>
              <w:t>Wholesale vehicle sales, including vehicles exported to markets outside</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China</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2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Total net sales and revenue</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center"/>
              <w:ind w:left="59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6,121</w:t>
            </w:r>
          </w:p>
        </w:tc>
        <w:tc>
          <w:tcPr>
            <w:tcW w:w="100" w:type="dxa"/>
            <w:vAlign w:val="bottom"/>
          </w:tcPr>
          <w:p>
            <w:pPr>
              <w:spacing w:after="0"/>
              <w:rPr>
                <w:sz w:val="19"/>
                <w:szCs w:val="19"/>
                <w:color w:val="auto"/>
              </w:rPr>
            </w:pPr>
          </w:p>
        </w:tc>
        <w:tc>
          <w:tcPr>
            <w:tcW w:w="94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4,480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w w:val="96"/>
              </w:rPr>
              <w:t>17,270</w:t>
            </w:r>
          </w:p>
        </w:tc>
        <w:tc>
          <w:tcPr>
            <w:tcW w:w="10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0" w:type="dxa"/>
            <w:vAlign w:val="bottom"/>
          </w:tcPr>
          <w:p>
            <w:pPr>
              <w:spacing w:after="0"/>
              <w:rPr>
                <w:sz w:val="1"/>
                <w:szCs w:val="1"/>
                <w:color w:val="auto"/>
              </w:rPr>
            </w:pPr>
          </w:p>
        </w:tc>
      </w:tr>
      <w:tr>
        <w:trPr>
          <w:trHeight w:val="228"/>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538"/>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GM Financial</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00" w:type="dxa"/>
            <w:vAlign w:val="bottom"/>
            <w:gridSpan w:val="4"/>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7"/>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4"/>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040" w:type="dxa"/>
            <w:vAlign w:val="bottom"/>
          </w:tcPr>
          <w:p>
            <w:pPr>
              <w:jc w:val="right"/>
              <w:ind w:right="56"/>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100" w:type="dxa"/>
            <w:vAlign w:val="bottom"/>
            <w:gridSpan w:val="3"/>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right"/>
              <w:ind w:right="74"/>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180" w:type="dxa"/>
            <w:vAlign w:val="bottom"/>
            <w:gridSpan w:val="4"/>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84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00" w:type="dxa"/>
            <w:vAlign w:val="bottom"/>
            <w:gridSpan w:val="3"/>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1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4,337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11,761</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6"/>
              </w:rPr>
              <w:t>995</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2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loan losses $</w:t>
            </w:r>
          </w:p>
        </w:tc>
        <w:tc>
          <w:tcPr>
            <w:tcW w:w="10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676</w:t>
            </w:r>
          </w:p>
        </w:tc>
        <w:tc>
          <w:tcPr>
            <w:tcW w:w="58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w w:val="96"/>
              </w:rPr>
              <w:t>250</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28"/>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EBT-adjusted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2,246</w:t>
            </w:r>
          </w:p>
        </w:tc>
        <w:tc>
          <w:tcPr>
            <w:tcW w:w="58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5"/>
        </w:trPr>
        <w:tc>
          <w:tcPr>
            <w:tcW w:w="18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Average debt</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40" w:type="dxa"/>
            <w:vAlign w:val="bottom"/>
          </w:tcPr>
          <w:p>
            <w:pPr>
              <w:ind w:left="180"/>
              <w:spacing w:after="0" w:line="183" w:lineRule="exact"/>
              <w:rPr>
                <w:sz w:val="20"/>
                <w:szCs w:val="20"/>
                <w:color w:val="auto"/>
              </w:rPr>
            </w:pPr>
            <w:r>
              <w:rPr>
                <w:rFonts w:ascii="Times New Roman" w:cs="Times New Roman" w:eastAsia="Times New Roman" w:hAnsi="Times New Roman"/>
                <w:sz w:val="18"/>
                <w:szCs w:val="18"/>
                <w:color w:val="auto"/>
              </w:rPr>
              <w:t>outstanding (dollars in</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107.8</w:t>
            </w:r>
          </w:p>
        </w:tc>
        <w:tc>
          <w:tcPr>
            <w:tcW w:w="580" w:type="dxa"/>
            <w:vAlign w:val="bottom"/>
            <w:gridSpan w:val="2"/>
          </w:tcPr>
          <w:p>
            <w:pPr>
              <w:jc w:val="right"/>
              <w:ind w:right="28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Effective rate of interest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paid</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0" w:type="dxa"/>
            <w:vAlign w:val="bottom"/>
            <w:tcBorders>
              <w:right w:val="single" w:sz="8" w:color="auto"/>
            </w:tcBorders>
            <w:gridSpan w:val="6"/>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161"/>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GM Financial Revenue </w:t>
      </w:r>
      <w:r>
        <w:rPr>
          <w:rFonts w:ascii="Times New Roman" w:cs="Times New Roman" w:eastAsia="Times New Roman" w:hAnsi="Times New Roman"/>
          <w:sz w:val="17"/>
          <w:szCs w:val="17"/>
          <w:color w:val="auto"/>
        </w:rPr>
        <w:t>In the three months ended September 30, 2025, total revenue increased primarily due to: (1) increased leased vehicle income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$0.1 billion primarily due to an increase in the average balance of the leased vehicles portfolio; (2) increased finance charge income of $0.1 billion primarily due to growth in the size of the portfolio and an increase in the retail effective yield resulting from higher average interest rates on new loan originations; and (3) increased other income of $0.1 billion primarily due to growth in vehicle protection contract sales, as well as a gain on sale of finance receivables.</w:t>
      </w:r>
    </w:p>
    <w:p>
      <w:pPr>
        <w:spacing w:after="0" w:line="190"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the nine months ended September 30, 2025, total revenue increased primarily due to: (1) increased finance charge income of $0.5 billion primarily due to growth in the size of the portfolio and an increase in the retail effective yield resulting from higher average interest rates on new loan originations; (2) increased leased vehicle income of $0.4 billion primarily due to an increase in the average balance of the leased vehicles portfolio; and (3) increased other income of $0.1 billion primarily due to growth in vehicle protection contract sales, as well as a gain on sale of finance receivables.</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GM Financial EBT-Adjusted </w:t>
      </w:r>
      <w:r>
        <w:rPr>
          <w:rFonts w:ascii="Times New Roman" w:cs="Times New Roman" w:eastAsia="Times New Roman" w:hAnsi="Times New Roman"/>
          <w:sz w:val="18"/>
          <w:szCs w:val="18"/>
          <w:color w:val="auto"/>
        </w:rPr>
        <w:t>In the three months ended September 30, 2025, EBT-adjusted increased primarily due to: (1) increased leased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of $0.1 billion primarily due to an increase in the average balance of the leased vehicles portfolio; and (2) increased finance charge income of $0.1 billion primarily due to growth in the size of the portfolio and an increase in the retail effective yield resulting from higher average interest rates on new loan originations; partially offset by (3) increased interest expense of $0.1 billion primarily due to an increase in average debt outstanding.</w:t>
      </w:r>
    </w:p>
    <w:p>
      <w:pPr>
        <w:spacing w:after="0" w:line="205"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In the nine months ended September 30, 2025, EBT-adjusted decreased primarily due to: (1) increased interest expense of $0.5 billion primarily due to an increase in average debt outstanding, as well as a slight increase in the effective rate of interest on debt; (2) increased provision for loan losses of $0.3 billion primarily due to increased loan origination volume, partially offset by the reversal of the allowance for loan losses on finance receivables reclassified to held-for-sale; and (3) increased leased vehicle expenses of $0.2 billion primarily due to a decrease in lease termination gains resulting from fewer terminated leases in 2025 and increased depreciation resulting from an increase in the average balance of the leased vehicles portfolio; partially offset by (4) increased finance charge income of $0.5 billion primarily due to growth in the size of the portfolio and an increase in the retail effective yield resulting from higher average interest rates on new loan originations; and (5) increased leased vehicle income of $0.4 billion primarily due to an increase in the average balance of the leased vehicles portfolio.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We believe our current levels of cash, cash equivalents, marketable debt securities, available borrowing capacity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credit facilities and other available liquidity actions are sufficient to meet our liquidity requirements in the short- and long-term.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195"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Our known current material uses of cash include, among other possible demands: (1) capital spending and our investments in our battery cell manufacturing joint ventures of approximately $10.0 billion to $11.0 billion in 2025; (2) payments for engineering and product development activities, including the development of AV technology and software-enabled services; (3) payments associated with previously announced warranty claims, vehicle recalls and any other recall-related contingencies; (4) payments to service debt and other long-term obligations, including discretionary and mandatory contributions to our pension plans; (5) dividend payments on our common stock that are declared by our Board of Directors; (6) payments to purchase shares of our common stock authorized by our Board of Directors; and (7) if the current regulations in the U.S. are not amended, payments of emissions-related regulatory compliance costs. Our material future uses of cash, which may vary from time to time based on market conditions and other factors, are focused on the three objectives of our capital allocation program: (1) grow our business at an average target return on invested capital-adjusted (ROIC-adjusted) rate of 20% or greater; (2) maintain a strong investment-grade balance sheet, including a target average automotive cash balance of $18.0 billion; and (3) after the first two objectives are met, return available cash to stockholders. Our senior management evaluates our capital allocation program on an ongoing basis and recommends any modifications to the program to our Board of Directors not less than once annually.</w:t>
      </w:r>
    </w:p>
    <w:p>
      <w:pPr>
        <w:spacing w:after="0" w:line="216"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Following recent U.S. Government policy changes, including the termination of certain consumer tax incentives for EV purchases and the reduction in the stringency of emissions regulations, we expect the adoption rate of EVs to slow. It is reasonably possible that we will recognize additional future material contract cancellation fees and commercial settlements associated with EV-related investments that may adversely affect our cash flows in the period in which they are paid. Furthermore, to support our transition to EVs, we anticipate making investments in suppliers or providing funding towards the execution of strategic, multi-year supply agreements to secure critical materials. In addition, we have entered, and plan to continue to enter, into offtake agreements that generally obligate us to purchase defined quantities of output. These arrangements could have a short-term adverse impact on our cash and increase our inventory. We also continue to monitor and evaluate opportunities to strengthen our competitive position over the long term while maintaining a strong investment-grade balance sheet. These actions may include opportunistic payments to reduce our long-term obligations, and the possibility of acquisitions, dispositions and investments with joint venture partners, as well as strategic alliances that we believe would generate significant advantages and substantially strengthen our business.</w:t>
      </w:r>
    </w:p>
    <w:p>
      <w:pPr>
        <w:spacing w:after="0" w:line="218"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Our liquidity plans are subject to a number of risks and uncertainties, including those described in the "Forward-Looking Statements" section of this MD&amp;A, Part I, Item 1A. Risk Factors of our 2024 Form 10-K and Part II, Item 1A. Risk Factors, some of which are outside of our control.</w:t>
      </w:r>
    </w:p>
    <w:p>
      <w:pPr>
        <w:spacing w:after="0" w:line="189"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February 2025, our Board of Directors increased the capacity under our existing share repurchase program by $6.0 billion to an aggregate of $6.3 billion and approved an ASR program to repurchase an aggregate amount of $2.0 billion of our common stock. In the nine months ended September 30, 2025, we received and retired 43 million shares upon settlement.</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2025, in addition to the shares repurchased under the ASR program, we repurchased approximately 27 million shares for $1.5 billion under our existing share repurchase program. We have $2.8 billion in capacity remaining under our share repurchase program as of September 30, 2025, with no expiration date.</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the nine months ended September 30, 2025, we paid dividends of $0.4 billion to holders of our common stock. In February 2025, our Board of Directors approved an increase in the quarterly common stock dividend of $0.03 to $0.15 per share beginning with the quarterly dividend declared in April 2025.</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May 2025, we loaned $1.8 billion to Ultium Cells LLC to facilitate full voluntary prepayment of loans Ultium Cells LLC received under the DOE's Advanced Technology Vehicles Manufacturing program. Our loan to Ultium Cells LLC accrues interest at a rate of 5.7% per year, matures in April 2030 and is prepayable without penalties.</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transferred by Automotive to GM Financial, loans to Automotive and Cruise from GM Financial, dividends issued by GM Financial to Automotive, tax payments by GM Financial to Automotive and Automotive Cruise related cash expenditures. The presentation of Automotive liquidity and GM Financial liquidity presented below includes the impact of cash transactions amongst the sectors that are ultimately eliminated in consolidation. Net cash used in operating activities by Cruise was $0.8 billion and $1.8 billion in the nine months ended September 30, 2025 and 2024.</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Liquidity </w:t>
      </w:r>
      <w:r>
        <w:rPr>
          <w:rFonts w:ascii="Times New Roman" w:cs="Times New Roman" w:eastAsia="Times New Roman" w:hAnsi="Times New Roman"/>
          <w:sz w:val="18"/>
          <w:szCs w:val="18"/>
          <w:color w:val="auto"/>
        </w:rPr>
        <w:t>Total available liquidity includes cash, cash equivalents, marketable debt securities and funds available under credit facilities.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2024. Refer to Part II, Item 7. MD&amp;A of our 2024 Form 10-K.</w:t>
      </w:r>
    </w:p>
    <w:p>
      <w:pPr>
        <w:spacing w:after="0" w:line="205"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In March 2025, we renewed our five-year, $10.0 billion facility, which now matures March 25, 2030. We also renewed our three-year, $4.1 billion facility, which now matures March 25, 2028, and renewed our 364-day, $2.0 billion revolving credit facility allocated for the exclusive use of GM Financial, which now matures March 24, 2026.</w:t>
      </w:r>
    </w:p>
    <w:p>
      <w:pPr>
        <w:spacing w:after="0" w:line="204"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We use credit facilities as a mechanism to provide additional flexibility in managing our global liquidity. Our Automotive borrowing capacity under credit facilities totaled $14.4 billion and $14.3 billion at September 30, 2025 and December 31, 2024, which consisted primarily of two credit facilities.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$0.5 billion at September 30, 2025 and December 31, 2024.</w:t>
      </w:r>
    </w:p>
    <w:p>
      <w:pPr>
        <w:spacing w:after="0" w:line="213"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If available capacity permits, GM Financial continues to have access to our automotive credit facilities. GM Financial did not have borrowings outstanding against any of these facilities at September 30, 2025 and December 31, 2024. We had intercompany loans from GM Financial of $0.4 billion and $0.3 billion at September 30, 2025 and December 31, 2024, which primarily consisted of commercial loans to dealers we consolidate. We did not have intercompany loans to GM Financial at September 30, 2025 and December 31, 2024. Refer to Note 4 to our condensed consolidated financial statements for additional information.</w:t>
      </w:r>
    </w:p>
    <w:p>
      <w:pPr>
        <w:spacing w:after="0" w:line="213"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In May 2025, we issued $2.0 billion in aggregate principal amount of senior unsecured notes with a weighted average interest rate of 5.7% and maturity dates ranging from 2028 to 2035. The net proceeds from this offering were used for general corporate purposes, including to fund a portion of the $1.8 billion five-year term loan to Ultium Cells LLC and to refinance a portion of our senior notes. In September 2025, we exercised our option to redeem at par value the remaining $1.25 billion in aggregate principal balance of our $2.0 billion senior unsecured notes with a maturity date of October 1, 2025.</w:t>
      </w:r>
    </w:p>
    <w:p>
      <w:pPr>
        <w:spacing w:after="0" w:line="208"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Several of our loan facilities, including our revolving credit facilities, require compliance with certain financial and operational covenants as well as regular reporting to lenders. We have reviewed our covenants in effect as of September 30, 2025 and determined we are in compliance and expect to remain in compliance in the future.</w:t>
      </w:r>
    </w:p>
    <w:p>
      <w:pPr>
        <w:spacing w:after="0" w:line="20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GM Financial's Board of Directors declared and paid dividends of $1.1 billion on its common stock in the nine months ended September 30, 2025. Future dividends from GM Financial will depend on several factors including business and economic conditions, its financial condition, earnings, liquidity requirements and leverage ratio.</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our Automotive available liquidity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cash, cash equivalents and marketable debt securities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Available under credit facilities(a)</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Automotive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had letters of credit outstanding under our sub-facility of $0.5 billion at September 30, 2025 and December 31, 2024.</w:t>
      </w:r>
    </w:p>
    <w:p>
      <w:pPr>
        <w:spacing w:after="0" w:line="200" w:lineRule="exact"/>
        <w:rPr>
          <w:rFonts w:ascii="Times New Roman" w:cs="Times New Roman" w:eastAsia="Times New Roman" w:hAnsi="Times New Roman"/>
          <w:sz w:val="16"/>
          <w:szCs w:val="16"/>
          <w:color w:val="auto"/>
        </w:rPr>
      </w:pPr>
    </w:p>
    <w:p>
      <w:pPr>
        <w:spacing w:after="0" w:line="38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changes in our Automotive available liquidity (dollars in billions):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67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ASR program, shares repurchased and dividends paid</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senior unsecured notes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senior unsecured notes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Loan to Ultium Cells LLC, net</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Cruise robotaxi operations wind down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nonconsolidated affiliates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available credit facilities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change in automotive available liquidity</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i w:val="1"/>
                <w:iCs w:val="1"/>
                <w:color w:val="auto"/>
              </w:rPr>
              <w:t>Automotive Cash Flow (dollars in billions)</w:t>
            </w: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 charges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OPEB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 and income taxes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operating activities(b)</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1" w:lineRule="auto"/>
        <w:tabs>
          <w:tab w:leader="none" w:pos="331"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 billion in dividends received from our nonconsolidated affiliates in the nine months ended September 30, 2025; $1.1 billion and $1.4 billion in dividends received from GM Financial in the nine months ended September 30, 2025 and 2024; and changes in other assets and liabilities in the nine months ended September 30, 2025 and 2024.</w:t>
      </w:r>
    </w:p>
    <w:p>
      <w:pPr>
        <w:jc w:val="both"/>
        <w:ind w:left="340" w:hanging="333"/>
        <w:spacing w:after="0" w:line="259"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$(1.7) billion and $6.7 billion in the nine months ended September 30, 2025 and 2024, which are eliminated within the condensed consolidated statements of cash flows. Amounts eliminated primarily relate to purchases of, and collections on, wholesale finance receivables provided by GM Financial to our dealers and dividends issued by GM Financial to us.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8"/>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54"/>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 and liquidations of marketable securities, net</w:t>
            </w:r>
          </w:p>
        </w:tc>
        <w:tc>
          <w:tcPr>
            <w:tcW w:w="160" w:type="dxa"/>
            <w:vAlign w:val="bottom"/>
          </w:tcPr>
          <w:p>
            <w:pPr>
              <w:spacing w:after="0"/>
              <w:rPr>
                <w:sz w:val="19"/>
                <w:szCs w:val="19"/>
                <w:color w:val="auto"/>
              </w:rPr>
            </w:pPr>
          </w:p>
        </w:tc>
        <w:tc>
          <w:tcPr>
            <w:tcW w:w="1480" w:type="dxa"/>
            <w:vAlign w:val="bottom"/>
          </w:tcPr>
          <w:p>
            <w:pPr>
              <w:jc w:val="center"/>
              <w:ind w:left="1016"/>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8"/>
              </w:rPr>
              <w:t>(3.4)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(1.4)</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investing activities(b)</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976"/>
              <w:spacing w:after="0"/>
              <w:rPr>
                <w:sz w:val="20"/>
                <w:szCs w:val="20"/>
                <w:color w:val="auto"/>
              </w:rPr>
            </w:pPr>
            <w:r>
              <w:rPr>
                <w:rFonts w:ascii="Times New Roman" w:cs="Times New Roman" w:eastAsia="Times New Roman" w:hAnsi="Times New Roman"/>
                <w:sz w:val="18"/>
                <w:szCs w:val="18"/>
                <w:color w:val="auto"/>
                <w:w w:val="98"/>
              </w:rPr>
              <w:t>(8.8)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354"/>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1" w:lineRule="auto"/>
        <w:tabs>
          <w:tab w:leader="none" w:pos="33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$(1.8) billion term loan to and $0.1 billion loan repayments from Ultium Cells LLC, $(1.0) billion funding to wind down Cruise robotaxi operations and $(0.6) billion of GM's investment in nonconsolidated affiliates in the nine months ended September 30, 2025; $(1.3) billion investment in Cruise which is inclusive of $(0.9) billion convertible note issued by Cruise to us and $(0.7) billion of GM's investment in Ultium Cells Holdings LLC in the nine months ended September 30, 2024.</w:t>
      </w:r>
    </w:p>
    <w:p>
      <w:pPr>
        <w:jc w:val="both"/>
        <w:ind w:left="340" w:hanging="333"/>
        <w:spacing w:after="0" w:line="259" w:lineRule="auto"/>
        <w:tabs>
          <w:tab w:leader="none" w:pos="3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 billion funding to wind down Cruise robotaxi operations in the nine months ended September 30, 2025; and $(1.3) billion investment in Cruise which is inclusive of $(0.9) billion convertible note issued by Cruise to us in the nine months ended September 30, 2024, which are eliminated within the condensed consolidated statements of cash flows.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(payments) from short-term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(1.8)</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senior unsecured notes</w:t>
            </w:r>
          </w:p>
        </w:tc>
        <w:tc>
          <w:tcPr>
            <w:tcW w:w="160" w:type="dxa"/>
            <w:vAlign w:val="bottom"/>
          </w:tcPr>
          <w:p>
            <w:pPr>
              <w:spacing w:after="0"/>
              <w:rPr>
                <w:sz w:val="19"/>
                <w:szCs w:val="19"/>
                <w:color w:val="auto"/>
              </w:rPr>
            </w:pPr>
          </w:p>
        </w:tc>
        <w:tc>
          <w:tcPr>
            <w:tcW w:w="1480" w:type="dxa"/>
            <w:vAlign w:val="bottom"/>
          </w:tcPr>
          <w:p>
            <w:pPr>
              <w:jc w:val="center"/>
              <w:ind w:left="1016"/>
              <w:spacing w:after="0"/>
              <w:rPr>
                <w:sz w:val="20"/>
                <w:szCs w:val="20"/>
                <w:color w:val="auto"/>
              </w:rPr>
            </w:pPr>
            <w:r>
              <w:rPr>
                <w:rFonts w:ascii="Times New Roman" w:cs="Times New Roman" w:eastAsia="Times New Roman" w:hAnsi="Times New Roman"/>
                <w:sz w:val="18"/>
                <w:szCs w:val="18"/>
                <w:color w:val="auto"/>
                <w:w w:val="97"/>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Other(a)</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8"/>
              </w:rPr>
              <w:t>(4.1)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(1.2)</w:t>
            </w:r>
          </w:p>
        </w:tc>
        <w:tc>
          <w:tcPr>
            <w:tcW w:w="0" w:type="dxa"/>
            <w:vAlign w:val="bottom"/>
          </w:tcPr>
          <w:p>
            <w:pPr>
              <w:spacing w:after="0"/>
              <w:rPr>
                <w:sz w:val="1"/>
                <w:szCs w:val="1"/>
                <w:color w:val="auto"/>
              </w:rPr>
            </w:pP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automotive cash provided by (used in) financing activities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976"/>
              <w:spacing w:after="0"/>
              <w:rPr>
                <w:sz w:val="20"/>
                <w:szCs w:val="20"/>
                <w:color w:val="auto"/>
              </w:rPr>
            </w:pPr>
            <w:r>
              <w:rPr>
                <w:rFonts w:ascii="Times New Roman" w:cs="Times New Roman" w:eastAsia="Times New Roman" w:hAnsi="Times New Roman"/>
                <w:sz w:val="18"/>
                <w:szCs w:val="18"/>
                <w:color w:val="auto"/>
                <w:w w:val="98"/>
              </w:rPr>
              <w:t>(3.9)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8"/>
                <w:szCs w:val="18"/>
                <w:color w:val="auto"/>
                <w:w w:val="98"/>
              </w:rPr>
              <w:t>(1.0)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68" w:lineRule="auto"/>
        <w:tabs>
          <w:tab w:leader="none" w:pos="331"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 billion in payments related to the ASR in the nine months ended September 30, 2025 and $(1.5) billion and $(2.4) billion for payments to purchase common stock in the nine months ended September 30, 2025 and 2024; and $(0.4) billion for dividends paid in the nine months ended September 30, 2025 and 2024.</w:t>
      </w:r>
    </w:p>
    <w:p>
      <w:pPr>
        <w:spacing w:after="0" w:line="193" w:lineRule="exact"/>
        <w:rPr>
          <w:sz w:val="20"/>
          <w:szCs w:val="20"/>
          <w:color w:val="auto"/>
        </w:rPr>
      </w:pPr>
    </w:p>
    <w:p>
      <w:pPr>
        <w:jc w:val="both"/>
        <w:ind w:firstLine="16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Adjusted Automotive Free Cash Flow </w:t>
      </w:r>
      <w:r>
        <w:rPr>
          <w:rFonts w:ascii="Times New Roman" w:cs="Times New Roman" w:eastAsia="Times New Roman" w:hAnsi="Times New Roman"/>
          <w:sz w:val="18"/>
          <w:szCs w:val="18"/>
          <w:color w:val="auto"/>
        </w:rPr>
        <w:t>We measure adjusted automotive free cash flow as automotive operating cash flow from operations less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adjusted for management actions. In the nine months ended September 30, 2025, net automotive cash provided by operating activities was $13.1 billion, capital expenditures were $6.1 billion and adjustments for management actions were $0.8 billion. In the nine months ended September 30, 2024, net automotive cash provided by operating activities was $19.2 billion, capital expenditures were $7.5 billion and adjustments for management actions were $0.5 billion.</w:t>
      </w:r>
    </w:p>
    <w:p>
      <w:pPr>
        <w:spacing w:after="0" w:line="209" w:lineRule="exact"/>
        <w:rPr>
          <w:sz w:val="20"/>
          <w:szCs w:val="20"/>
          <w:color w:val="auto"/>
        </w:rPr>
      </w:pPr>
    </w:p>
    <w:p>
      <w:pPr>
        <w:jc w:val="both"/>
        <w:ind w:firstLine="161"/>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Status of Credit Ratings </w:t>
      </w:r>
      <w:r>
        <w:rPr>
          <w:rFonts w:ascii="Times New Roman" w:cs="Times New Roman" w:eastAsia="Times New Roman" w:hAnsi="Times New Roman"/>
          <w:sz w:val="18"/>
          <w:szCs w:val="18"/>
          <w:color w:val="auto"/>
        </w:rPr>
        <w:t>We receive ratings from four independent credit rating agencies: DBRS Limited, Fitch Ratings, Moody's Investor Service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&amp; Poor's. All four credit rating agencies currently rate our corporate credit at investment grade. As of October 14, 2025, all credit ratings remained unchanged since December 31, 2024.</w:t>
      </w:r>
    </w:p>
    <w:p>
      <w:pPr>
        <w:spacing w:after="0" w:line="226"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Automotive Financing – GM Financial Liquidity </w:t>
      </w:r>
      <w:r>
        <w:rPr>
          <w:rFonts w:ascii="Times New Roman" w:cs="Times New Roman" w:eastAsia="Times New Roman" w:hAnsi="Times New Roman"/>
          <w:sz w:val="18"/>
          <w:szCs w:val="18"/>
          <w:color w:val="auto"/>
        </w:rPr>
        <w:t>GM Financial's primary sources of cash are finance charge income, leasing income and proceeds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w:t>
      </w:r>
    </w:p>
    <w:p>
      <w:pPr>
        <w:spacing w:after="0" w:line="2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GM Financial's available liquidity (dollars in billions):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5"/>
        </w:trPr>
        <w:tc>
          <w:tcPr>
            <w:tcW w:w="7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marketable debt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 capacity on unpledged eligible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capacity on committed unsecured lines of credit</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 capacity on revolving credit facility, exclusive to GM Financial</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GM Financial available liquidity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GM Financial's available liquidity increased, primarily due to increased available borrowing capacity on unpledged eligible assets, resulting from the issuance of securitization transactions and unsecured debt, and an increase in cash and cash equivalents, resulting from $2.0 billion in proceeds from the sale of finance receivables. GM Financial generally targets liquidity levels to support at least six months of GM Financial's expected net cash outflows, including new originations, without access to new debt financing transactions or other capital markets activity. At September 30, 2025, available liquidity exceeded GM Financial's liquidity targets.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GM Financial Cash Flow (dollars in billions)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2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1018"/>
              <w:spacing w:after="0"/>
              <w:rPr>
                <w:sz w:val="20"/>
                <w:szCs w:val="20"/>
                <w:color w:val="auto"/>
              </w:rPr>
            </w:pPr>
            <w:r>
              <w:rPr>
                <w:rFonts w:ascii="Times New Roman" w:cs="Times New Roman" w:eastAsia="Times New Roman" w:hAnsi="Times New Roman"/>
                <w:sz w:val="18"/>
                <w:szCs w:val="18"/>
                <w:color w:val="auto"/>
                <w:w w:val="97"/>
              </w:rPr>
              <w:t>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center"/>
              <w:ind w:left="978"/>
              <w:spacing w:after="0"/>
              <w:rPr>
                <w:sz w:val="20"/>
                <w:szCs w:val="20"/>
                <w:color w:val="auto"/>
              </w:rPr>
            </w:pPr>
            <w:r>
              <w:rPr>
                <w:rFonts w:ascii="Times New Roman" w:cs="Times New Roman" w:eastAsia="Times New Roman" w:hAnsi="Times New Roman"/>
                <w:sz w:val="18"/>
                <w:szCs w:val="18"/>
                <w:color w:val="auto"/>
                <w:w w:val="98"/>
              </w:rPr>
              <w:t>(1.6)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7"/>
              </w:rPr>
              <w:t>8.8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978"/>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15"/>
              <w:spacing w:after="0"/>
              <w:rPr>
                <w:sz w:val="20"/>
                <w:szCs w:val="20"/>
                <w:color w:val="auto"/>
              </w:rPr>
            </w:pPr>
            <w:r>
              <w:rPr>
                <w:rFonts w:ascii="Times New Roman" w:cs="Times New Roman" w:eastAsia="Times New Roman" w:hAnsi="Times New Roman"/>
                <w:sz w:val="18"/>
                <w:szCs w:val="18"/>
                <w:color w:val="auto"/>
                <w:w w:val="98"/>
              </w:rPr>
              <w:t>(6.4)</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jc w:val="both"/>
        <w:ind w:left="340" w:right="20" w:hanging="333"/>
        <w:spacing w:after="0" w:line="251" w:lineRule="auto"/>
        <w:tabs>
          <w:tab w:leader="none" w:pos="33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$3.1 billion in the nine months ended September 30, 2025 driven primarily by purchases of, and collections on, wholesale finance receivables and collection of intercompany loans to Cruise; and $(5.3) billion in the nine months ended September 30, 2024 driven primarily by purchases of, and collections on, wholesale finance receivables, which are eliminated within the condensed consolidated statements of cash flows.</w:t>
      </w:r>
    </w:p>
    <w:p>
      <w:pPr>
        <w:ind w:left="340" w:hanging="333"/>
        <w:spacing w:after="0" w:line="268"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$(1.1) billion and $(1.4) billion in the nine months ended September 30, 2025 and 2024 for dividends to GM, which are eliminated within the condensed consolidated statements of cash flows.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center"/>
              <w:ind w:left="1014"/>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1012"/>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4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7"/>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and amortization of loan and leasing fees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94"/>
              <w:spacing w:after="0"/>
              <w:rPr>
                <w:sz w:val="20"/>
                <w:szCs w:val="20"/>
                <w:color w:val="auto"/>
              </w:rPr>
            </w:pPr>
            <w:r>
              <w:rPr>
                <w:rFonts w:ascii="Times New Roman" w:cs="Times New Roman" w:eastAsia="Times New Roman" w:hAnsi="Times New Roman"/>
                <w:sz w:val="18"/>
                <w:szCs w:val="18"/>
                <w:color w:val="auto"/>
                <w:w w:val="98"/>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972"/>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Pr>
          <w:p>
            <w:pPr>
              <w:spacing w:after="0"/>
              <w:rPr>
                <w:sz w:val="19"/>
                <w:szCs w:val="19"/>
                <w:color w:val="auto"/>
              </w:rPr>
            </w:pPr>
          </w:p>
        </w:tc>
        <w:tc>
          <w:tcPr>
            <w:tcW w:w="14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1012"/>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non-cash income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994"/>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972"/>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tcPr>
          <w:p>
            <w:pPr>
              <w:spacing w:after="0"/>
              <w:rPr>
                <w:sz w:val="19"/>
                <w:szCs w:val="19"/>
                <w:color w:val="auto"/>
              </w:rPr>
            </w:pPr>
          </w:p>
        </w:tc>
        <w:tc>
          <w:tcPr>
            <w:tcW w:w="14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left="972"/>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1014"/>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center"/>
              <w:ind w:left="1012"/>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center"/>
              <w:ind w:left="1014"/>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1012"/>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161"/>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Credit Facilities </w:t>
      </w:r>
      <w:r>
        <w:rPr>
          <w:rFonts w:ascii="Times New Roman" w:cs="Times New Roman" w:eastAsia="Times New Roman" w:hAnsi="Times New Roman"/>
          <w:sz w:val="18"/>
          <w:szCs w:val="18"/>
          <w:color w:val="auto"/>
        </w:rPr>
        <w:t>In the normal course of business, in addition to using its available cash, GM Financial utilizes borrowings under its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secured or unsecured, and GM Financial repays these borrowings as appropriate under its cash management strategy. At September 30, 2025, secured, committed unsecured and uncommitted unsecured credit facilities totaled $27.6 billion, $0.9 billion and $2.3 billion with advances outstanding of $2.1 billion, an insignificant amount and $2.3 billion.</w:t>
      </w:r>
    </w:p>
    <w:p>
      <w:pPr>
        <w:spacing w:after="0" w:line="207"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GM Financial did not have any borrowings outstanding against our credit facility designated for their exclusive use or the remainder of our revolving credit facilities at September 30, 2025 and December 31, 2024. Refer to the "Automotive Liquidity" section of this MD&amp;A for additional details.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Critical Accounting Estimates </w:t>
      </w:r>
      <w:r>
        <w:rPr>
          <w:rFonts w:ascii="Times New Roman" w:cs="Times New Roman" w:eastAsia="Times New Roman" w:hAnsi="Times New Roman"/>
          <w:sz w:val="18"/>
          <w:szCs w:val="18"/>
          <w:color w:val="auto"/>
        </w:rPr>
        <w:t>The condensed consolidated financial statements are prepared in conformity with U.S. GAAP, which requires the 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2024 Form 10-K.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Non-GAAP Measures </w:t>
      </w:r>
      <w:r>
        <w:rPr>
          <w:rFonts w:ascii="Times New Roman" w:cs="Times New Roman" w:eastAsia="Times New Roman" w:hAnsi="Times New Roman"/>
          <w:sz w:val="18"/>
          <w:szCs w:val="18"/>
          <w:color w:val="auto"/>
        </w:rPr>
        <w:t>We use both GAAP and non-GAAP financial measures for operational and financial decision making, and to assess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segment business performance. Our non-GAAP measures include: EBIT-adjusted, presented net of noncontrolling interests; EBT-adjusted for our GM Financial segment; EPS-diluted-adjusted; ETR-adjusted;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1"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These non-GAAP measures allow management and investors to view operating trends, perform analytical comparisons and benchmark performance between periods and among geographic regions to understand operating performance without regard to</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208"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EBIT-adjusted </w:t>
      </w:r>
      <w:r>
        <w:rPr>
          <w:rFonts w:ascii="Times New Roman" w:cs="Times New Roman" w:eastAsia="Times New Roman" w:hAnsi="Times New Roman"/>
          <w:sz w:val="18"/>
          <w:szCs w:val="18"/>
          <w:i w:val="1"/>
          <w:iCs w:val="1"/>
          <w:color w:val="auto"/>
        </w:rPr>
        <w:t>(Most comparable GAAP measure: Net income attributable to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EBIT-adjusted is presented net of noncontrolling interests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an integral part of its financial performance.</w:t>
      </w:r>
    </w:p>
    <w:p>
      <w:pPr>
        <w:spacing w:after="0" w:line="209"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EPS-diluted-adjusted </w:t>
      </w:r>
      <w:r>
        <w:rPr>
          <w:rFonts w:ascii="Times New Roman" w:cs="Times New Roman" w:eastAsia="Times New Roman" w:hAnsi="Times New Roman"/>
          <w:sz w:val="18"/>
          <w:szCs w:val="18"/>
          <w:i w:val="1"/>
          <w:iCs w:val="1"/>
          <w:color w:val="auto"/>
        </w:rPr>
        <w:t>(Most comparable GAAP measure: Diluted earnings per common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EPS-diluted-adjusted is used by management and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used by investors to review our consolidated diluted EPS results on a 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release of significant deferred tax asset valuation allowances.</w:t>
      </w:r>
    </w:p>
    <w:p>
      <w:pPr>
        <w:spacing w:after="0" w:line="201"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ETR-adjusted </w:t>
      </w:r>
      <w:r>
        <w:rPr>
          <w:rFonts w:ascii="Times New Roman" w:cs="Times New Roman" w:eastAsia="Times New Roman" w:hAnsi="Times New Roman"/>
          <w:sz w:val="18"/>
          <w:szCs w:val="18"/>
          <w:i w:val="1"/>
          <w:iCs w:val="1"/>
          <w:color w:val="auto"/>
        </w:rPr>
        <w:t>(Most comparable GAAP measure: Effective tax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ETR-adjusted is used by management and can be used by investors to review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cannot provide an expected effective tax rate without unreasonable efforts because the U.S. GAAP measure may include significant adjustments that are difficult to predict.</w:t>
      </w:r>
    </w:p>
    <w:p>
      <w:pPr>
        <w:spacing w:after="0" w:line="204" w:lineRule="exact"/>
        <w:rPr>
          <w:sz w:val="20"/>
          <w:szCs w:val="20"/>
          <w:color w:val="auto"/>
        </w:rPr>
      </w:pPr>
    </w:p>
    <w:p>
      <w:pPr>
        <w:jc w:val="both"/>
        <w:ind w:firstLine="161"/>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ROIC-adjusted </w:t>
      </w:r>
      <w:r>
        <w:rPr>
          <w:rFonts w:ascii="Times New Roman" w:cs="Times New Roman" w:eastAsia="Times New Roman" w:hAnsi="Times New Roman"/>
          <w:sz w:val="18"/>
          <w:szCs w:val="18"/>
          <w:i w:val="1"/>
          <w:iCs w:val="1"/>
          <w:color w:val="auto"/>
        </w:rPr>
        <w:t>(Most comparable GAAP measure: Return 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ROIC-adjusted is used by management and can be used by investors to review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and capital allocation decisions. We define ROIC-adjusted as EBIT-adjusted for the trailing four quarters divided by ROIC-adjusted average net assets, which is the average equity balances adjusted for average automotive debt and interest liabilities, exclusive of finance leases; average automotive net pension and OPEB liabilities; and average automotive net income tax assets during the same period.</w:t>
      </w:r>
    </w:p>
    <w:p>
      <w:pPr>
        <w:spacing w:after="0" w:line="201" w:lineRule="exact"/>
        <w:rPr>
          <w:sz w:val="20"/>
          <w:szCs w:val="20"/>
          <w:color w:val="auto"/>
        </w:rPr>
      </w:pPr>
    </w:p>
    <w:p>
      <w:pPr>
        <w:jc w:val="both"/>
        <w:ind w:firstLine="16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automotive free cash flow </w:t>
      </w:r>
      <w:r>
        <w:rPr>
          <w:rFonts w:ascii="Times New Roman" w:cs="Times New Roman" w:eastAsia="Times New Roman" w:hAnsi="Times New Roman"/>
          <w:sz w:val="18"/>
          <w:szCs w:val="18"/>
          <w:i w:val="1"/>
          <w:iCs w:val="1"/>
          <w:color w:val="auto"/>
        </w:rPr>
        <w:t>(Most comparable GAAP measure: Net automotive cash provided by operating activities)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automotive free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Net income (loss) attributable to stockholders to EBIT-adjusted: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r>
      <w:tr>
        <w:trPr>
          <w:trHeight w:val="188"/>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0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interest expense</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 interest income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8"/>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EV strategic realignment(a)</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OnStar Smart Driver(b)</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Cruise restructuring(c)</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Headquarters relocation(d)</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Ultium strategic realignment(e)</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China restructuring actions(f)</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actions(g)</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GMI plant wind down(h)</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Buick dealer strategy(i)</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8"/>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Voluntary separation program(j)</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8"/>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GM Korea wage litigation(k)</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India asset sales(l)</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2"/>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adjustments</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4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hanging="333"/>
        <w:spacing w:after="0" w:line="251"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our planned strategic realignment of our EV capacity and manufacturing footprint to expected consumer demand.</w:t>
      </w:r>
    </w:p>
    <w:p>
      <w:pPr>
        <w:spacing w:after="0" w:line="193"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investigations and litigation associated with our former OnStar Smart Driver product.</w:t>
      </w:r>
    </w:p>
    <w:p>
      <w:pPr>
        <w:spacing w:after="0" w:line="7" w:lineRule="exact"/>
        <w:rPr>
          <w:rFonts w:ascii="Times New Roman" w:cs="Times New Roman" w:eastAsia="Times New Roman" w:hAnsi="Times New Roman"/>
          <w:sz w:val="16"/>
          <w:szCs w:val="16"/>
          <w:color w:val="auto"/>
        </w:rPr>
      </w:pPr>
    </w:p>
    <w:p>
      <w:pPr>
        <w:jc w:val="both"/>
        <w:ind w:left="340" w:hanging="333"/>
        <w:spacing w:after="0" w:line="255"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charges resulting from the plan to combine the Cruise and GM technical efforts to advance autonomous and assisted driving, the indefinite delay of the Cruise Origin and the voluntary pausing in 2023 of Cruise's driverless, supervised and manual AV operations in the U.S. The adjustments primarily consist of non-cash restructuring charges, supplier-related charges and employee separation costs.</w:t>
      </w:r>
    </w:p>
    <w:p>
      <w:pPr>
        <w:spacing w:after="0" w:line="1" w:lineRule="exact"/>
        <w:rPr>
          <w:rFonts w:ascii="Times New Roman" w:cs="Times New Roman" w:eastAsia="Times New Roman" w:hAnsi="Times New Roman"/>
          <w:sz w:val="16"/>
          <w:szCs w:val="16"/>
          <w:color w:val="auto"/>
        </w:rPr>
      </w:pPr>
    </w:p>
    <w:p>
      <w:pPr>
        <w:ind w:left="340" w:hanging="333"/>
        <w:spacing w:after="0" w:line="247"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GM headquarters relocation, primarily consisting of accelerated depreciation and other relocation expenditures.</w:t>
      </w:r>
    </w:p>
    <w:p>
      <w:pPr>
        <w:spacing w:after="0" w:line="1" w:lineRule="exact"/>
        <w:rPr>
          <w:rFonts w:ascii="Times New Roman" w:cs="Times New Roman" w:eastAsia="Times New Roman" w:hAnsi="Times New Roman"/>
          <w:sz w:val="16"/>
          <w:szCs w:val="16"/>
          <w:color w:val="auto"/>
        </w:rPr>
      </w:pPr>
    </w:p>
    <w:p>
      <w:pPr>
        <w:ind w:left="340" w:hanging="333"/>
        <w:spacing w:after="0" w:line="254"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Ultium Cells Holdings LLC charges from a strategic realignment to have the right manufacturing and cell capabilities in place to meet EV demand and expected growth.</w:t>
      </w:r>
    </w:p>
    <w:p>
      <w:pPr>
        <w:ind w:left="340" w:hanging="333"/>
        <w:spacing w:after="0" w:line="251"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restructuring activities associated with our operations in China, including an other-than-temporary impairment and restructuring charges recorded in equity earnings associated with our Automotive China JVs.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employee separation charges.</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wind down of our manufacturing operations in Colombia and Ecuador.</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strategic activities to transition certain Buick dealers out of our dealer network as part of Buick’s EV strategy.</w:t>
      </w:r>
    </w:p>
    <w:p>
      <w:pPr>
        <w:spacing w:after="0" w:line="7" w:lineRule="exact"/>
        <w:rPr>
          <w:rFonts w:ascii="Times New Roman" w:cs="Times New Roman" w:eastAsia="Times New Roman" w:hAnsi="Times New Roman"/>
          <w:sz w:val="16"/>
          <w:szCs w:val="16"/>
          <w:color w:val="auto"/>
        </w:rPr>
      </w:pPr>
    </w:p>
    <w:p>
      <w:pPr>
        <w:ind w:left="340" w:right="20" w:hanging="333"/>
        <w:spacing w:after="0" w:line="251" w:lineRule="auto"/>
        <w:tabs>
          <w:tab w:leader="none" w:pos="33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acceleration of attrition as part of the cost reduction program announced in January 2023, primarily in the U.S.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the partial resolution of subcontractor matters in Korea.</w:t>
      </w:r>
    </w:p>
    <w:p>
      <w:pPr>
        <w:spacing w:after="0" w:line="7"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adjustments were excluded because they relate to an asset sale resulting from our strategic decision in 2020 to exit India.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diluted earnings per common share to EPS-diluted-adjusted: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5"/>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gridSpan w:val="5"/>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r>
      <w:tr>
        <w:trPr>
          <w:trHeight w:val="188"/>
        </w:trPr>
        <w:tc>
          <w:tcPr>
            <w:tcW w:w="35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195"/>
        </w:trPr>
        <w:tc>
          <w:tcPr>
            <w:tcW w:w="35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7"/>
              </w:rPr>
              <w:t>Per Share</w:t>
            </w:r>
          </w:p>
        </w:tc>
      </w:tr>
      <w:tr>
        <w:trPr>
          <w:trHeight w:val="228"/>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8"/>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adjustments(b)</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6"/>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2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from preferred shareholders(c)</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176"/>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EPS-diluted-adjusted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center"/>
              <w:ind w:left="216"/>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 for the details of each individual adjustment.</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effect of each adjustment is determined based on the tax laws and valuation allowance status of the jurisdiction to which the adjustment relates.</w:t>
      </w:r>
    </w:p>
    <w:p>
      <w:pPr>
        <w:spacing w:after="0" w:line="4" w:lineRule="exact"/>
        <w:rPr>
          <w:rFonts w:ascii="Times New Roman" w:cs="Times New Roman" w:eastAsia="Times New Roman" w:hAnsi="Times New Roman"/>
          <w:sz w:val="16"/>
          <w:szCs w:val="16"/>
          <w:color w:val="auto"/>
        </w:rPr>
      </w:pPr>
    </w:p>
    <w:p>
      <w:pPr>
        <w:ind w:left="340" w:hanging="333"/>
        <w:spacing w:after="0" w:line="272" w:lineRule="auto"/>
        <w:tabs>
          <w:tab w:leader="none" w:pos="33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consists of a return from the preferred shareholders related to the redemption of Cruise preferred shares from noncontrolling interest holders in the nine months ended September 30, 2025.</w:t>
      </w:r>
    </w:p>
    <w:p>
      <w:pPr>
        <w:spacing w:after="0" w:line="1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reconciles our effective tax rate to ETR-adjusted:</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gridSpan w:val="7"/>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gridSpan w:val="7"/>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gridSpan w:val="6"/>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gridSpan w:val="5"/>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6"/>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gridSpan w:val="5"/>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41"/>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21"/>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6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Income tax</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6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Income tax</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21"/>
              <w:spacing w:after="0" w:line="121" w:lineRule="exact"/>
              <w:rPr>
                <w:sz w:val="20"/>
                <w:szCs w:val="20"/>
                <w:color w:val="auto"/>
              </w:rPr>
            </w:pPr>
            <w:r>
              <w:rPr>
                <w:rFonts w:ascii="Times New Roman" w:cs="Times New Roman" w:eastAsia="Times New Roman" w:hAnsi="Times New Roman"/>
                <w:sz w:val="13"/>
                <w:szCs w:val="13"/>
                <w:b w:val="1"/>
                <w:bCs w:val="1"/>
                <w:color w:val="auto"/>
              </w:rPr>
              <w:t>tax</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1"/>
              <w:spacing w:after="0" w:line="121" w:lineRule="exact"/>
              <w:rPr>
                <w:sz w:val="20"/>
                <w:szCs w:val="20"/>
                <w:color w:val="auto"/>
              </w:rPr>
            </w:pPr>
            <w:r>
              <w:rPr>
                <w:rFonts w:ascii="Times New Roman" w:cs="Times New Roman" w:eastAsia="Times New Roman" w:hAnsi="Times New Roman"/>
                <w:sz w:val="13"/>
                <w:szCs w:val="13"/>
                <w:b w:val="1"/>
                <w:bCs w:val="1"/>
                <w:color w:val="auto"/>
              </w:rPr>
              <w:t>tax</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62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100" w:type="dxa"/>
            <w:vAlign w:val="bottom"/>
          </w:tcPr>
          <w:p>
            <w:pPr>
              <w:spacing w:after="0"/>
              <w:rPr>
                <w:sz w:val="11"/>
                <w:szCs w:val="11"/>
                <w:color w:val="auto"/>
              </w:rPr>
            </w:pPr>
          </w:p>
        </w:tc>
        <w:tc>
          <w:tcPr>
            <w:tcW w:w="8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120" w:type="dxa"/>
            <w:vAlign w:val="bottom"/>
          </w:tcPr>
          <w:p>
            <w:pPr>
              <w:spacing w:after="0"/>
              <w:rPr>
                <w:sz w:val="11"/>
                <w:szCs w:val="11"/>
                <w:color w:val="auto"/>
              </w:rPr>
            </w:pPr>
          </w:p>
        </w:tc>
        <w:tc>
          <w:tcPr>
            <w:tcW w:w="74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3"/>
                <w:szCs w:val="13"/>
                <w:b w:val="1"/>
                <w:bCs w:val="1"/>
                <w:color w:val="auto"/>
                <w:w w:val="90"/>
              </w:rPr>
              <w:t>before</w:t>
            </w:r>
          </w:p>
        </w:tc>
        <w:tc>
          <w:tcPr>
            <w:tcW w:w="60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4"/>
              </w:rPr>
              <w:t>Effective tax</w:t>
            </w:r>
          </w:p>
        </w:tc>
        <w:tc>
          <w:tcPr>
            <w:tcW w:w="120" w:type="dxa"/>
            <w:vAlign w:val="bottom"/>
          </w:tcPr>
          <w:p>
            <w:pPr>
              <w:spacing w:after="0"/>
              <w:rPr>
                <w:sz w:val="11"/>
                <w:szCs w:val="11"/>
                <w:color w:val="auto"/>
              </w:rPr>
            </w:pPr>
          </w:p>
        </w:tc>
        <w:tc>
          <w:tcPr>
            <w:tcW w:w="660" w:type="dxa"/>
            <w:vAlign w:val="bottom"/>
            <w:gridSpan w:val="2"/>
          </w:tcPr>
          <w:p>
            <w:pPr>
              <w:jc w:val="center"/>
              <w:ind w:right="220"/>
              <w:spacing w:after="0" w:line="134" w:lineRule="exact"/>
              <w:rPr>
                <w:sz w:val="20"/>
                <w:szCs w:val="20"/>
                <w:color w:val="auto"/>
              </w:rPr>
            </w:pPr>
            <w:r>
              <w:rPr>
                <w:rFonts w:ascii="Times New Roman" w:cs="Times New Roman" w:eastAsia="Times New Roman" w:hAnsi="Times New Roman"/>
                <w:sz w:val="13"/>
                <w:szCs w:val="13"/>
                <w:b w:val="1"/>
                <w:bCs w:val="1"/>
                <w:color w:val="auto"/>
              </w:rPr>
              <w:t>income</w:t>
            </w: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120" w:type="dxa"/>
            <w:vAlign w:val="bottom"/>
          </w:tcPr>
          <w:p>
            <w:pPr>
              <w:spacing w:after="0"/>
              <w:rPr>
                <w:sz w:val="11"/>
                <w:szCs w:val="11"/>
                <w:color w:val="auto"/>
              </w:rPr>
            </w:pPr>
          </w:p>
        </w:tc>
        <w:tc>
          <w:tcPr>
            <w:tcW w:w="88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140" w:type="dxa"/>
            <w:vAlign w:val="bottom"/>
          </w:tcPr>
          <w:p>
            <w:pPr>
              <w:spacing w:after="0"/>
              <w:rPr>
                <w:sz w:val="11"/>
                <w:szCs w:val="11"/>
                <w:color w:val="auto"/>
              </w:rPr>
            </w:pPr>
          </w:p>
        </w:tc>
        <w:tc>
          <w:tcPr>
            <w:tcW w:w="74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12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0" w:type="dxa"/>
            <w:vAlign w:val="bottom"/>
          </w:tcPr>
          <w:p>
            <w:pPr>
              <w:spacing w:after="0"/>
              <w:rPr>
                <w:sz w:val="1"/>
                <w:szCs w:val="1"/>
                <w:color w:val="auto"/>
              </w:rPr>
            </w:pPr>
          </w:p>
        </w:tc>
      </w:tr>
      <w:tr>
        <w:trPr>
          <w:trHeight w:val="170"/>
        </w:trPr>
        <w:tc>
          <w:tcPr>
            <w:tcW w:w="14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rate</w:t>
            </w:r>
          </w:p>
        </w:tc>
        <w:tc>
          <w:tcPr>
            <w:tcW w:w="1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taxes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120" w:type="dxa"/>
            <w:vAlign w:val="bottom"/>
          </w:tcPr>
          <w:p>
            <w:pPr>
              <w:spacing w:after="0"/>
              <w:rPr>
                <w:sz w:val="14"/>
                <w:szCs w:val="14"/>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rate</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income taxes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(benefit)</w:t>
            </w:r>
          </w:p>
        </w:tc>
        <w:tc>
          <w:tcPr>
            <w:tcW w:w="120" w:type="dxa"/>
            <w:vAlign w:val="bottom"/>
          </w:tcPr>
          <w:p>
            <w:pPr>
              <w:spacing w:after="0"/>
              <w:rPr>
                <w:sz w:val="14"/>
                <w:szCs w:val="14"/>
                <w:color w:val="auto"/>
              </w:rPr>
            </w:pPr>
          </w:p>
        </w:tc>
        <w:tc>
          <w:tcPr>
            <w:tcW w:w="78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rate</w:t>
            </w:r>
          </w:p>
        </w:tc>
        <w:tc>
          <w:tcPr>
            <w:tcW w:w="0" w:type="dxa"/>
            <w:vAlign w:val="bottom"/>
          </w:tcPr>
          <w:p>
            <w:pPr>
              <w:spacing w:after="0"/>
              <w:rPr>
                <w:sz w:val="1"/>
                <w:szCs w:val="1"/>
                <w:color w:val="auto"/>
              </w:rPr>
            </w:pPr>
          </w:p>
        </w:tc>
      </w:tr>
      <w:tr>
        <w:trPr>
          <w:trHeight w:val="226"/>
        </w:trPr>
        <w:tc>
          <w:tcPr>
            <w:tcW w:w="1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3,717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7,366</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$ 1,326</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11,076</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$ 2,238</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28"/>
        </w:trPr>
        <w:tc>
          <w:tcPr>
            <w:tcW w:w="1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Adjustments(a)</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ETR-adjusted</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663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$ 1,932</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12,418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$ 2,528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2" w:lineRule="exact"/>
        <w:rPr>
          <w:sz w:val="20"/>
          <w:szCs w:val="20"/>
          <w:color w:val="auto"/>
        </w:rPr>
      </w:pPr>
    </w:p>
    <w:p>
      <w:pPr>
        <w:jc w:val="both"/>
        <w:ind w:left="340" w:hanging="333"/>
        <w:spacing w:after="0" w:line="259" w:lineRule="auto"/>
        <w:tabs>
          <w:tab w:leader="none" w:pos="331"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spacing w:after="0" w:line="20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5"/>
        </w:trPr>
        <w:tc>
          <w:tcPr>
            <w:tcW w:w="6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8"/>
        </w:trPr>
        <w:tc>
          <w:tcPr>
            <w:tcW w:w="6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6"/>
                <w:szCs w:val="16"/>
                <w:color w:val="auto"/>
              </w:rPr>
            </w:pPr>
          </w:p>
        </w:tc>
        <w:tc>
          <w:tcPr>
            <w:tcW w:w="18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8"/>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stockholders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11.1</w:t>
            </w:r>
          </w:p>
        </w:tc>
      </w:tr>
      <w:tr>
        <w:trPr>
          <w:trHeight w:val="22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69.5</w:t>
            </w:r>
          </w:p>
        </w:tc>
      </w:tr>
      <w:tr>
        <w:trPr>
          <w:trHeight w:val="22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ROE</w:t>
            </w:r>
          </w:p>
        </w:tc>
        <w:tc>
          <w:tcPr>
            <w:tcW w:w="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97"/>
              </w:rPr>
              <w:t>15.9 %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Net income attributable to stockholders.</w:t>
      </w:r>
    </w:p>
    <w:p>
      <w:pPr>
        <w:spacing w:after="0" w:line="200" w:lineRule="exact"/>
        <w:rPr>
          <w:rFonts w:ascii="Times New Roman" w:cs="Times New Roman" w:eastAsia="Times New Roman" w:hAnsi="Times New Roman"/>
          <w:sz w:val="16"/>
          <w:szCs w:val="16"/>
          <w:color w:val="auto"/>
        </w:rPr>
      </w:pPr>
    </w:p>
    <w:p>
      <w:pPr>
        <w:spacing w:after="0" w:line="38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calculation of ROIC-adjusted (dollars in billions):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Four Quarters Ended</w:t>
            </w:r>
          </w:p>
        </w:tc>
      </w:tr>
      <w:tr>
        <w:trPr>
          <w:trHeight w:val="25"/>
        </w:trPr>
        <w:tc>
          <w:tcPr>
            <w:tcW w:w="6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88"/>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6"/>
                <w:szCs w:val="16"/>
                <w:color w:val="auto"/>
              </w:rPr>
            </w:pPr>
          </w:p>
        </w:tc>
        <w:tc>
          <w:tcPr>
            <w:tcW w:w="18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28"/>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EBIT-adjusted(a)</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equity(b)</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69.5</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Average automotive debt and interest liabilities (excluding finance leases)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16.3</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Average automotive net pension &amp; OPEB liability</w:t>
            </w:r>
          </w:p>
        </w:tc>
        <w:tc>
          <w:tcPr>
            <w:tcW w:w="28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9.8</w:t>
            </w: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automotive and other net income tax asset</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(22.7)</w:t>
            </w:r>
          </w:p>
        </w:tc>
      </w:tr>
      <w:tr>
        <w:trPr>
          <w:trHeight w:val="222"/>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ROIC-adjusted average net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73.0</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ROIC-adjusted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20" w:hanging="313"/>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the reconciliation of Net income (loss) attributable to stockholders to EBIT-adjusted within this section of MD&amp;A.</w:t>
      </w:r>
    </w:p>
    <w:p>
      <w:pPr>
        <w:spacing w:after="0" w:line="14"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equity of noncontrolling interests where the corresponding earnings (loss) are included in EBIT-adjusted.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Forward-Looking Statements </w:t>
      </w:r>
      <w:r>
        <w:rPr>
          <w:rFonts w:ascii="Times New Roman" w:cs="Times New Roman" w:eastAsia="Times New Roman" w:hAnsi="Times New Roman"/>
          <w:sz w:val="17"/>
          <w:szCs w:val="17"/>
          <w:color w:val="auto"/>
        </w:rPr>
        <w:t>This report and the other reports filed by us with the SEC from time to time, as well as statements incorporated by reference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6" w:lineRule="exact"/>
        <w:rPr>
          <w:sz w:val="20"/>
          <w:szCs w:val="20"/>
          <w:color w:val="auto"/>
        </w:rPr>
      </w:pPr>
    </w:p>
    <w:p>
      <w:pPr>
        <w:jc w:val="both"/>
        <w:ind w:firstLine="7"/>
        <w:spacing w:after="0" w:line="263" w:lineRule="auto"/>
        <w:tabs>
          <w:tab w:leader="none" w:pos="258"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new products, services, technologies and customer experiences in response to increased competition and changing consumer needs and preferences; (2) our ability to attract and retain talented and highly skilled employees; (3) our ability to timely fund and introduce new and improved vehicle models, including EVs, that are able to attract a sufficient number of consumers; (4) our ability to profitably deliver a strategic portfolio of EVs; (5) adoptions of EVs by consumers; (6) the success of our current line of ICE vehicles, particularly our full-size SUVs and full-size pickup trucks; (7) our highly competitive industry, which has been historically characterized by excess manufacturing capacity and the use of incentives, and the introduction of new and improved vehicle models by our competitors; (8) the unique technological, operational, regulatory and competitive risks related to our refocused AV strategy on personal vehicles; (9) risks associated with climate change, including increased regulation of GHG emissions, our transition to EVs and the potential increased impacts of severe weather events; (10) global automobile market sales volume, which can be volatile; (11) inflationary pressures and persistently high prices and uncertain availability of raw materials and commodities used by us and our suppliers, and instability in logistics and related costs; (12) our business in China, which is subject to unique operational, competitive, regulatory and economic risks; (13) the success of our ongoing strategic business relationships, particularly with respect to facilitating access to raw materials necessary for the production of EVs, and of our joint ventures, which we cannot operate solely for our benefit and over which we may have limited control; (14) the international scale and footprint of our operations, which expose us to a variety of unique political, economic, competitive and regulatory risks, including the risk of changes in government leadership and laws (including labor, trade, tax and other laws), political uncertainty or instability and economic tensions between governments and changes in international trade policies, new barriers to entry and changes to or withdrawals from free trade agreements, introduction of new tariffs or changes to announced tariffs directly and indirectly applicable to our industry,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w:t>
      </w:r>
    </w:p>
    <w:p>
      <w:pPr>
        <w:spacing w:after="0" w:line="14" w:lineRule="exact"/>
        <w:rPr>
          <w:rFonts w:ascii="Times New Roman" w:cs="Times New Roman" w:eastAsia="Times New Roman" w:hAnsi="Times New Roman"/>
          <w:sz w:val="17"/>
          <w:szCs w:val="17"/>
          <w:color w:val="auto"/>
        </w:rPr>
      </w:pPr>
    </w:p>
    <w:p>
      <w:pPr>
        <w:jc w:val="both"/>
        <w:ind w:firstLine="7"/>
        <w:spacing w:after="0" w:line="251" w:lineRule="auto"/>
        <w:tabs>
          <w:tab w:leader="none" w:pos="3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disruption, including any work stoppages, at any of our manufacturing facilities; (16) the ability of our suppliers to deliver parts, systems and components without disruption and at such times to allow us to meet production schedules; (17) pandemics, epidemics, disease outbreaks and other public health crises; (18) the possibility that competitors may independently develop products and services similar to ours, or that our intellectual property rights are not sufficient to prevent competitors from developing or selling those products or services; (19) our ability to manage risks related to security breaches, cyberattacks and other disruptions to our information technology systems and networked products, including connected vehicles; (20) our ability to</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manage security breaches and other disruptions to our in-vehicle systems; (21) our ability to comply with increasingly complex, restrictive and punitive regulations relating to our enterprise data practices, including the collection, use, sharing and security of the personal information of our customers, employees or suppliers; (22) our ability to comply with extensive laws, regulations and policies applicable to our industry, operations and products, including those in the Act and/or relating to fuel economy, emissions and AVs; (23) costs and risks associated with litigation and government investigations;</w:t>
      </w:r>
    </w:p>
    <w:p>
      <w:pPr>
        <w:spacing w:after="0" w:line="2" w:lineRule="exact"/>
        <w:rPr>
          <w:sz w:val="20"/>
          <w:szCs w:val="20"/>
          <w:color w:val="auto"/>
        </w:rPr>
      </w:pPr>
    </w:p>
    <w:p>
      <w:pPr>
        <w:jc w:val="both"/>
        <w:ind w:firstLine="7"/>
        <w:spacing w:after="0" w:line="252" w:lineRule="auto"/>
        <w:tabs>
          <w:tab w:leader="none" w:pos="3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 on our reputation of product safety recalls and alleged defects in products and services; (25) any additional tax expense or exposure or failure to fully realize available tax incentives; (26) our continued ability to develop captive financing capability through GM Financial; and (27) any significant increase in our pension funding requirements. A further discussion of these risks, uncertainties and other factors can be found in Part I, Item 1A. Risk Factors of our 2024 Form 10-K, Part II, Item 1A. Risk Factors and our subsequent filings with the SEC.</w:t>
      </w:r>
    </w:p>
    <w:p>
      <w:pPr>
        <w:spacing w:after="0" w:line="21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80" w:lineRule="auto"/>
        <w:rPr>
          <w:sz w:val="20"/>
          <w:szCs w:val="20"/>
          <w:color w:val="auto"/>
        </w:rPr>
      </w:pPr>
      <w:r>
        <w:rPr>
          <w:rFonts w:ascii="Times New Roman" w:cs="Times New Roman" w:eastAsia="Times New Roman" w:hAnsi="Times New Roman"/>
          <w:sz w:val="18"/>
          <w:szCs w:val="18"/>
          <w:color w:val="auto"/>
        </w:rPr>
        <w:t>There have been no significant changes in our exposure to market risk since December 31, 2024. For further discussion on market risk, refer to Part II, Item 7A. of our 2024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Disclosure Controls and Procedures </w:t>
      </w:r>
      <w:r>
        <w:rPr>
          <w:rFonts w:ascii="Times New Roman" w:cs="Times New Roman" w:eastAsia="Times New Roman" w:hAnsi="Times New Roman"/>
          <w:sz w:val="18"/>
          <w:szCs w:val="18"/>
          <w:color w:val="auto"/>
        </w:rPr>
        <w:t>We maintain disclosure controls and procedures designed to provide reasonable assurance that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05" w:lineRule="exact"/>
        <w:rPr>
          <w:sz w:val="20"/>
          <w:szCs w:val="20"/>
          <w:color w:val="auto"/>
        </w:rPr>
      </w:pPr>
    </w:p>
    <w:p>
      <w:pPr>
        <w:jc w:val="both"/>
        <w:ind w:firstLine="161"/>
        <w:spacing w:after="0" w:line="259" w:lineRule="auto"/>
        <w:rPr>
          <w:sz w:val="20"/>
          <w:szCs w:val="20"/>
          <w:color w:val="auto"/>
        </w:rPr>
      </w:pPr>
      <w:r>
        <w:rPr>
          <w:rFonts w:ascii="Times New Roman" w:cs="Times New Roman" w:eastAsia="Times New Roman" w:hAnsi="Times New Roman"/>
          <w:sz w:val="18"/>
          <w:szCs w:val="18"/>
          <w:color w:val="auto"/>
        </w:rPr>
        <w:t>Our management, with the participation of our CEO and CFO, evaluated the effectiveness of our disclosure controls and procedures (as defined in Rules 13a-15(e) or 15d-15(e) promulgated under the Exchange Act) as of September 30, 2025 as required by paragraph (b) of Rules 13a-15 or 15d-15. Based on this evaluation, at a reasonable assurance level, our CEO and CFO concluded that our disclosure controls and procedures were effective as of September 30, 2025.</w:t>
      </w:r>
    </w:p>
    <w:p>
      <w:pPr>
        <w:spacing w:after="0" w:line="2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Changes in 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during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2025 that have materially affected, or are reasonably likely to materially affect, our internal control over financial reporting.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1"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SEC regulations require us to disclose certain information about environmental proceedings if a governmental authority is a party to such proceedings and such proceedings involve potential monetary sanctions that we reasonably believe will exceed a stated threshold. Pursuant to the SEC regulations, the Company will use a threshold of $1 million for purposes of determining whether disclosure of any such proceedings is required.</w:t>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discussion under Note 14 to our condensed consolidated financial statements is incorporated by reference into this Part II, Item 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4" w:lineRule="exact"/>
        <w:rPr>
          <w:sz w:val="20"/>
          <w:szCs w:val="20"/>
          <w:color w:val="auto"/>
        </w:rPr>
      </w:pPr>
    </w:p>
    <w:p>
      <w:pPr>
        <w:jc w:val="both"/>
        <w:ind w:firstLine="161"/>
        <w:spacing w:after="0" w:line="264"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2024 Form 10-K, other than as set forth below in this Item 1A.</w:t>
      </w:r>
    </w:p>
    <w:p>
      <w:pPr>
        <w:spacing w:after="0" w:line="200" w:lineRule="exact"/>
        <w:rPr>
          <w:sz w:val="20"/>
          <w:szCs w:val="20"/>
          <w:color w:val="auto"/>
        </w:rPr>
      </w:pPr>
    </w:p>
    <w:p>
      <w:pPr>
        <w:jc w:val="both"/>
        <w:ind w:firstLine="161"/>
        <w:spacing w:after="0" w:line="267" w:lineRule="auto"/>
        <w:rPr>
          <w:sz w:val="20"/>
          <w:szCs w:val="20"/>
          <w:color w:val="auto"/>
        </w:rPr>
      </w:pPr>
      <w:r>
        <w:rPr>
          <w:rFonts w:ascii="Times New Roman" w:cs="Times New Roman" w:eastAsia="Times New Roman" w:hAnsi="Times New Roman"/>
          <w:sz w:val="18"/>
          <w:szCs w:val="18"/>
          <w:b w:val="1"/>
          <w:bCs w:val="1"/>
          <w:i w:val="1"/>
          <w:iCs w:val="1"/>
          <w:color w:val="212121"/>
        </w:rPr>
        <w:t>The U.S. Government has introduced new tariffs applicable to the automotive industry and has signaled tariff policy may shift further in the coming months. Such tariffs, and tariffs imposed by other governments, could have a material adverse effect on our financial condition and results of operations.</w:t>
      </w:r>
    </w:p>
    <w:p>
      <w:pPr>
        <w:spacing w:after="0" w:line="200" w:lineRule="exact"/>
        <w:rPr>
          <w:sz w:val="20"/>
          <w:szCs w:val="20"/>
          <w:color w:val="auto"/>
        </w:rPr>
      </w:pPr>
    </w:p>
    <w:p>
      <w:pPr>
        <w:jc w:val="both"/>
        <w:ind w:firstLine="161"/>
        <w:spacing w:after="0" w:line="254" w:lineRule="auto"/>
        <w:rPr>
          <w:sz w:val="20"/>
          <w:szCs w:val="20"/>
          <w:color w:val="auto"/>
        </w:rPr>
      </w:pPr>
      <w:r>
        <w:rPr>
          <w:rFonts w:ascii="Times New Roman" w:cs="Times New Roman" w:eastAsia="Times New Roman" w:hAnsi="Times New Roman"/>
          <w:sz w:val="18"/>
          <w:szCs w:val="18"/>
          <w:color w:val="auto"/>
        </w:rPr>
        <w:t>The U.S. Government has introduced new tariffs and tariff-related measures, including tariffs specifically related to the automotive industry, and has indicated that other potential tariff measures and modifications to existing tariffs continue to be under consideration. For example, on October 17, 2025, the U.S. Government announced certain modifications to tariffs relevant to the automotive industry, including tariffs related to imports of heavy-duty trucks and, separately, to parts for passenger vehicles and light-duty trucks. Refer to the "Overview" section in Item 2. MD&amp;A for a description of how we expect these tariff modifications will impact our results of operations. Additionally, certain tariffs are subject to pending legal challenges. In these respects, the U.S. tariff environment remains highly dynamic and the specific tariffs applicable to goods imported by GM and our suppliers into the U.S. continue to evolve. Import tariffs charged by other countries in which GM does business may also change.</w:t>
      </w:r>
    </w:p>
    <w:p>
      <w:pPr>
        <w:spacing w:after="0" w:line="213" w:lineRule="exact"/>
        <w:rPr>
          <w:sz w:val="20"/>
          <w:szCs w:val="20"/>
          <w:color w:val="auto"/>
        </w:rPr>
      </w:pPr>
    </w:p>
    <w:p>
      <w:pPr>
        <w:jc w:val="both"/>
        <w:ind w:firstLine="161"/>
        <w:spacing w:after="0" w:line="253" w:lineRule="auto"/>
        <w:rPr>
          <w:sz w:val="20"/>
          <w:szCs w:val="20"/>
          <w:color w:val="auto"/>
        </w:rPr>
      </w:pPr>
      <w:r>
        <w:rPr>
          <w:rFonts w:ascii="Times New Roman" w:cs="Times New Roman" w:eastAsia="Times New Roman" w:hAnsi="Times New Roman"/>
          <w:sz w:val="18"/>
          <w:szCs w:val="18"/>
          <w:color w:val="auto"/>
        </w:rPr>
        <w:t>We believe the tariffs currently in place will have a $3.5 billion to $4.5 billion impact on our 2025 EBIT-adjusted results, but we cannot predict with complete precision the breadth of tariffs and related costs that will ultimately impact GM this year and beyond. As a result, the ultimate impact of tariffs on our business could exceed our current estimates, which could have a material adverse effect on our financial condition, results of operations and cash flows, and our expected financial results. Our efforts to mitigate the impact of tariffs including, but not limited to, making changes to our U.S. production plan and reducing or pausing certain imports, may not be successful, and we do not expect such actions to fully offset the impact of tariffs in the near term. We have made and may need to make additional changes to our global production footprint and workforce, which could require significant capital expenditures and could result in asset impairments and other charges, including restructuring charges, any of which could be material. For example, we recently announced plans to increase vehicle and engine production in the U.S. Evolving tariffs globally, along with other trade barriers and trade restrictions, may lead to supply chain disruptions, potentially resulting in increased production costs and the inability to receive certain critical parts.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Purchases of Equity Securities </w:t>
      </w:r>
      <w:r>
        <w:rPr>
          <w:rFonts w:ascii="Times New Roman" w:cs="Times New Roman" w:eastAsia="Times New Roman" w:hAnsi="Times New Roman"/>
          <w:sz w:val="18"/>
          <w:szCs w:val="18"/>
          <w:color w:val="auto"/>
        </w:rPr>
        <w:t>The following table summarizes our purchases of common stock in the three months ended September 30,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4"/>
        </w:trPr>
        <w:tc>
          <w:tcPr>
            <w:tcW w:w="49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4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8"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5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0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May Yet be Purchased Under</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Shares Purchased(a)</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Share(b)</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c>
          <w:tcPr>
            <w:tcW w:w="0" w:type="dxa"/>
            <w:vAlign w:val="bottom"/>
          </w:tcPr>
          <w:p>
            <w:pPr>
              <w:spacing w:after="0"/>
              <w:rPr>
                <w:sz w:val="1"/>
                <w:szCs w:val="1"/>
                <w:color w:val="auto"/>
              </w:rPr>
            </w:pPr>
          </w:p>
        </w:tc>
      </w:tr>
      <w:tr>
        <w:trPr>
          <w:trHeight w:val="228"/>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through July 31, 2025</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12,708,915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12,608,343</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 billion</w:t>
            </w:r>
          </w:p>
        </w:tc>
        <w:tc>
          <w:tcPr>
            <w:tcW w:w="0" w:type="dxa"/>
            <w:vAlign w:val="bottom"/>
          </w:tcPr>
          <w:p>
            <w:pPr>
              <w:spacing w:after="0"/>
              <w:rPr>
                <w:sz w:val="1"/>
                <w:szCs w:val="1"/>
                <w:color w:val="auto"/>
              </w:rPr>
            </w:pPr>
          </w:p>
        </w:tc>
      </w:tr>
      <w:tr>
        <w:trPr>
          <w:trHeight w:val="22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2025 through August 31,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7,523,555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7,521,173</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 billion</w:t>
            </w:r>
          </w:p>
        </w:tc>
        <w:tc>
          <w:tcPr>
            <w:tcW w:w="0" w:type="dxa"/>
            <w:vAlign w:val="bottom"/>
          </w:tcPr>
          <w:p>
            <w:pPr>
              <w:spacing w:after="0"/>
              <w:rPr>
                <w:sz w:val="1"/>
                <w:szCs w:val="1"/>
                <w:color w:val="auto"/>
              </w:rPr>
            </w:pPr>
          </w:p>
        </w:tc>
      </w:tr>
      <w:tr>
        <w:trPr>
          <w:trHeight w:val="228"/>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2025 through September 30, 2025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7,137,257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7,137,257</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 billion</w:t>
            </w:r>
          </w:p>
        </w:tc>
        <w:tc>
          <w:tcPr>
            <w:tcW w:w="0" w:type="dxa"/>
            <w:vAlign w:val="bottom"/>
          </w:tcPr>
          <w:p>
            <w:pPr>
              <w:spacing w:after="0"/>
              <w:rPr>
                <w:sz w:val="1"/>
                <w:szCs w:val="1"/>
                <w:color w:val="auto"/>
              </w:rPr>
            </w:pPr>
          </w:p>
        </w:tc>
      </w:tr>
      <w:tr>
        <w:trPr>
          <w:trHeight w:val="222"/>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27,369,727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27,266,773</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w:t>
      </w:r>
    </w:p>
    <w:p>
      <w:pPr>
        <w:spacing w:after="0" w:line="26" w:lineRule="exact"/>
        <w:rPr>
          <w:sz w:val="20"/>
          <w:szCs w:val="20"/>
          <w:color w:val="auto"/>
        </w:rPr>
      </w:pPr>
    </w:p>
    <w:p>
      <w:pPr>
        <w:ind w:left="340" w:right="20" w:hanging="333"/>
        <w:spacing w:after="0" w:line="251" w:lineRule="auto"/>
        <w:tabs>
          <w:tab w:leader="none" w:pos="33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purchased include shares delivered by employees or directors to us for the payment of taxes resulting from the issuance of common stock upon the vesting of RSUs relating to compensation plans. Refer to our 2024 Form 10-K for additional details on employee stock incentive plans.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weighted-average price paid per share excludes broker commissions.</w:t>
      </w:r>
    </w:p>
    <w:p>
      <w:pPr>
        <w:spacing w:after="0" w:line="236" w:lineRule="exact"/>
        <w:rPr>
          <w:rFonts w:ascii="Times New Roman" w:cs="Times New Roman" w:eastAsia="Times New Roman" w:hAnsi="Times New Roman"/>
          <w:sz w:val="16"/>
          <w:szCs w:val="16"/>
          <w:color w:val="auto"/>
        </w:rPr>
      </w:pPr>
    </w:p>
    <w:p>
      <w:pPr>
        <w:ind w:left="50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 * * * * *</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4"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officer of the Company adopted or terminated a "Rule 10b5-1 trading arrangement" or "non-Rule 10b5-1 trading arrangement," as each term is defined in Item 408 of Regulation S-K.</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0" w:type="dxa"/>
            <w:vAlign w:val="bottom"/>
            <w:gridSpan w:val="7"/>
          </w:tcPr>
          <w:p>
            <w:pPr>
              <w:ind w:left="1000"/>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0" w:type="dxa"/>
            <w:vAlign w:val="bottom"/>
            <w:gridSpan w:val="7"/>
          </w:tcPr>
          <w:p>
            <w:pPr>
              <w:ind w:left="2600"/>
              <w:spacing w:after="0"/>
              <w:rPr>
                <w:sz w:val="20"/>
                <w:szCs w:val="20"/>
                <w:color w:val="auto"/>
              </w:rPr>
            </w:pPr>
            <w:r>
              <w:rPr>
                <w:rFonts w:ascii="Times New Roman" w:cs="Times New Roman" w:eastAsia="Times New Roman" w:hAnsi="Times New Roman"/>
                <w:sz w:val="18"/>
                <w:szCs w:val="18"/>
                <w:b w:val="1"/>
                <w:bCs w:val="1"/>
                <w:color w:val="auto"/>
              </w:rPr>
              <w:t>Exhibit Name</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120" w:type="dxa"/>
            <w:vAlign w:val="bottom"/>
            <w:tcBorders>
              <w:top w:val="single" w:sz="8" w:color="auto"/>
              <w:bottom w:val="single" w:sz="8" w:color="0000FF"/>
            </w:tcBorders>
            <w:gridSpan w:val="9"/>
            <w:shd w:val="clear" w:color="auto" w:fill="CCEEFF"/>
          </w:tcPr>
          <w:p>
            <w:pPr>
              <w:ind w:left="20"/>
              <w:spacing w:after="0" w:line="168"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Amended and Restated Certificate of Incorporation of General Motors Company dated June 3, 2025,</w:t>
              </w:r>
            </w:hyperlink>
          </w:p>
        </w:tc>
        <w:tc>
          <w:tcPr>
            <w:tcW w:w="1620" w:type="dxa"/>
            <w:vAlign w:val="bottom"/>
            <w:tcBorders>
              <w:top w:val="single" w:sz="8" w:color="CCEEFF"/>
              <w:bottom w:val="single" w:sz="8" w:color="CCEEFF"/>
            </w:tcBorders>
            <w:shd w:val="clear" w:color="auto" w:fill="CCEEFF"/>
          </w:tcPr>
          <w:p>
            <w:pPr>
              <w:ind w:left="100"/>
              <w:spacing w:after="0" w:line="168"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120" w:type="dxa"/>
            <w:vAlign w:val="bottom"/>
            <w:gridSpan w:val="9"/>
            <w:shd w:val="clear" w:color="auto" w:fill="CCEEFF"/>
          </w:tcPr>
          <w:p>
            <w:pPr>
              <w:ind w:left="20"/>
              <w:spacing w:after="0" w:line="161"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incorporated by reference to Exhibit 3.1 to the Current Report on Form 8-K of General Motors Company filed</w:t>
              </w:r>
            </w:hyperlink>
          </w:p>
        </w:tc>
        <w:tc>
          <w:tcPr>
            <w:tcW w:w="1620" w:type="dxa"/>
            <w:vAlign w:val="bottom"/>
            <w:shd w:val="clear" w:color="auto" w:fill="CCEEFF"/>
          </w:tcPr>
          <w:p>
            <w:pPr>
              <w:ind w:left="100"/>
              <w:spacing w:after="0" w:line="161" w:lineRule="exact"/>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0000FF"/>
              <w:bottom w:val="single" w:sz="8" w:color="0000FF"/>
            </w:tcBorders>
            <w:gridSpan w:val="2"/>
            <w:shd w:val="clear" w:color="auto" w:fill="CCEEFF"/>
          </w:tcPr>
          <w:p>
            <w:pPr>
              <w:ind w:left="20"/>
              <w:spacing w:after="0" w:line="154" w:lineRule="exact"/>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color w:val="0000FF"/>
                </w:rPr>
                <w:t xml:space="preserve">June 5, </w:t>
              </w:r>
            </w:hyperlink>
            <w:r>
              <w:rPr>
                <w:rFonts w:ascii="Times New Roman" w:cs="Times New Roman" w:eastAsia="Times New Roman" w:hAnsi="Times New Roman"/>
                <w:sz w:val="17"/>
                <w:szCs w:val="17"/>
                <w:color w:val="0000FF"/>
              </w:rPr>
              <w:t>2025</w:t>
            </w:r>
          </w:p>
        </w:tc>
        <w:tc>
          <w:tcPr>
            <w:tcW w:w="714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8120" w:type="dxa"/>
            <w:vAlign w:val="bottom"/>
            <w:gridSpan w:val="9"/>
          </w:tcPr>
          <w:p>
            <w:pPr>
              <w:ind w:left="20"/>
              <w:spacing w:after="0" w:line="18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General Motors Company Amended and Restated Bylaws, as amended October 4, 2024, incorporated by</w:t>
              </w:r>
            </w:hyperlink>
          </w:p>
        </w:tc>
        <w:tc>
          <w:tcPr>
            <w:tcW w:w="16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100" w:type="dxa"/>
            <w:vAlign w:val="bottom"/>
            <w:tcBorders>
              <w:top w:val="single" w:sz="8" w:color="0000FF"/>
            </w:tcBorders>
            <w:gridSpan w:val="8"/>
          </w:tcPr>
          <w:p>
            <w:pPr>
              <w:ind w:left="20"/>
              <w:spacing w:after="0" w:line="154" w:lineRule="exact"/>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color w:val="0000FF"/>
                </w:rPr>
                <w:t>reference to Exhibit 3.1 to the Current Report on Form 8-K of General Motors Company filed October 9, 2024</w:t>
              </w:r>
            </w:hyperlink>
          </w:p>
        </w:tc>
        <w:tc>
          <w:tcPr>
            <w:tcW w:w="20" w:type="dxa"/>
            <w:vAlign w:val="bottom"/>
          </w:tcPr>
          <w:p>
            <w:pPr>
              <w:spacing w:after="0"/>
              <w:rPr>
                <w:sz w:val="13"/>
                <w:szCs w:val="13"/>
                <w:color w:val="auto"/>
              </w:rPr>
            </w:pPr>
          </w:p>
        </w:tc>
        <w:tc>
          <w:tcPr>
            <w:tcW w:w="1620" w:type="dxa"/>
            <w:vAlign w:val="bottom"/>
          </w:tcPr>
          <w:p>
            <w:pPr>
              <w:ind w:left="100"/>
              <w:spacing w:after="0" w:line="154" w:lineRule="exact"/>
              <w:rPr>
                <w:sz w:val="20"/>
                <w:szCs w:val="20"/>
                <w:color w:val="auto"/>
              </w:rPr>
            </w:pPr>
            <w:r>
              <w:rPr>
                <w:rFonts w:ascii="Times New Roman" w:cs="Times New Roman" w:eastAsia="Times New Roman" w:hAnsi="Times New Roman"/>
                <w:sz w:val="17"/>
                <w:szCs w:val="17"/>
                <w:color w:val="auto"/>
              </w:rPr>
              <w:t>Reference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9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8120" w:type="dxa"/>
            <w:vAlign w:val="bottom"/>
            <w:gridSpan w:val="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Section 302 Certification of the Chief Executive Officer</w:t>
            </w:r>
          </w:p>
        </w:tc>
        <w:tc>
          <w:tcPr>
            <w:tcW w:w="16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top w:val="single" w:sz="8" w:color="CCEEFF"/>
            </w:tcBorders>
          </w:tcPr>
          <w:p>
            <w:pPr>
              <w:spacing w:after="0"/>
              <w:rPr>
                <w:sz w:val="16"/>
                <w:szCs w:val="16"/>
                <w:color w:val="auto"/>
              </w:rPr>
            </w:pPr>
          </w:p>
        </w:tc>
        <w:tc>
          <w:tcPr>
            <w:tcW w:w="4020" w:type="dxa"/>
            <w:vAlign w:val="bottom"/>
            <w:tcBorders>
              <w:top w:val="single" w:sz="8" w:color="0000FF"/>
            </w:tcBorders>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Section 302 Certification of the Chief Financial Officer</w:t>
            </w:r>
          </w:p>
        </w:tc>
        <w:tc>
          <w:tcPr>
            <w:tcW w:w="4100" w:type="dxa"/>
            <w:vAlign w:val="bottom"/>
            <w:tcBorders>
              <w:top w:val="single" w:sz="8" w:color="CCEEFF"/>
            </w:tcBorders>
            <w:gridSpan w:val="5"/>
          </w:tcPr>
          <w:p>
            <w:pPr>
              <w:spacing w:after="0"/>
              <w:rPr>
                <w:sz w:val="16"/>
                <w:szCs w:val="16"/>
                <w:color w:val="auto"/>
              </w:rPr>
            </w:pPr>
          </w:p>
        </w:tc>
        <w:tc>
          <w:tcPr>
            <w:tcW w:w="1620" w:type="dxa"/>
            <w:vAlign w:val="bottom"/>
            <w:tcBorders>
              <w:top w:val="single" w:sz="8" w:color="CCEEFF"/>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6"/>
                <w:szCs w:val="16"/>
                <w:color w:val="auto"/>
              </w:rPr>
            </w:pPr>
          </w:p>
        </w:tc>
        <w:tc>
          <w:tcPr>
            <w:tcW w:w="8120" w:type="dxa"/>
            <w:vAlign w:val="bottom"/>
            <w:gridSpan w:val="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w:t>
            </w:r>
          </w:p>
        </w:tc>
        <w:tc>
          <w:tcPr>
            <w:tcW w:w="162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80" w:type="dxa"/>
            <w:vAlign w:val="bottom"/>
            <w:tcBorders>
              <w:top w:val="single" w:sz="8" w:color="0000FF"/>
            </w:tcBorders>
            <w:gridSpan w:val="7"/>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40" w:type="dxa"/>
            <w:vAlign w:val="bottom"/>
            <w:tcBorders>
              <w:top w:val="single" w:sz="8" w:color="CCEEFF"/>
            </w:tcBorders>
            <w:gridSpan w:val="2"/>
            <w:shd w:val="clear" w:color="auto" w:fill="CCEEFF"/>
          </w:tcPr>
          <w:p>
            <w:pPr>
              <w:spacing w:after="0"/>
              <w:rPr>
                <w:sz w:val="13"/>
                <w:szCs w:val="13"/>
                <w:color w:val="auto"/>
              </w:rPr>
            </w:pPr>
          </w:p>
        </w:tc>
        <w:tc>
          <w:tcPr>
            <w:tcW w:w="1620" w:type="dxa"/>
            <w:vAlign w:val="bottom"/>
            <w:tcBorders>
              <w:top w:val="single" w:sz="8" w:color="CCEEFF"/>
            </w:tcBorders>
            <w:shd w:val="clear" w:color="auto" w:fill="CCEEFF"/>
          </w:tcPr>
          <w:p>
            <w:pPr>
              <w:ind w:left="100"/>
              <w:spacing w:after="0" w:line="154" w:lineRule="exact"/>
              <w:rPr>
                <w:sz w:val="20"/>
                <w:szCs w:val="20"/>
                <w:color w:val="auto"/>
              </w:rPr>
            </w:pPr>
            <w:r>
              <w:rPr>
                <w:rFonts w:ascii="Times New Roman" w:cs="Times New Roman" w:eastAsia="Times New Roman" w:hAnsi="Times New Roman"/>
                <w:sz w:val="17"/>
                <w:szCs w:val="17"/>
                <w:color w:val="auto"/>
              </w:rPr>
              <w:t>Report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9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8120" w:type="dxa"/>
            <w:vAlign w:val="bottom"/>
            <w:gridSpan w:val="9"/>
          </w:tcPr>
          <w:p>
            <w:pPr>
              <w:ind w:left="20"/>
              <w:spacing w:after="0" w:line="175" w:lineRule="exact"/>
              <w:rPr>
                <w:sz w:val="20"/>
                <w:szCs w:val="20"/>
                <w:color w:val="auto"/>
              </w:rPr>
            </w:pPr>
            <w:r>
              <w:rPr>
                <w:rFonts w:ascii="Times New Roman" w:cs="Times New Roman" w:eastAsia="Times New Roman" w:hAnsi="Times New Roman"/>
                <w:sz w:val="18"/>
                <w:szCs w:val="18"/>
                <w:color w:val="auto"/>
              </w:rPr>
              <w:t>The following financial information from the Company’s Quarterly Report on Form 10-Q for the three months</w:t>
            </w:r>
          </w:p>
        </w:tc>
        <w:tc>
          <w:tcPr>
            <w:tcW w:w="1620" w:type="dxa"/>
            <w:vAlign w:val="bottom"/>
          </w:tcPr>
          <w:p>
            <w:pPr>
              <w:ind w:left="100"/>
              <w:spacing w:after="0" w:line="17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20" w:type="dxa"/>
            <w:vAlign w:val="bottom"/>
            <w:gridSpan w:val="9"/>
          </w:tcPr>
          <w:p>
            <w:pPr>
              <w:ind w:left="20"/>
              <w:spacing w:after="0" w:line="175" w:lineRule="exact"/>
              <w:rPr>
                <w:sz w:val="20"/>
                <w:szCs w:val="20"/>
                <w:color w:val="auto"/>
              </w:rPr>
            </w:pPr>
            <w:r>
              <w:rPr>
                <w:rFonts w:ascii="Times New Roman" w:cs="Times New Roman" w:eastAsia="Times New Roman" w:hAnsi="Times New Roman"/>
                <w:sz w:val="18"/>
                <w:szCs w:val="18"/>
                <w:color w:val="auto"/>
              </w:rPr>
              <w:t>ended September 30, 2025, formatted in Inline Extensible Business Reporting Language (Inline XBRL)</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20" w:type="dxa"/>
            <w:vAlign w:val="bottom"/>
            <w:gridSpan w:val="9"/>
          </w:tcPr>
          <w:p>
            <w:pPr>
              <w:ind w:left="20"/>
              <w:spacing w:after="0" w:line="183" w:lineRule="exact"/>
              <w:rPr>
                <w:sz w:val="20"/>
                <w:szCs w:val="20"/>
                <w:color w:val="auto"/>
              </w:rPr>
            </w:pPr>
            <w:r>
              <w:rPr>
                <w:rFonts w:ascii="Times New Roman" w:cs="Times New Roman" w:eastAsia="Times New Roman" w:hAnsi="Times New Roman"/>
                <w:sz w:val="18"/>
                <w:szCs w:val="18"/>
                <w:color w:val="auto"/>
              </w:rPr>
              <w:t>includes: (i) the Condensed Consolidated Income Statements, (ii) the Condensed Consolidated Statements of</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20" w:type="dxa"/>
            <w:vAlign w:val="bottom"/>
            <w:gridSpan w:val="9"/>
          </w:tcPr>
          <w:p>
            <w:pPr>
              <w:ind w:left="20"/>
              <w:spacing w:after="0" w:line="180" w:lineRule="exact"/>
              <w:rPr>
                <w:sz w:val="20"/>
                <w:szCs w:val="20"/>
                <w:color w:val="auto"/>
              </w:rPr>
            </w:pPr>
            <w:r>
              <w:rPr>
                <w:rFonts w:ascii="Times New Roman" w:cs="Times New Roman" w:eastAsia="Times New Roman" w:hAnsi="Times New Roman"/>
                <w:sz w:val="18"/>
                <w:szCs w:val="18"/>
                <w:color w:val="auto"/>
              </w:rPr>
              <w:t>Comprehensive Income, (iii) the Condensed Consolidated Balance Sheets, (iv) the Condensed Consolidated</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120" w:type="dxa"/>
            <w:vAlign w:val="bottom"/>
            <w:gridSpan w:val="9"/>
          </w:tcPr>
          <w:p>
            <w:pPr>
              <w:ind w:left="20"/>
              <w:spacing w:after="0" w:line="175" w:lineRule="exact"/>
              <w:rPr>
                <w:sz w:val="20"/>
                <w:szCs w:val="20"/>
                <w:color w:val="auto"/>
              </w:rPr>
            </w:pPr>
            <w:r>
              <w:rPr>
                <w:rFonts w:ascii="Times New Roman" w:cs="Times New Roman" w:eastAsia="Times New Roman" w:hAnsi="Times New Roman"/>
                <w:sz w:val="18"/>
                <w:szCs w:val="18"/>
                <w:color w:val="auto"/>
              </w:rPr>
              <w:t>Statements of Cash Flows, (v) the Condensed Consolidated Statements of Equity and (vi) Notes to the</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2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8120" w:type="dxa"/>
            <w:vAlign w:val="bottom"/>
            <w:gridSpan w:val="9"/>
          </w:tcPr>
          <w:p>
            <w:pPr>
              <w:ind w:left="20"/>
              <w:spacing w:after="0" w:line="198"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three months ended September 30,</w:t>
            </w:r>
          </w:p>
        </w:tc>
        <w:tc>
          <w:tcPr>
            <w:tcW w:w="16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15810" cy="2647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15810" cy="264795"/>
                    </a:xfrm>
                    <a:prstGeom prst="rect">
                      <a:avLst/>
                    </a:prstGeom>
                    <a:noFill/>
                  </pic:spPr>
                </pic:pic>
              </a:graphicData>
            </a:graphic>
          </wp:anchor>
        </w:drawing>
      </w:r>
    </w:p>
    <w:p>
      <w:pPr>
        <w:ind w:left="1500"/>
        <w:spacing w:after="0"/>
        <w:rPr>
          <w:sz w:val="20"/>
          <w:szCs w:val="20"/>
          <w:color w:val="auto"/>
        </w:rPr>
      </w:pPr>
      <w:r>
        <w:rPr>
          <w:rFonts w:ascii="Times New Roman" w:cs="Times New Roman" w:eastAsia="Times New Roman" w:hAnsi="Times New Roman"/>
          <w:sz w:val="18"/>
          <w:szCs w:val="18"/>
          <w:color w:val="auto"/>
        </w:rPr>
        <w:t>2025, formatted as Inline XBRL and contained in Exhibit 101</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43" w:lineRule="exact"/>
        <w:rPr>
          <w:sz w:val="20"/>
          <w:szCs w:val="20"/>
          <w:color w:val="auto"/>
        </w:rPr>
      </w:pPr>
    </w:p>
    <w:p>
      <w:pPr>
        <w:ind w:firstLine="161"/>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38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16510</wp:posOffset>
            </wp:positionV>
            <wp:extent cx="32594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25945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T. Hatto, Vice President, Global Business Solutions and</w:t>
      </w:r>
    </w:p>
    <w:p>
      <w:pPr>
        <w:spacing w:after="0" w:line="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21, 2025</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25768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576830"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21, 2025</w:t>
      </w:r>
    </w:p>
    <w:p>
      <w:pPr>
        <w:sectPr>
          <w:pgSz w:w="11900" w:h="16838" w:orient="portrait"/>
          <w:cols w:equalWidth="0" w:num="1">
            <w:col w:w="11240"/>
          </w:cols>
          <w:pgMar w:left="320" w:top="35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General Motors Company;</w:t>
      </w:r>
    </w:p>
    <w:p>
      <w:pPr>
        <w:spacing w:after="0" w:line="249" w:lineRule="exact"/>
        <w:rPr>
          <w:rFonts w:ascii="Times New Roman" w:cs="Times New Roman" w:eastAsia="Times New Roman" w:hAnsi="Times New Roman"/>
          <w:sz w:val="18"/>
          <w:szCs w:val="18"/>
          <w:color w:val="auto"/>
        </w:rPr>
      </w:pPr>
    </w:p>
    <w:p>
      <w:pPr>
        <w:ind w:firstLine="209"/>
        <w:spacing w:after="0" w:line="280" w:lineRule="auto"/>
        <w:tabs>
          <w:tab w:leader="none" w:pos="3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firstLine="209"/>
        <w:spacing w:after="0" w:line="280" w:lineRule="auto"/>
        <w:tabs>
          <w:tab w:leader="none" w:pos="39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firstLine="209"/>
        <w:spacing w:after="0" w:line="264" w:lineRule="auto"/>
        <w:tabs>
          <w:tab w:leader="none" w:pos="4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8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811"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380" w:firstLine="192"/>
        <w:spacing w:after="0" w:line="280" w:lineRule="auto"/>
        <w:tabs>
          <w:tab w:leader="none" w:pos="81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380" w:firstLine="192"/>
        <w:spacing w:after="0" w:line="264" w:lineRule="auto"/>
        <w:tabs>
          <w:tab w:leader="none" w:pos="79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209"/>
        <w:spacing w:after="0" w:line="280" w:lineRule="auto"/>
        <w:tabs>
          <w:tab w:leader="none" w:pos="3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380" w:right="20" w:firstLine="192"/>
        <w:spacing w:after="0" w:line="280" w:lineRule="auto"/>
        <w:tabs>
          <w:tab w:leader="none" w:pos="77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380" w:firstLine="192"/>
        <w:spacing w:after="0" w:line="280" w:lineRule="auto"/>
        <w:tabs>
          <w:tab w:leader="none" w:pos="7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16510</wp:posOffset>
            </wp:positionV>
            <wp:extent cx="3276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276600" cy="8255"/>
                    </a:xfrm>
                    <a:prstGeom prst="rect">
                      <a:avLst/>
                    </a:prstGeom>
                    <a:noFill/>
                  </pic:spPr>
                </pic:pic>
              </a:graphicData>
            </a:graphic>
          </wp:anchor>
        </w:drawing>
      </w:r>
    </w:p>
    <w:p>
      <w:pPr>
        <w:spacing w:after="0" w:line="1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Paul A. Jacobson</w:t>
      </w:r>
    </w:p>
    <w:p>
      <w:pPr>
        <w:spacing w:after="0" w:line="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21, 2025</w:t>
      </w:r>
    </w:p>
    <w:p>
      <w:pPr>
        <w:sectPr>
          <w:pgSz w:w="11900" w:h="16838" w:orient="portrait"/>
          <w:cols w:equalWidth="0" w:num="1">
            <w:col w:w="11240"/>
          </w:cols>
          <w:pgMar w:left="320" w:top="359"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1" w:lineRule="exact"/>
        <w:rPr>
          <w:sz w:val="20"/>
          <w:szCs w:val="20"/>
          <w:color w:val="auto"/>
        </w:rPr>
      </w:pPr>
    </w:p>
    <w:p>
      <w:pPr>
        <w:jc w:val="both"/>
        <w:ind w:firstLine="202"/>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General Motors Company (the “Company”) on Form 10-Q for the period ended September 30, 2025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204" w:lineRule="exact"/>
        <w:rPr>
          <w:sz w:val="20"/>
          <w:szCs w:val="20"/>
          <w:color w:val="auto"/>
        </w:rPr>
      </w:pPr>
    </w:p>
    <w:p>
      <w:pPr>
        <w:ind w:left="760" w:hanging="18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9" w:lineRule="exact"/>
        <w:rPr>
          <w:rFonts w:ascii="Times New Roman" w:cs="Times New Roman" w:eastAsia="Times New Roman" w:hAnsi="Times New Roman"/>
          <w:sz w:val="18"/>
          <w:szCs w:val="18"/>
          <w:color w:val="auto"/>
        </w:rPr>
      </w:pPr>
    </w:p>
    <w:p>
      <w:pPr>
        <w:ind w:left="760" w:hanging="188"/>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Mary T. Barra</w:t>
      </w:r>
    </w:p>
    <w:p>
      <w:pPr>
        <w:ind w:left="5620"/>
        <w:spacing w:after="0"/>
        <w:rPr>
          <w:sz w:val="20"/>
          <w:szCs w:val="20"/>
          <w:color w:val="auto"/>
        </w:rPr>
      </w:pPr>
      <w:r>
        <w:rPr>
          <w:rFonts w:ascii="Times New Roman" w:cs="Times New Roman" w:eastAsia="Times New Roman" w:hAnsi="Times New Roman"/>
          <w:sz w:val="18"/>
          <w:szCs w:val="18"/>
          <w:color w:val="auto"/>
        </w:rPr>
        <w:t>Chair and Chief Executive Officer</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16510</wp:posOffset>
            </wp:positionV>
            <wp:extent cx="32937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29374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Paul A. Jacobson</w:t>
      </w: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October 21, 2025</w:t>
      </w:r>
    </w:p>
    <w:sectPr>
      <w:pgSz w:w="11900" w:h="16838" w:orient="portrait"/>
      <w:cols w:equalWidth="0" w:num="1">
        <w:col w:w="11240"/>
      </w:cols>
      <w:pgMar w:left="320" w:top="3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lowerLetter"/>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lowerLetter"/>
      <w:start w:val="1"/>
    </w:lvl>
  </w:abstractNum>
  <w:abstractNum w:abstractNumId="7">
    <w:nsid w:val="333AB105"/>
    <w:multiLevelType w:val="hybridMultilevel"/>
    <w:lvl w:ilvl="0">
      <w:lvlJc w:val="left"/>
      <w:lvlText w:val="(%1)"/>
      <w:numFmt w:val="lowerLetter"/>
      <w:start w:val="1"/>
    </w:lvl>
  </w:abstractNum>
  <w:abstractNum w:abstractNumId="8">
    <w:nsid w:val="721DA317"/>
    <w:multiLevelType w:val="hybridMultilevel"/>
    <w:lvl w:ilvl="0">
      <w:lvlJc w:val="left"/>
      <w:lvlText w:val="(%1)"/>
      <w:numFmt w:val="lowerLetter"/>
      <w:start w:val="1"/>
    </w:lvl>
  </w:abstractNum>
  <w:abstractNum w:abstractNumId="9">
    <w:nsid w:val="2443A858"/>
    <w:multiLevelType w:val="hybridMultilevel"/>
    <w:lvl w:ilvl="0">
      <w:lvlJc w:val="left"/>
      <w:lvlText w:val="(%1)"/>
      <w:numFmt w:val="lowerLetter"/>
      <w:start w:val="1"/>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1"/>
    </w:lvl>
  </w:abstractNum>
  <w:abstractNum w:abstractNumId="12">
    <w:nsid w:val="75A2A8D4"/>
    <w:multiLevelType w:val="hybridMultilevel"/>
    <w:lvl w:ilvl="0">
      <w:lvlJc w:val="left"/>
      <w:lvlText w:val="(%1)"/>
      <w:numFmt w:val="lowerLetter"/>
      <w:start w:val="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1)"/>
      <w:numFmt w:val="lowerLetter"/>
      <w:start w:val="1"/>
    </w:lvl>
  </w:abstractNum>
  <w:abstractNum w:abstractNumId="15">
    <w:nsid w:val="4353D0CD"/>
    <w:multiLevelType w:val="hybridMultilevel"/>
    <w:lvl w:ilvl="0">
      <w:lvlJc w:val="left"/>
      <w:lvlText w:val="(%1)"/>
      <w:numFmt w:val="lowerLetter"/>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decimal"/>
      <w:start w:val="4"/>
    </w:lvl>
  </w:abstractNum>
  <w:abstractNum w:abstractNumId="18">
    <w:nsid w:val="54E49EB4"/>
    <w:multiLevelType w:val="hybridMultilevel"/>
    <w:lvl w:ilvl="0">
      <w:lvlJc w:val="left"/>
      <w:lvlText w:val="(%1)"/>
      <w:numFmt w:val="lowerLetter"/>
      <w:start w:val="1"/>
    </w:lvl>
  </w:abstractNum>
  <w:abstractNum w:abstractNumId="19">
    <w:nsid w:val="71F32454"/>
    <w:multiLevelType w:val="hybridMultilevel"/>
    <w:lvl w:ilvl="0">
      <w:lvlJc w:val="left"/>
      <w:lvlText w:val="(%1)"/>
      <w:numFmt w:val="lowerLetter"/>
      <w:start w:val="1"/>
    </w:lvl>
  </w:abstractNum>
  <w:abstractNum w:abstractNumId="20">
    <w:nsid w:val="2CA88611"/>
    <w:multiLevelType w:val="hybridMultilevel"/>
    <w:lvl w:ilvl="0">
      <w:lvlJc w:val="left"/>
      <w:lvlText w:val="(%1)"/>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5"/>
    </w:lvl>
  </w:abstractNum>
  <w:abstractNum w:abstractNumId="30">
    <w:nsid w:val="4516DDE9"/>
    <w:multiLevelType w:val="hybridMultilevel"/>
    <w:lvl w:ilvl="0">
      <w:lvlJc w:val="left"/>
      <w:lvlText w:val="(%1)"/>
      <w:numFmt w:val="decimal"/>
      <w:start w:val="24"/>
    </w:lvl>
  </w:abstractNum>
  <w:abstractNum w:abstractNumId="31">
    <w:nsid w:val="3006C83E"/>
    <w:multiLevelType w:val="hybridMultilevel"/>
    <w:lvl w:ilvl="0">
      <w:lvlJc w:val="left"/>
      <w:lvlText w:val="(%1)"/>
      <w:numFmt w:val="lowerLetter"/>
      <w:start w:val="1"/>
    </w:lvl>
    <w:lvl w:ilvl="1">
      <w:lvlJc w:val="left"/>
      <w:lvlText w:val="*"/>
      <w:numFmt w:val="bullet"/>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71" Type="http://schemas.openxmlformats.org/officeDocument/2006/relationships/hyperlink" Target="https://www.sec.gov/Archives/edgar/data/1467858/000146785825000112/amendedandrestatedcharter.htm" TargetMode="External"/><Relationship Id="rId72" Type="http://schemas.openxmlformats.org/officeDocument/2006/relationships/hyperlink" Target="https://www.sec.gov/Archives/edgar/data/1467858/000119312524235250/d89565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2025-10-21T15:20:03Z</dcterms:created>
  <dcterms:modified xsi:type="dcterms:W3CDTF">2025-10-21T15:20:03Z</dcterms:modified>
</cp:coreProperties>
</file>