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Nysschen Carel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5,704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30.67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13,837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6"/>
                <w:vertAlign w:val="subscript"/>
              </w:rPr>
              <w:t>Units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(1)(2)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6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January 5, 2015 and began being settled in three equal, annual installments on October 1, 2015. Each RSU represents a right to receive one share of the Company's common stock upon settlement. RSUs do not have an expiration or exercise date or carry a conversion or exercise price.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will be settled when they vest provided that the conditions in the GMLTIP have been satisfied.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W. Boyle,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1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Mr. de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Nysschen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30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535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2019-12-08T21:52:02Z</dcterms:created>
  <dcterms:modified xsi:type="dcterms:W3CDTF">2019-12-08T21:52:02Z</dcterms:modified>
</cp:coreProperties>
</file>