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center"/>
        <w:ind w:right="-59"/>
        <w:spacing w:after="0"/>
        <w:tabs>
          <w:tab w:leader="none" w:pos="380" w:val="left"/>
        </w:tabs>
        <w:rPr>
          <w:sz w:val="20"/>
          <w:szCs w:val="20"/>
          <w:color w:val="auto"/>
        </w:rPr>
      </w:pPr>
      <w:r>
        <w:rPr>
          <w:rFonts w:ascii="Arial" w:cs="Arial" w:eastAsia="Arial" w:hAnsi="Arial"/>
          <w:sz w:val="36"/>
          <w:szCs w:val="36"/>
          <w:b w:val="1"/>
          <w:bCs w:val="1"/>
          <w:color w:val="77787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31495"/>
                    </a:xfrm>
                    <a:prstGeom prst="rect">
                      <a:avLst/>
                    </a:prstGeom>
                    <a:noFill/>
                  </pic:spPr>
                </pic:pic>
              </a:graphicData>
            </a:graphic>
          </wp:anchor>
        </w:drawing>
        <w:t>G E N E R A L</w:t>
        <w:tab/>
        <w:t>M O  T O R S</w:t>
      </w:r>
    </w:p>
    <w:p>
      <w:pPr>
        <w:spacing w:after="0" w:line="200" w:lineRule="exact"/>
        <w:rPr>
          <w:sz w:val="20"/>
          <w:szCs w:val="20"/>
          <w:color w:val="auto"/>
        </w:rPr>
      </w:pPr>
    </w:p>
    <w:p>
      <w:pPr>
        <w:spacing w:after="0" w:line="369" w:lineRule="exact"/>
        <w:rPr>
          <w:sz w:val="20"/>
          <w:szCs w:val="20"/>
          <w:color w:val="auto"/>
        </w:rPr>
      </w:pPr>
    </w:p>
    <w:p>
      <w:pPr>
        <w:jc w:val="center"/>
        <w:ind w:left="300" w:right="280"/>
        <w:spacing w:after="0" w:line="298" w:lineRule="auto"/>
        <w:rPr>
          <w:sz w:val="20"/>
          <w:szCs w:val="20"/>
          <w:color w:val="auto"/>
        </w:rPr>
      </w:pPr>
      <w:r>
        <w:rPr>
          <w:rFonts w:ascii="Arial" w:cs="Arial" w:eastAsia="Arial" w:hAnsi="Arial"/>
          <w:sz w:val="23"/>
          <w:szCs w:val="23"/>
          <w:b w:val="1"/>
          <w:bCs w:val="1"/>
          <w:color w:val="auto"/>
        </w:rPr>
        <w:t xml:space="preserve">GM URGES SHAREHOLDERS TO VOTE </w:t>
      </w:r>
      <w:r>
        <w:rPr>
          <w:rFonts w:ascii="Arial" w:cs="Arial" w:eastAsia="Arial" w:hAnsi="Arial"/>
          <w:sz w:val="23"/>
          <w:szCs w:val="23"/>
          <w:b w:val="1"/>
          <w:bCs w:val="1"/>
          <w:u w:val="single" w:color="auto"/>
          <w:color w:val="005DAB"/>
        </w:rPr>
        <w:t>TODAY</w:t>
      </w:r>
      <w:r>
        <w:rPr>
          <w:rFonts w:ascii="Arial" w:cs="Arial" w:eastAsia="Arial" w:hAnsi="Arial"/>
          <w:sz w:val="23"/>
          <w:szCs w:val="23"/>
          <w:b w:val="1"/>
          <w:bCs w:val="1"/>
          <w:color w:val="auto"/>
        </w:rPr>
        <w:t xml:space="preserve"> ON THE </w:t>
      </w:r>
      <w:r>
        <w:rPr>
          <w:rFonts w:ascii="Arial" w:cs="Arial" w:eastAsia="Arial" w:hAnsi="Arial"/>
          <w:sz w:val="23"/>
          <w:szCs w:val="23"/>
          <w:b w:val="1"/>
          <w:bCs w:val="1"/>
          <w:u w:val="single" w:color="auto"/>
          <w:color w:val="005DAB"/>
        </w:rPr>
        <w:t>WHITE</w:t>
      </w:r>
      <w:r>
        <w:rPr>
          <w:rFonts w:ascii="Arial" w:cs="Arial" w:eastAsia="Arial" w:hAnsi="Arial"/>
          <w:sz w:val="23"/>
          <w:szCs w:val="23"/>
          <w:b w:val="1"/>
          <w:bCs w:val="1"/>
          <w:color w:val="auto"/>
        </w:rPr>
        <w:t xml:space="preserve"> PROXY CARD </w:t>
      </w:r>
      <w:r>
        <w:rPr>
          <w:rFonts w:ascii="Arial" w:cs="Arial" w:eastAsia="Arial" w:hAnsi="Arial"/>
          <w:sz w:val="23"/>
          <w:szCs w:val="23"/>
          <w:b w:val="1"/>
          <w:bCs w:val="1"/>
          <w:u w:val="single" w:color="auto"/>
          <w:color w:val="005DAB"/>
        </w:rPr>
        <w:t>FOR ALL</w:t>
      </w:r>
      <w:r>
        <w:rPr>
          <w:rFonts w:ascii="Arial" w:cs="Arial" w:eastAsia="Arial" w:hAnsi="Arial"/>
          <w:sz w:val="23"/>
          <w:szCs w:val="23"/>
          <w:b w:val="1"/>
          <w:bCs w:val="1"/>
          <w:color w:val="auto"/>
        </w:rPr>
        <w:t xml:space="preserve"> OF GM’S NOMINEES AND </w:t>
      </w:r>
      <w:r>
        <w:rPr>
          <w:rFonts w:ascii="Arial" w:cs="Arial" w:eastAsia="Arial" w:hAnsi="Arial"/>
          <w:sz w:val="23"/>
          <w:szCs w:val="23"/>
          <w:b w:val="1"/>
          <w:bCs w:val="1"/>
          <w:u w:val="single" w:color="auto"/>
          <w:color w:val="005DAB"/>
        </w:rPr>
        <w:t>AGAINST</w:t>
      </w:r>
      <w:r>
        <w:rPr>
          <w:rFonts w:ascii="Arial" w:cs="Arial" w:eastAsia="Arial" w:hAnsi="Arial"/>
          <w:sz w:val="23"/>
          <w:szCs w:val="23"/>
          <w:b w:val="1"/>
          <w:bCs w:val="1"/>
          <w:color w:val="auto"/>
        </w:rPr>
        <w:t xml:space="preserve"> THE GREENLIGHT PROPOSAL</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005DAB"/>
        </w:rPr>
        <w:t>We are rapidly approaching the June 6 Annual Meeting and your vote is extremely important to the future of GM</w:t>
      </w:r>
    </w:p>
    <w:p>
      <w:pPr>
        <w:spacing w:after="0" w:line="207"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color w:val="auto"/>
        </w:rPr>
        <w:t>The facts are clear: Your Board and management team are driving change and executing a successful plan to increase the value of your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w:t>
      </w:r>
    </w:p>
    <w:p>
      <w:pPr>
        <w:spacing w:after="0" w:line="115" w:lineRule="exact"/>
        <w:rPr>
          <w:sz w:val="20"/>
          <w:szCs w:val="20"/>
          <w:color w:val="auto"/>
        </w:rPr>
      </w:pPr>
    </w:p>
    <w:p>
      <w:pPr>
        <w:ind w:left="900" w:hanging="217"/>
        <w:spacing w:after="0"/>
        <w:tabs>
          <w:tab w:leader="none" w:pos="900" w:val="left"/>
        </w:tabs>
        <w:numPr>
          <w:ilvl w:val="0"/>
          <w:numId w:val="6"/>
        </w:numPr>
        <w:rPr>
          <w:rFonts w:ascii="MS PGothic" w:cs="MS PGothic" w:eastAsia="MS PGothic" w:hAnsi="MS PGothic"/>
          <w:sz w:val="17"/>
          <w:szCs w:val="17"/>
          <w:color w:val="FFD478"/>
        </w:rPr>
      </w:pPr>
      <w:r>
        <w:rPr>
          <w:rFonts w:ascii="Arial" w:cs="Arial" w:eastAsia="Arial" w:hAnsi="Arial"/>
          <w:sz w:val="17"/>
          <w:szCs w:val="17"/>
          <w:color w:val="auto"/>
        </w:rPr>
        <w:t xml:space="preserve">have delivered </w:t>
      </w:r>
      <w:r>
        <w:rPr>
          <w:rFonts w:ascii="Arial" w:cs="Arial" w:eastAsia="Arial" w:hAnsi="Arial"/>
          <w:sz w:val="17"/>
          <w:szCs w:val="17"/>
          <w:b w:val="1"/>
          <w:bCs w:val="1"/>
          <w:color w:val="auto"/>
        </w:rPr>
        <w:t>three years of record results</w:t>
      </w:r>
      <w:r>
        <w:rPr>
          <w:rFonts w:ascii="Arial" w:cs="Arial" w:eastAsia="Arial" w:hAnsi="Arial"/>
          <w:sz w:val="14"/>
          <w:szCs w:val="14"/>
          <w:color w:val="auto"/>
        </w:rPr>
        <w:t>(1)</w:t>
      </w:r>
      <w:r>
        <w:rPr>
          <w:rFonts w:ascii="Arial" w:cs="Arial" w:eastAsia="Arial" w:hAnsi="Arial"/>
          <w:sz w:val="17"/>
          <w:szCs w:val="17"/>
          <w:color w:val="auto"/>
        </w:rPr>
        <w:t>;</w:t>
      </w:r>
    </w:p>
    <w:p>
      <w:pPr>
        <w:spacing w:after="0" w:line="142" w:lineRule="exact"/>
        <w:rPr>
          <w:rFonts w:ascii="MS PGothic" w:cs="MS PGothic" w:eastAsia="MS PGothic" w:hAnsi="MS PGothic"/>
          <w:sz w:val="17"/>
          <w:szCs w:val="17"/>
          <w:color w:val="FFD478"/>
        </w:rPr>
      </w:pPr>
    </w:p>
    <w:p>
      <w:pPr>
        <w:ind w:left="900" w:hanging="217"/>
        <w:spacing w:after="0"/>
        <w:tabs>
          <w:tab w:leader="none" w:pos="900" w:val="left"/>
        </w:tabs>
        <w:numPr>
          <w:ilvl w:val="0"/>
          <w:numId w:val="6"/>
        </w:numPr>
        <w:rPr>
          <w:rFonts w:ascii="MS PGothic" w:cs="MS PGothic" w:eastAsia="MS PGothic" w:hAnsi="MS PGothic"/>
          <w:sz w:val="17"/>
          <w:szCs w:val="17"/>
          <w:color w:val="FFD478"/>
        </w:rPr>
      </w:pPr>
      <w:r>
        <w:rPr>
          <w:rFonts w:ascii="Arial" w:cs="Arial" w:eastAsia="Arial" w:hAnsi="Arial"/>
          <w:sz w:val="17"/>
          <w:szCs w:val="17"/>
          <w:b w:val="1"/>
          <w:bCs w:val="1"/>
          <w:color w:val="auto"/>
        </w:rPr>
        <w:t>outperformed all other global automotive OEM peers in Total Shareholder Return in 2016</w:t>
      </w:r>
      <w:r>
        <w:rPr>
          <w:rFonts w:ascii="Arial" w:cs="Arial" w:eastAsia="Arial" w:hAnsi="Arial"/>
          <w:sz w:val="17"/>
          <w:szCs w:val="17"/>
          <w:color w:val="auto"/>
        </w:rPr>
        <w:t>; and</w:t>
      </w:r>
    </w:p>
    <w:p>
      <w:pPr>
        <w:spacing w:after="0" w:line="142" w:lineRule="exact"/>
        <w:rPr>
          <w:rFonts w:ascii="MS PGothic" w:cs="MS PGothic" w:eastAsia="MS PGothic" w:hAnsi="MS PGothic"/>
          <w:sz w:val="17"/>
          <w:szCs w:val="17"/>
          <w:color w:val="FFD478"/>
        </w:rPr>
      </w:pPr>
    </w:p>
    <w:p>
      <w:pPr>
        <w:ind w:left="900" w:hanging="217"/>
        <w:spacing w:after="0"/>
        <w:tabs>
          <w:tab w:leader="none" w:pos="900" w:val="left"/>
        </w:tabs>
        <w:numPr>
          <w:ilvl w:val="0"/>
          <w:numId w:val="6"/>
        </w:numPr>
        <w:rPr>
          <w:rFonts w:ascii="MS PGothic" w:cs="MS PGothic" w:eastAsia="MS PGothic" w:hAnsi="MS PGothic"/>
          <w:sz w:val="17"/>
          <w:szCs w:val="17"/>
          <w:color w:val="FFD478"/>
        </w:rPr>
      </w:pPr>
      <w:r>
        <w:rPr>
          <w:rFonts w:ascii="Arial" w:cs="Arial" w:eastAsia="Arial" w:hAnsi="Arial"/>
          <w:sz w:val="17"/>
          <w:szCs w:val="17"/>
          <w:color w:val="auto"/>
        </w:rPr>
        <w:t xml:space="preserve">expect to </w:t>
      </w:r>
      <w:r>
        <w:rPr>
          <w:rFonts w:ascii="Arial" w:cs="Arial" w:eastAsia="Arial" w:hAnsi="Arial"/>
          <w:sz w:val="17"/>
          <w:szCs w:val="17"/>
          <w:b w:val="1"/>
          <w:bCs w:val="1"/>
          <w:color w:val="auto"/>
        </w:rPr>
        <w:t>return approximately $25B to shareholders</w:t>
      </w:r>
      <w:r>
        <w:rPr>
          <w:rFonts w:ascii="Arial" w:cs="Arial" w:eastAsia="Arial" w:hAnsi="Arial"/>
          <w:sz w:val="17"/>
          <w:szCs w:val="17"/>
          <w:color w:val="auto"/>
        </w:rPr>
        <w:t xml:space="preserve"> from 2012 through the end of 2017.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continue to take focused, disciplined action that is working:</w:t>
      </w:r>
    </w:p>
    <w:p>
      <w:pPr>
        <w:spacing w:after="0" w:line="257" w:lineRule="exact"/>
        <w:rPr>
          <w:sz w:val="20"/>
          <w:szCs w:val="20"/>
          <w:color w:val="auto"/>
        </w:rPr>
      </w:pPr>
    </w:p>
    <w:p>
      <w:pPr>
        <w:ind w:left="900" w:right="180" w:hanging="217"/>
        <w:spacing w:after="0" w:line="243" w:lineRule="auto"/>
        <w:tabs>
          <w:tab w:leader="none" w:pos="900" w:val="left"/>
        </w:tabs>
        <w:numPr>
          <w:ilvl w:val="0"/>
          <w:numId w:val="7"/>
        </w:numPr>
        <w:rPr>
          <w:rFonts w:ascii="MS PGothic" w:cs="MS PGothic" w:eastAsia="MS PGothic" w:hAnsi="MS PGothic"/>
          <w:sz w:val="17"/>
          <w:szCs w:val="17"/>
          <w:color w:val="FFD478"/>
        </w:rPr>
      </w:pPr>
      <w:r>
        <w:rPr>
          <w:rFonts w:ascii="Arial" w:cs="Arial" w:eastAsia="Arial" w:hAnsi="Arial"/>
          <w:sz w:val="17"/>
          <w:szCs w:val="17"/>
          <w:color w:val="auto"/>
        </w:rPr>
        <w:t>We are enhancing our core business, investing in initiatives that are establishing our leadership position in the future of personal mobility and deploying capital to higher-return opportunities, including advanced technologies.</w:t>
      </w:r>
    </w:p>
    <w:p>
      <w:pPr>
        <w:spacing w:after="0" w:line="103" w:lineRule="exact"/>
        <w:rPr>
          <w:rFonts w:ascii="MS PGothic" w:cs="MS PGothic" w:eastAsia="MS PGothic" w:hAnsi="MS PGothic"/>
          <w:sz w:val="17"/>
          <w:szCs w:val="17"/>
          <w:color w:val="FFD478"/>
        </w:rPr>
      </w:pPr>
    </w:p>
    <w:p>
      <w:pPr>
        <w:jc w:val="both"/>
        <w:ind w:left="900" w:right="960" w:hanging="217"/>
        <w:spacing w:after="0" w:line="243" w:lineRule="auto"/>
        <w:tabs>
          <w:tab w:leader="none" w:pos="900" w:val="left"/>
        </w:tabs>
        <w:numPr>
          <w:ilvl w:val="0"/>
          <w:numId w:val="7"/>
        </w:numPr>
        <w:rPr>
          <w:rFonts w:ascii="MS PGothic" w:cs="MS PGothic" w:eastAsia="MS PGothic" w:hAnsi="MS PGothic"/>
          <w:sz w:val="17"/>
          <w:szCs w:val="17"/>
          <w:color w:val="FFD478"/>
        </w:rPr>
      </w:pPr>
      <w:r>
        <w:rPr>
          <w:rFonts w:ascii="Arial" w:cs="Arial" w:eastAsia="Arial" w:hAnsi="Arial"/>
          <w:sz w:val="17"/>
          <w:szCs w:val="17"/>
          <w:color w:val="auto"/>
        </w:rPr>
        <w:t>We’ve exited unprofitable markets, streamlined our operations, launched dozens of award-winning products around the world, strengthened our financing arm for competitive advantage, enhanced our capital structure and increased our overall efficiency.</w:t>
      </w:r>
    </w:p>
    <w:p>
      <w:pPr>
        <w:spacing w:after="0" w:line="103" w:lineRule="exact"/>
        <w:rPr>
          <w:rFonts w:ascii="MS PGothic" w:cs="MS PGothic" w:eastAsia="MS PGothic" w:hAnsi="MS PGothic"/>
          <w:sz w:val="17"/>
          <w:szCs w:val="17"/>
          <w:color w:val="FFD478"/>
        </w:rPr>
      </w:pPr>
    </w:p>
    <w:p>
      <w:pPr>
        <w:ind w:left="900" w:right="400" w:hanging="217"/>
        <w:spacing w:after="0" w:line="243" w:lineRule="auto"/>
        <w:tabs>
          <w:tab w:leader="none" w:pos="900" w:val="left"/>
        </w:tabs>
        <w:numPr>
          <w:ilvl w:val="0"/>
          <w:numId w:val="7"/>
        </w:numPr>
        <w:rPr>
          <w:rFonts w:ascii="MS PGothic" w:cs="MS PGothic" w:eastAsia="MS PGothic" w:hAnsi="MS PGothic"/>
          <w:sz w:val="17"/>
          <w:szCs w:val="17"/>
          <w:color w:val="FFD478"/>
        </w:rPr>
      </w:pPr>
      <w:r>
        <w:rPr>
          <w:rFonts w:ascii="Arial" w:cs="Arial" w:eastAsia="Arial" w:hAnsi="Arial"/>
          <w:sz w:val="17"/>
          <w:szCs w:val="17"/>
          <w:color w:val="auto"/>
        </w:rPr>
        <w:t>The results we’ve delivered demonstrate our commitment to increasing value for all our shareholders: EPS-diluted increased 152% to $6.00 from 2013 to 2016, while EPS-diluted-adjusted increased 92% to a record $6.12 over the same period.</w:t>
      </w:r>
    </w:p>
    <w:p>
      <w:pPr>
        <w:spacing w:after="0" w:line="178"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b w:val="1"/>
          <w:bCs w:val="1"/>
          <w:color w:val="auto"/>
        </w:rPr>
        <w:t>Our strong foundation, lower cost base, reduced risk and the increased flexibility we’ve created will enable us to take further action – operational, financial and technological – to deliver increased value for our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5DAB"/>
        </w:rPr>
        <w:t>GM’s Board is Driving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GM’s current Board features outstanding leaders with proven experience and deep expertise in strategic development and oversight, finance, capital markets and risk management. And with three new directors joining in just the past two years, we are constantly bringing fresh perspectives to the Board. We believe the current GM Board is composed of the best people – the right people – to lead us through this period of unprecedented industry change.</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 xml:space="preserve">In our view, the best choice for shareholders is clear: vote </w:t>
      </w:r>
      <w:r>
        <w:rPr>
          <w:rFonts w:ascii="Arial" w:cs="Arial" w:eastAsia="Arial" w:hAnsi="Arial"/>
          <w:sz w:val="17"/>
          <w:szCs w:val="17"/>
          <w:b w:val="1"/>
          <w:bCs w:val="1"/>
          <w:u w:val="single" w:color="auto"/>
          <w:color w:val="005DAB"/>
        </w:rPr>
        <w:t>FOR ALL</w:t>
      </w:r>
      <w:r>
        <w:rPr>
          <w:rFonts w:ascii="Arial" w:cs="Arial" w:eastAsia="Arial" w:hAnsi="Arial"/>
          <w:sz w:val="17"/>
          <w:szCs w:val="17"/>
          <w:b w:val="1"/>
          <w:bCs w:val="1"/>
          <w:color w:val="auto"/>
        </w:rPr>
        <w:t xml:space="preserve"> of GM’s world-class nominees and support GM on its path of continued value creation.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5DAB"/>
        </w:rPr>
        <w:t>We Believe Greenlight’s Flawed Plan Will Not Create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contrast, we believe Greenlight’s flawed, high-risk proposal will </w:t>
      </w:r>
      <w:r>
        <w:rPr>
          <w:rFonts w:ascii="Arial" w:cs="Arial" w:eastAsia="Arial" w:hAnsi="Arial"/>
          <w:sz w:val="17"/>
          <w:szCs w:val="17"/>
          <w:b w:val="1"/>
          <w:bCs w:val="1"/>
          <w:u w:val="single" w:color="auto"/>
          <w:color w:val="auto"/>
        </w:rPr>
        <w:t>not</w:t>
      </w:r>
      <w:r>
        <w:rPr>
          <w:rFonts w:ascii="Arial" w:cs="Arial" w:eastAsia="Arial" w:hAnsi="Arial"/>
          <w:sz w:val="17"/>
          <w:szCs w:val="17"/>
          <w:color w:val="auto"/>
        </w:rPr>
        <w:t xml:space="preserve"> create value for our shareholders, and threatens to derail our progress and harm your investment.</w:t>
      </w:r>
    </w:p>
    <w:p>
      <w:pPr>
        <w:spacing w:after="0" w:line="207" w:lineRule="exact"/>
        <w:rPr>
          <w:sz w:val="20"/>
          <w:szCs w:val="20"/>
          <w:color w:val="auto"/>
        </w:rPr>
      </w:pPr>
    </w:p>
    <w:p>
      <w:pPr>
        <w:ind w:left="800" w:hanging="225"/>
        <w:spacing w:after="0"/>
        <w:tabs>
          <w:tab w:leader="none" w:pos="800" w:val="left"/>
        </w:tabs>
        <w:numPr>
          <w:ilvl w:val="0"/>
          <w:numId w:val="8"/>
        </w:numPr>
        <w:rPr>
          <w:rFonts w:ascii="MS PGothic" w:cs="MS PGothic" w:eastAsia="MS PGothic" w:hAnsi="MS PGothic"/>
          <w:sz w:val="15"/>
          <w:szCs w:val="15"/>
          <w:color w:val="FFD478"/>
        </w:rPr>
      </w:pPr>
      <w:r>
        <w:rPr>
          <w:rFonts w:ascii="Arial" w:cs="Arial" w:eastAsia="Arial" w:hAnsi="Arial"/>
          <w:sz w:val="15"/>
          <w:szCs w:val="15"/>
          <w:color w:val="auto"/>
        </w:rPr>
        <w:t>A dual-class share structure would not help GM sell more cars, drive higher profitability or generate greater cash flow.</w:t>
      </w:r>
    </w:p>
    <w:p>
      <w:pPr>
        <w:spacing w:after="0" w:line="138" w:lineRule="exact"/>
        <w:rPr>
          <w:rFonts w:ascii="MS PGothic" w:cs="MS PGothic" w:eastAsia="MS PGothic" w:hAnsi="MS PGothic"/>
          <w:sz w:val="15"/>
          <w:szCs w:val="15"/>
          <w:color w:val="FFD478"/>
        </w:rPr>
      </w:pPr>
    </w:p>
    <w:p>
      <w:pPr>
        <w:ind w:left="800" w:hanging="225"/>
        <w:spacing w:after="0"/>
        <w:tabs>
          <w:tab w:leader="none" w:pos="800" w:val="left"/>
        </w:tabs>
        <w:numPr>
          <w:ilvl w:val="0"/>
          <w:numId w:val="8"/>
        </w:numPr>
        <w:rPr>
          <w:rFonts w:ascii="MS PGothic" w:cs="MS PGothic" w:eastAsia="MS PGothic" w:hAnsi="MS PGothic"/>
          <w:sz w:val="15"/>
          <w:szCs w:val="15"/>
          <w:color w:val="FFD478"/>
        </w:rPr>
      </w:pPr>
      <w:r>
        <w:rPr>
          <w:rFonts w:ascii="Arial" w:cs="Arial" w:eastAsia="Arial" w:hAnsi="Arial"/>
          <w:sz w:val="15"/>
          <w:szCs w:val="15"/>
          <w:color w:val="auto"/>
        </w:rPr>
        <w:t>Greenlight’s value creation hypothesis is entirely speculative, as the proposal has no positive effect on our underlying business or cash flows.</w:t>
      </w:r>
    </w:p>
    <w:p>
      <w:pPr>
        <w:spacing w:after="0" w:line="138" w:lineRule="exact"/>
        <w:rPr>
          <w:rFonts w:ascii="MS PGothic" w:cs="MS PGothic" w:eastAsia="MS PGothic" w:hAnsi="MS PGothic"/>
          <w:sz w:val="15"/>
          <w:szCs w:val="15"/>
          <w:color w:val="FFD478"/>
        </w:rPr>
      </w:pPr>
    </w:p>
    <w:p>
      <w:pPr>
        <w:ind w:left="800" w:right="300" w:hanging="225"/>
        <w:spacing w:after="0" w:line="242" w:lineRule="auto"/>
        <w:tabs>
          <w:tab w:leader="none" w:pos="800" w:val="left"/>
        </w:tabs>
        <w:numPr>
          <w:ilvl w:val="0"/>
          <w:numId w:val="8"/>
        </w:numPr>
        <w:rPr>
          <w:rFonts w:ascii="MS PGothic" w:cs="MS PGothic" w:eastAsia="MS PGothic" w:hAnsi="MS PGothic"/>
          <w:sz w:val="15"/>
          <w:szCs w:val="15"/>
          <w:color w:val="FFD478"/>
        </w:rPr>
      </w:pPr>
      <w:r>
        <w:rPr>
          <w:rFonts w:ascii="Arial" w:cs="Arial" w:eastAsia="Arial" w:hAnsi="Arial"/>
          <w:sz w:val="15"/>
          <w:szCs w:val="15"/>
          <w:color w:val="auto"/>
        </w:rPr>
        <w:t>Even worse, Greenlight’s idea would reduce the flexibility we need to take actions that will unlock value and, further, would not address the industry-wide issues affecting our valuation.</w:t>
      </w:r>
    </w:p>
    <w:p>
      <w:pPr>
        <w:spacing w:after="0" w:line="19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Plus, the rating agencies have already weighed in: Greenlight’s financial engineering experiment would likely cause a downgrade of GM’s investment-grade credit rating, which would significantly and adversely affect our cost of capital and GM Financial.</w:t>
      </w: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77787B"/>
        </w:rPr>
        <w:t>(1) Represents core operating performance (i.e., adjusted for major recall campaigns)</w:t>
      </w:r>
    </w:p>
    <w:p>
      <w:pPr>
        <w:sectPr>
          <w:pgSz w:w="11900" w:h="16838" w:orient="portrait"/>
          <w:cols w:equalWidth="0" w:num="1">
            <w:col w:w="11380"/>
          </w:cols>
          <w:pgMar w:left="240" w:top="1186" w:right="2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005DA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t>We Believe Greenlight’s Nominees Will Divert More Resources to the Wrong Idea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Greenlight has made clear that it nominated its director candidates specifically to advance the Greenlight proposal. Make no mistake: we believe a vote for any of Greenlight’s nominees is a vote for Greenlight’s financial engineering experiment, for more risk and for greater instability.</w:t>
      </w:r>
    </w:p>
    <w:p>
      <w:pPr>
        <w:spacing w:after="0" w:line="19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Your Board and management have already spent many months and significant resources analyzing Greenlight’s proposal objectively and thoroughly. There is no new information to change the Board’s conclusion that the proposal would undermine our progress and put your investment at risk. Electing Greenlight’s nominees would simply divert additional time and resources away from important initiatives to drive further change and increase shareholder value.</w:t>
      </w:r>
    </w:p>
    <w:p>
      <w:pPr>
        <w:spacing w:after="0" w:line="253" w:lineRule="exact"/>
        <w:rPr>
          <w:sz w:val="20"/>
          <w:szCs w:val="20"/>
          <w:color w:val="auto"/>
        </w:rPr>
      </w:pPr>
    </w:p>
    <w:p>
      <w:pPr>
        <w:jc w:val="center"/>
        <w:spacing w:after="0" w:line="277" w:lineRule="auto"/>
        <w:rPr>
          <w:sz w:val="20"/>
          <w:szCs w:val="20"/>
          <w:color w:val="auto"/>
        </w:rPr>
      </w:pPr>
      <w:r>
        <w:rPr>
          <w:rFonts w:ascii="Arial" w:cs="Arial" w:eastAsia="Arial" w:hAnsi="Arial"/>
          <w:sz w:val="23"/>
          <w:szCs w:val="23"/>
          <w:b w:val="1"/>
          <w:bCs w:val="1"/>
          <w:color w:val="auto"/>
        </w:rPr>
        <w:t xml:space="preserve">TO ASSURE THAT WE ARE ABLE TO FOCUS OUR RESOURCES AND ATTENTION ON ADVANCING CHANGE AND INCREASING VALUE, IT IS IMPORTANT THAT YOU VOTE </w:t>
      </w:r>
      <w:r>
        <w:rPr>
          <w:rFonts w:ascii="Arial" w:cs="Arial" w:eastAsia="Arial" w:hAnsi="Arial"/>
          <w:sz w:val="23"/>
          <w:szCs w:val="23"/>
          <w:b w:val="1"/>
          <w:bCs w:val="1"/>
          <w:u w:val="single" w:color="auto"/>
          <w:color w:val="005DAB"/>
        </w:rPr>
        <w:t>TODAY</w:t>
      </w:r>
      <w:r>
        <w:rPr>
          <w:rFonts w:ascii="Arial" w:cs="Arial" w:eastAsia="Arial" w:hAnsi="Arial"/>
          <w:sz w:val="23"/>
          <w:szCs w:val="23"/>
          <w:b w:val="1"/>
          <w:bCs w:val="1"/>
          <w:color w:val="auto"/>
        </w:rPr>
        <w:t xml:space="preserve"> ON THE </w:t>
      </w:r>
      <w:r>
        <w:rPr>
          <w:rFonts w:ascii="Arial" w:cs="Arial" w:eastAsia="Arial" w:hAnsi="Arial"/>
          <w:sz w:val="23"/>
          <w:szCs w:val="23"/>
          <w:b w:val="1"/>
          <w:bCs w:val="1"/>
          <w:u w:val="single" w:color="auto"/>
          <w:color w:val="005DAB"/>
        </w:rPr>
        <w:t>WHITE</w:t>
      </w:r>
      <w:r>
        <w:rPr>
          <w:rFonts w:ascii="Arial" w:cs="Arial" w:eastAsia="Arial" w:hAnsi="Arial"/>
          <w:sz w:val="23"/>
          <w:szCs w:val="23"/>
          <w:b w:val="1"/>
          <w:bCs w:val="1"/>
          <w:color w:val="auto"/>
        </w:rPr>
        <w:t xml:space="preserve"> PROXY CARD </w:t>
      </w:r>
      <w:r>
        <w:rPr>
          <w:rFonts w:ascii="Arial" w:cs="Arial" w:eastAsia="Arial" w:hAnsi="Arial"/>
          <w:sz w:val="23"/>
          <w:szCs w:val="23"/>
          <w:b w:val="1"/>
          <w:bCs w:val="1"/>
          <w:u w:val="single" w:color="auto"/>
          <w:color w:val="005DAB"/>
        </w:rPr>
        <w:t>FOR ALL</w:t>
      </w:r>
      <w:r>
        <w:rPr>
          <w:rFonts w:ascii="Arial" w:cs="Arial" w:eastAsia="Arial" w:hAnsi="Arial"/>
          <w:sz w:val="23"/>
          <w:szCs w:val="23"/>
          <w:b w:val="1"/>
          <w:bCs w:val="1"/>
          <w:color w:val="auto"/>
        </w:rPr>
        <w:t xml:space="preserve"> OF GM’S NOMINEES AND </w:t>
      </w:r>
      <w:r>
        <w:rPr>
          <w:rFonts w:ascii="Arial" w:cs="Arial" w:eastAsia="Arial" w:hAnsi="Arial"/>
          <w:sz w:val="23"/>
          <w:szCs w:val="23"/>
          <w:b w:val="1"/>
          <w:bCs w:val="1"/>
          <w:u w:val="single" w:color="auto"/>
          <w:color w:val="005DAB"/>
        </w:rPr>
        <w:t>AGAINST</w:t>
      </w:r>
      <w:r>
        <w:rPr>
          <w:rFonts w:ascii="Arial" w:cs="Arial" w:eastAsia="Arial" w:hAnsi="Arial"/>
          <w:sz w:val="23"/>
          <w:szCs w:val="23"/>
          <w:b w:val="1"/>
          <w:bCs w:val="1"/>
          <w:color w:val="auto"/>
        </w:rPr>
        <w:t xml:space="preserve"> THE GREENLIGHT PROPOSAL.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34"/>
          <w:szCs w:val="34"/>
          <w:color w:val="77787B"/>
        </w:rPr>
        <w:t>Because Time is Short,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4"/>
          <w:szCs w:val="34"/>
          <w:b w:val="1"/>
          <w:bCs w:val="1"/>
          <w:u w:val="single" w:color="auto"/>
          <w:color w:val="005DAB"/>
        </w:rPr>
        <w:t>WE ENCOURAGE SHAREHOLDERS TO VOTE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4"/>
          <w:szCs w:val="34"/>
          <w:color w:val="77787B"/>
        </w:rPr>
        <w:t>Electronically or Over the Phone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213995</wp:posOffset>
            </wp:positionV>
            <wp:extent cx="6234430" cy="170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4430" cy="170688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have questions about how to vote your shares, or need additional assistance,</w:t>
      </w:r>
    </w:p>
    <w:p>
      <w:pPr>
        <w:jc w:val="center"/>
        <w:ind w:right="-39"/>
        <w:spacing w:after="0"/>
        <w:rPr>
          <w:sz w:val="20"/>
          <w:szCs w:val="20"/>
          <w:color w:val="auto"/>
        </w:rPr>
      </w:pPr>
      <w:r>
        <w:rPr>
          <w:rFonts w:ascii="Arial" w:cs="Arial" w:eastAsia="Arial" w:hAnsi="Arial"/>
          <w:sz w:val="18"/>
          <w:szCs w:val="18"/>
          <w:color w:val="auto"/>
        </w:rPr>
        <w:t>please contact the firm assisting us in the solicitation of proxies:</w:t>
      </w:r>
    </w:p>
    <w:p>
      <w:pPr>
        <w:spacing w:after="0" w:line="212" w:lineRule="exact"/>
        <w:rPr>
          <w:sz w:val="20"/>
          <w:szCs w:val="20"/>
          <w:color w:val="auto"/>
        </w:rPr>
      </w:pPr>
    </w:p>
    <w:p>
      <w:pPr>
        <w:jc w:val="center"/>
        <w:ind w:left="380" w:right="2540"/>
        <w:spacing w:after="0"/>
        <w:rPr>
          <w:sz w:val="20"/>
          <w:szCs w:val="20"/>
          <w:color w:val="auto"/>
        </w:rPr>
      </w:pPr>
      <w:r>
        <w:rPr>
          <w:rFonts w:ascii="Arial" w:cs="Arial" w:eastAsia="Arial" w:hAnsi="Arial"/>
          <w:sz w:val="20"/>
          <w:szCs w:val="20"/>
          <w:b w:val="1"/>
          <w:bCs w:val="1"/>
          <w:color w:val="005DAB"/>
        </w:rPr>
        <w:t>INNISFREE M&amp;A INCORPORATED Shareholders Call Toll-Free: (877) 825-8964 Shareholders Outside the U.S. and Canada Call: +1 (412) 232-3651 Banks and Brokers Call Collect: (212) 750-5833</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DAB"/>
        </w:rPr>
        <w:t xml:space="preserve">REMEMBER: </w:t>
      </w:r>
      <w:r>
        <w:rPr>
          <w:rFonts w:ascii="Arial" w:cs="Arial" w:eastAsia="Arial" w:hAnsi="Arial"/>
          <w:sz w:val="18"/>
          <w:szCs w:val="18"/>
          <w:color w:val="000000"/>
        </w:rPr>
        <w:t>We urge you</w:t>
      </w:r>
      <w:r>
        <w:rPr>
          <w:rFonts w:ascii="Arial" w:cs="Arial" w:eastAsia="Arial" w:hAnsi="Arial"/>
          <w:sz w:val="18"/>
          <w:szCs w:val="18"/>
          <w:b w:val="1"/>
          <w:bCs w:val="1"/>
          <w:color w:val="005DAB"/>
        </w:rPr>
        <w:t xml:space="preserve"> </w:t>
      </w:r>
      <w:r>
        <w:rPr>
          <w:rFonts w:ascii="Arial" w:cs="Arial" w:eastAsia="Arial" w:hAnsi="Arial"/>
          <w:sz w:val="18"/>
          <w:szCs w:val="18"/>
          <w:b w:val="1"/>
          <w:bCs w:val="1"/>
          <w:u w:val="single" w:color="auto"/>
          <w:color w:val="005DAB"/>
        </w:rPr>
        <w:t>NOT</w:t>
      </w:r>
      <w:r>
        <w:rPr>
          <w:rFonts w:ascii="Arial" w:cs="Arial" w:eastAsia="Arial" w:hAnsi="Arial"/>
          <w:sz w:val="18"/>
          <w:szCs w:val="18"/>
          <w:b w:val="1"/>
          <w:bCs w:val="1"/>
          <w:color w:val="005DAB"/>
        </w:rPr>
        <w:t xml:space="preserve"> </w:t>
      </w:r>
      <w:r>
        <w:rPr>
          <w:rFonts w:ascii="Arial" w:cs="Arial" w:eastAsia="Arial" w:hAnsi="Arial"/>
          <w:sz w:val="18"/>
          <w:szCs w:val="18"/>
          <w:color w:val="000000"/>
        </w:rPr>
        <w:t>to vote using any green card sent to you by</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Greenlight, as doing so will revoke your vote on the </w:t>
      </w:r>
      <w:r>
        <w:rPr>
          <w:rFonts w:ascii="Arial" w:cs="Arial" w:eastAsia="Arial" w:hAnsi="Arial"/>
          <w:sz w:val="18"/>
          <w:szCs w:val="18"/>
          <w:b w:val="1"/>
          <w:bCs w:val="1"/>
          <w:u w:val="single" w:color="auto"/>
          <w:color w:val="005DAB"/>
        </w:rPr>
        <w:t>WHITE</w:t>
      </w:r>
      <w:r>
        <w:rPr>
          <w:rFonts w:ascii="Arial" w:cs="Arial" w:eastAsia="Arial" w:hAnsi="Arial"/>
          <w:sz w:val="18"/>
          <w:szCs w:val="18"/>
          <w:color w:val="auto"/>
        </w:rPr>
        <w:t xml:space="preserve"> proxy card.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60" w:type="dxa"/>
            <w:vAlign w:val="bottom"/>
          </w:tcPr>
          <w:p>
            <w:pPr>
              <w:spacing w:after="0"/>
              <w:rPr>
                <w:sz w:val="20"/>
                <w:szCs w:val="20"/>
                <w:color w:val="auto"/>
              </w:rPr>
            </w:pPr>
            <w:r>
              <w:rPr>
                <w:rFonts w:ascii="Arial" w:cs="Arial" w:eastAsia="Arial" w:hAnsi="Arial"/>
                <w:sz w:val="11"/>
                <w:szCs w:val="11"/>
                <w:b w:val="1"/>
                <w:bCs w:val="1"/>
                <w:color w:val="77787B"/>
              </w:rPr>
              <w:t xml:space="preserve">Forward Looking Statements: </w:t>
            </w:r>
            <w:r>
              <w:rPr>
                <w:rFonts w:ascii="Arial" w:cs="Arial" w:eastAsia="Arial" w:hAnsi="Arial"/>
                <w:sz w:val="11"/>
                <w:szCs w:val="11"/>
                <w:color w:val="77787B"/>
              </w:rPr>
              <w:t>This document may include forward-looking statements. These statements are</w:t>
            </w:r>
          </w:p>
        </w:tc>
        <w:tc>
          <w:tcPr>
            <w:tcW w:w="160" w:type="dxa"/>
            <w:vAlign w:val="bottom"/>
          </w:tcPr>
          <w:p>
            <w:pPr>
              <w:spacing w:after="0"/>
              <w:rPr>
                <w:sz w:val="11"/>
                <w:szCs w:val="11"/>
                <w:color w:val="auto"/>
              </w:rPr>
            </w:pPr>
          </w:p>
        </w:tc>
        <w:tc>
          <w:tcPr>
            <w:tcW w:w="3320" w:type="dxa"/>
            <w:vAlign w:val="bottom"/>
          </w:tcPr>
          <w:p>
            <w:pPr>
              <w:ind w:left="20"/>
              <w:spacing w:after="0"/>
              <w:rPr>
                <w:sz w:val="20"/>
                <w:szCs w:val="20"/>
                <w:color w:val="auto"/>
              </w:rPr>
            </w:pPr>
            <w:r>
              <w:rPr>
                <w:rFonts w:ascii="Arial" w:cs="Arial" w:eastAsia="Arial" w:hAnsi="Arial"/>
                <w:sz w:val="11"/>
                <w:szCs w:val="11"/>
                <w:b w:val="1"/>
                <w:bCs w:val="1"/>
                <w:color w:val="77787B"/>
              </w:rPr>
              <w:t>Reconciliation of EBIT-Adjusted and EPS-Diluted-Adjusted</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based on current expectations about possible future events and thus are inherently uncertain. Our actual results</w:t>
            </w:r>
          </w:p>
        </w:tc>
        <w:tc>
          <w:tcPr>
            <w:tcW w:w="160" w:type="dxa"/>
            <w:vAlign w:val="bottom"/>
          </w:tcPr>
          <w:p>
            <w:pPr>
              <w:spacing w:after="0"/>
              <w:rPr>
                <w:sz w:val="10"/>
                <w:szCs w:val="10"/>
                <w:color w:val="auto"/>
              </w:rPr>
            </w:pPr>
          </w:p>
        </w:tc>
        <w:tc>
          <w:tcPr>
            <w:tcW w:w="3320" w:type="dxa"/>
            <w:vAlign w:val="bottom"/>
            <w:tcBorders>
              <w:bottom w:val="single" w:sz="8" w:color="77787B"/>
            </w:tcBorders>
          </w:tcPr>
          <w:p>
            <w:pPr>
              <w:ind w:left="20"/>
              <w:spacing w:after="0" w:line="122" w:lineRule="exact"/>
              <w:rPr>
                <w:sz w:val="20"/>
                <w:szCs w:val="20"/>
                <w:color w:val="auto"/>
              </w:rPr>
            </w:pPr>
            <w:r>
              <w:rPr>
                <w:rFonts w:ascii="Arial" w:cs="Arial" w:eastAsia="Arial" w:hAnsi="Arial"/>
                <w:sz w:val="11"/>
                <w:szCs w:val="11"/>
                <w:color w:val="77787B"/>
              </w:rPr>
              <w:t>($B, except Margin and EPS)</w:t>
            </w:r>
          </w:p>
        </w:tc>
        <w:tc>
          <w:tcPr>
            <w:tcW w:w="700" w:type="dxa"/>
            <w:vAlign w:val="bottom"/>
            <w:tcBorders>
              <w:bottom w:val="single" w:sz="8" w:color="77787B"/>
            </w:tcBorders>
          </w:tcPr>
          <w:p>
            <w:pPr>
              <w:jc w:val="right"/>
              <w:ind w:right="66"/>
              <w:spacing w:after="0" w:line="122" w:lineRule="exact"/>
              <w:rPr>
                <w:sz w:val="20"/>
                <w:szCs w:val="20"/>
                <w:color w:val="auto"/>
              </w:rPr>
            </w:pPr>
            <w:r>
              <w:rPr>
                <w:rFonts w:ascii="Arial" w:cs="Arial" w:eastAsia="Arial" w:hAnsi="Arial"/>
                <w:sz w:val="11"/>
                <w:szCs w:val="11"/>
                <w:color w:val="77787B"/>
              </w:rPr>
              <w:t>2013</w:t>
            </w:r>
          </w:p>
        </w:tc>
        <w:tc>
          <w:tcPr>
            <w:tcW w:w="520" w:type="dxa"/>
            <w:vAlign w:val="bottom"/>
            <w:tcBorders>
              <w:bottom w:val="single" w:sz="8" w:color="77787B"/>
            </w:tcBorders>
          </w:tcPr>
          <w:p>
            <w:pPr>
              <w:jc w:val="right"/>
              <w:ind w:right="66"/>
              <w:spacing w:after="0" w:line="122" w:lineRule="exact"/>
              <w:rPr>
                <w:sz w:val="20"/>
                <w:szCs w:val="20"/>
                <w:color w:val="auto"/>
              </w:rPr>
            </w:pPr>
            <w:r>
              <w:rPr>
                <w:rFonts w:ascii="Arial" w:cs="Arial" w:eastAsia="Arial" w:hAnsi="Arial"/>
                <w:sz w:val="11"/>
                <w:szCs w:val="11"/>
                <w:color w:val="77787B"/>
              </w:rPr>
              <w:t>2014</w:t>
            </w:r>
          </w:p>
        </w:tc>
        <w:tc>
          <w:tcPr>
            <w:tcW w:w="500" w:type="dxa"/>
            <w:vAlign w:val="bottom"/>
            <w:tcBorders>
              <w:bottom w:val="single" w:sz="8" w:color="77787B"/>
            </w:tcBorders>
          </w:tcPr>
          <w:p>
            <w:pPr>
              <w:jc w:val="right"/>
              <w:ind w:right="66"/>
              <w:spacing w:after="0" w:line="122" w:lineRule="exact"/>
              <w:rPr>
                <w:sz w:val="20"/>
                <w:szCs w:val="20"/>
                <w:color w:val="auto"/>
              </w:rPr>
            </w:pPr>
            <w:r>
              <w:rPr>
                <w:rFonts w:ascii="Arial" w:cs="Arial" w:eastAsia="Arial" w:hAnsi="Arial"/>
                <w:sz w:val="11"/>
                <w:szCs w:val="11"/>
                <w:color w:val="77787B"/>
              </w:rPr>
              <w:t>2015</w:t>
            </w:r>
          </w:p>
        </w:tc>
        <w:tc>
          <w:tcPr>
            <w:tcW w:w="400" w:type="dxa"/>
            <w:vAlign w:val="bottom"/>
            <w:tcBorders>
              <w:bottom w:val="single" w:sz="8" w:color="77787B"/>
            </w:tcBorders>
          </w:tcPr>
          <w:p>
            <w:pPr>
              <w:jc w:val="right"/>
              <w:spacing w:after="0" w:line="122" w:lineRule="exact"/>
              <w:rPr>
                <w:sz w:val="20"/>
                <w:szCs w:val="20"/>
                <w:color w:val="auto"/>
              </w:rPr>
            </w:pPr>
            <w:r>
              <w:rPr>
                <w:rFonts w:ascii="Arial" w:cs="Arial" w:eastAsia="Arial" w:hAnsi="Arial"/>
                <w:sz w:val="11"/>
                <w:szCs w:val="11"/>
                <w:color w:val="77787B"/>
              </w:rPr>
              <w:t>2016</w:t>
            </w:r>
          </w:p>
        </w:tc>
        <w:tc>
          <w:tcPr>
            <w:tcW w:w="0" w:type="dxa"/>
            <w:vAlign w:val="bottom"/>
          </w:tcPr>
          <w:p>
            <w:pPr>
              <w:spacing w:after="0"/>
              <w:rPr>
                <w:sz w:val="1"/>
                <w:szCs w:val="1"/>
                <w:color w:val="auto"/>
              </w:rPr>
            </w:pPr>
          </w:p>
        </w:tc>
      </w:tr>
      <w:tr>
        <w:trPr>
          <w:trHeight w:val="102"/>
        </w:trPr>
        <w:tc>
          <w:tcPr>
            <w:tcW w:w="5660" w:type="dxa"/>
            <w:vAlign w:val="bottom"/>
          </w:tcPr>
          <w:p>
            <w:pPr>
              <w:spacing w:after="0" w:line="102" w:lineRule="exact"/>
              <w:rPr>
                <w:sz w:val="20"/>
                <w:szCs w:val="20"/>
                <w:color w:val="auto"/>
              </w:rPr>
            </w:pPr>
            <w:r>
              <w:rPr>
                <w:rFonts w:ascii="Arial" w:cs="Arial" w:eastAsia="Arial" w:hAnsi="Arial"/>
                <w:sz w:val="11"/>
                <w:szCs w:val="11"/>
                <w:color w:val="77787B"/>
              </w:rPr>
              <w:t>may differ materially from forward-looking statements due to a variety of factors, including: (1) our ability to deliver</w:t>
            </w:r>
          </w:p>
        </w:tc>
        <w:tc>
          <w:tcPr>
            <w:tcW w:w="1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new products, services and experiences that attract new, and are desired by existing, customers and to effectively</w:t>
            </w:r>
          </w:p>
        </w:tc>
        <w:tc>
          <w:tcPr>
            <w:tcW w:w="160" w:type="dxa"/>
            <w:vAlign w:val="bottom"/>
          </w:tcPr>
          <w:p>
            <w:pPr>
              <w:spacing w:after="0"/>
              <w:rPr>
                <w:sz w:val="10"/>
                <w:szCs w:val="10"/>
                <w:color w:val="auto"/>
              </w:rPr>
            </w:pPr>
          </w:p>
        </w:tc>
        <w:tc>
          <w:tcPr>
            <w:tcW w:w="3320" w:type="dxa"/>
            <w:vAlign w:val="bottom"/>
          </w:tcPr>
          <w:p>
            <w:pPr>
              <w:ind w:left="20"/>
              <w:spacing w:after="0" w:line="122" w:lineRule="exact"/>
              <w:rPr>
                <w:sz w:val="20"/>
                <w:szCs w:val="20"/>
                <w:color w:val="auto"/>
              </w:rPr>
            </w:pPr>
            <w:r>
              <w:rPr>
                <w:rFonts w:ascii="Arial" w:cs="Arial" w:eastAsia="Arial" w:hAnsi="Arial"/>
                <w:sz w:val="11"/>
                <w:szCs w:val="11"/>
                <w:b w:val="1"/>
                <w:bCs w:val="1"/>
                <w:color w:val="77787B"/>
              </w:rPr>
              <w:t>Net income attributable to stockholders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5.3</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3.9</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9.7</w:t>
            </w:r>
          </w:p>
        </w:tc>
        <w:tc>
          <w:tcPr>
            <w:tcW w:w="400" w:type="dxa"/>
            <w:vAlign w:val="bottom"/>
          </w:tcPr>
          <w:p>
            <w:pPr>
              <w:jc w:val="right"/>
              <w:spacing w:after="0" w:line="122" w:lineRule="exact"/>
              <w:rPr>
                <w:sz w:val="20"/>
                <w:szCs w:val="20"/>
                <w:color w:val="auto"/>
              </w:rPr>
            </w:pPr>
            <w:r>
              <w:rPr>
                <w:rFonts w:ascii="Arial" w:cs="Arial" w:eastAsia="Arial" w:hAnsi="Arial"/>
                <w:sz w:val="11"/>
                <w:szCs w:val="11"/>
                <w:b w:val="1"/>
                <w:bCs w:val="1"/>
                <w:color w:val="77787B"/>
              </w:rPr>
              <w:t>9.4</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compete in autonomous, ride-sharing and transportation as a service; (2) sales of full-size pick-up trucks and</w:t>
            </w:r>
          </w:p>
        </w:tc>
        <w:tc>
          <w:tcPr>
            <w:tcW w:w="160" w:type="dxa"/>
            <w:vAlign w:val="bottom"/>
          </w:tcPr>
          <w:p>
            <w:pPr>
              <w:spacing w:after="0"/>
              <w:rPr>
                <w:sz w:val="10"/>
                <w:szCs w:val="10"/>
                <w:color w:val="auto"/>
              </w:rPr>
            </w:pPr>
          </w:p>
        </w:tc>
        <w:tc>
          <w:tcPr>
            <w:tcW w:w="3320" w:type="dxa"/>
            <w:vAlign w:val="bottom"/>
          </w:tcPr>
          <w:p>
            <w:pPr>
              <w:ind w:left="20"/>
              <w:spacing w:after="0" w:line="122" w:lineRule="exact"/>
              <w:rPr>
                <w:sz w:val="20"/>
                <w:szCs w:val="20"/>
                <w:color w:val="auto"/>
              </w:rPr>
            </w:pPr>
            <w:r>
              <w:rPr>
                <w:rFonts w:ascii="Arial" w:cs="Arial" w:eastAsia="Arial" w:hAnsi="Arial"/>
                <w:sz w:val="11"/>
                <w:szCs w:val="11"/>
                <w:b w:val="1"/>
                <w:bCs w:val="1"/>
                <w:color w:val="77787B"/>
              </w:rPr>
              <w:t>Subtract:</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SUVs, which may be affected by increases in the price of oil; (3) the volatility of global sales and operations;</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Automotive Interest Expense</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(0.3)</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(0.6)</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(4) aggressive competition, including the impact of new market entrants; (5) changes in, or the introduction of</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Automotive Interest Income</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0.2</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novel interpretations of, laws, regulations or policies particularly those relating to free trade agreements, tax rates</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Gain (loss) on extinguishment of debt</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and vehicle safety and any government actions that may affect the production, licensing, distribution, pricing, or</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Income Tax Benefit (Expense)</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(2.1)</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1.9</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(2.4)</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selling of our products; (6) our joint ventures, which we cannot operate solely for our benefit and over which we</w:t>
            </w:r>
          </w:p>
        </w:tc>
        <w:tc>
          <w:tcPr>
            <w:tcW w:w="160" w:type="dxa"/>
            <w:vAlign w:val="bottom"/>
          </w:tcPr>
          <w:p>
            <w:pPr>
              <w:spacing w:after="0"/>
              <w:rPr>
                <w:sz w:val="10"/>
                <w:szCs w:val="10"/>
                <w:color w:val="auto"/>
              </w:rPr>
            </w:pPr>
          </w:p>
        </w:tc>
        <w:tc>
          <w:tcPr>
            <w:tcW w:w="3320" w:type="dxa"/>
            <w:vAlign w:val="bottom"/>
          </w:tcPr>
          <w:p>
            <w:pPr>
              <w:ind w:left="20"/>
              <w:spacing w:after="0" w:line="122" w:lineRule="exact"/>
              <w:rPr>
                <w:sz w:val="20"/>
                <w:szCs w:val="20"/>
                <w:color w:val="auto"/>
              </w:rPr>
            </w:pPr>
            <w:r>
              <w:rPr>
                <w:rFonts w:ascii="Arial" w:cs="Arial" w:eastAsia="Arial" w:hAnsi="Arial"/>
                <w:sz w:val="11"/>
                <w:szCs w:val="11"/>
                <w:b w:val="1"/>
                <w:bCs w:val="1"/>
                <w:color w:val="77787B"/>
              </w:rPr>
              <w:t xml:space="preserve">Add Back Special Items </w:t>
            </w:r>
            <w:r>
              <w:rPr>
                <w:rFonts w:ascii="Arial" w:cs="Arial" w:eastAsia="Arial" w:hAnsi="Arial"/>
                <w:sz w:val="9"/>
                <w:szCs w:val="9"/>
                <w:color w:val="77787B"/>
              </w:rPr>
              <w:t>(1)</w:t>
            </w:r>
            <w:r>
              <w:rPr>
                <w:rFonts w:ascii="Arial" w:cs="Arial" w:eastAsia="Arial" w:hAnsi="Arial"/>
                <w:sz w:val="11"/>
                <w:szCs w:val="11"/>
                <w:b w:val="1"/>
                <w:bCs w:val="1"/>
                <w:color w:val="77787B"/>
              </w:rPr>
              <w:t xml:space="preserve"> :</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may have limited control; (7) compliance with laws and regulations applicable to our industry, including those</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Ignition switch recall and related legal matters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1.8</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0.3</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regarding  fuel  economy  and  emissions;  (8)  costs  and  risks  associated  with  litigation  and  government</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Recall campaign catch-up adjustment</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0.9</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investigations; (9) compliance with the terms of the Deferred Prosecution Agreement; (10) our ability to maintain</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Thailand asset impairments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0.3</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quality control over our vehicles and avoid recalls and the cost and effect on our reputation and products; (11) the</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Venezuela currency devaluation and asset impairment</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0.7</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ability of suppliers to deliver parts, systems and components without disruption and on schedule; (12) our</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Russia exit costs and asset impairment</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dependence on our manufacturing facilities; (13) our ability to realize production efficiencies and cost reductions;</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Goodwill impairment charges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0.4</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0.1</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(14) our ability to successfully restructure operations in various countries; (15) our ability to manage risks related to</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Korea wage litigation</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(0.6)</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security breaches and other disruptions to vehicles, information technology networks and systems; (16) our ability</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Holden asset impairments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0.5</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to develop captive financing capability through GM Financial; (17) significant increases in pension expense or</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India asset impairments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0.3</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projected pension contributions; (18) significant changes in the economic, political, and regulatory environment,</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Chevrolet Europe exit costs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0.6</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market conditions, and foreign currency exchange rates; and (19) uncertainties associated with the consummation</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Gain on sale of equity investment in Ally Financial</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(0.5)</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of the sale of Opel/ Vauxhall to the PSA Group, including satisfaction of the closing conditions. A further list and</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Other</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(0.1)</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0.1</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description of these risks, uncertainties and other factors can be found in our Annual Report on Form 10-K for the</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b w:val="1"/>
                <w:bCs w:val="1"/>
                <w:color w:val="77787B"/>
              </w:rPr>
              <w:t>Total Special items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0.8</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2.3</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3.2</w:t>
            </w:r>
          </w:p>
        </w:tc>
        <w:tc>
          <w:tcPr>
            <w:tcW w:w="400" w:type="dxa"/>
            <w:vAlign w:val="bottom"/>
          </w:tcPr>
          <w:p>
            <w:pPr>
              <w:jc w:val="right"/>
              <w:spacing w:after="0" w:line="122" w:lineRule="exact"/>
              <w:rPr>
                <w:sz w:val="20"/>
                <w:szCs w:val="20"/>
                <w:color w:val="auto"/>
              </w:rPr>
            </w:pPr>
            <w:r>
              <w:rPr>
                <w:rFonts w:ascii="Arial" w:cs="Arial" w:eastAsia="Arial" w:hAnsi="Arial"/>
                <w:sz w:val="11"/>
                <w:szCs w:val="11"/>
                <w:b w:val="1"/>
                <w:bCs w:val="1"/>
                <w:color w:val="77787B"/>
              </w:rPr>
              <w:t>0.3</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fiscal year ended December 31, 2016, and our subsequent filings with the Securities and Exchange Commission.</w:t>
            </w:r>
          </w:p>
        </w:tc>
        <w:tc>
          <w:tcPr>
            <w:tcW w:w="160" w:type="dxa"/>
            <w:vAlign w:val="bottom"/>
          </w:tcPr>
          <w:p>
            <w:pPr>
              <w:spacing w:after="0"/>
              <w:rPr>
                <w:sz w:val="10"/>
                <w:szCs w:val="10"/>
                <w:color w:val="auto"/>
              </w:rPr>
            </w:pPr>
          </w:p>
        </w:tc>
        <w:tc>
          <w:tcPr>
            <w:tcW w:w="3320" w:type="dxa"/>
            <w:vAlign w:val="bottom"/>
          </w:tcPr>
          <w:p>
            <w:pPr>
              <w:ind w:left="20"/>
              <w:spacing w:after="0" w:line="122" w:lineRule="exact"/>
              <w:rPr>
                <w:sz w:val="20"/>
                <w:szCs w:val="20"/>
                <w:color w:val="auto"/>
              </w:rPr>
            </w:pPr>
            <w:r>
              <w:rPr>
                <w:rFonts w:ascii="Arial" w:cs="Arial" w:eastAsia="Arial" w:hAnsi="Arial"/>
                <w:sz w:val="11"/>
                <w:szCs w:val="11"/>
                <w:b w:val="1"/>
                <w:bCs w:val="1"/>
                <w:color w:val="77787B"/>
              </w:rPr>
              <w:t>EBIT-Adjusted</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8.6</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6.5</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10.8</w:t>
            </w:r>
          </w:p>
        </w:tc>
        <w:tc>
          <w:tcPr>
            <w:tcW w:w="400" w:type="dxa"/>
            <w:vAlign w:val="bottom"/>
          </w:tcPr>
          <w:p>
            <w:pPr>
              <w:jc w:val="right"/>
              <w:spacing w:after="0" w:line="122" w:lineRule="exact"/>
              <w:rPr>
                <w:sz w:val="20"/>
                <w:szCs w:val="20"/>
                <w:color w:val="auto"/>
              </w:rPr>
            </w:pPr>
            <w:r>
              <w:rPr>
                <w:rFonts w:ascii="Arial" w:cs="Arial" w:eastAsia="Arial" w:hAnsi="Arial"/>
                <w:sz w:val="11"/>
                <w:szCs w:val="11"/>
                <w:b w:val="1"/>
                <w:bCs w:val="1"/>
                <w:color w:val="77787B"/>
              </w:rPr>
              <w:t>12.5</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GM cautions readers not to place undue reliance on forward-looking statements. GM undertakes no obligation to</w:t>
            </w:r>
          </w:p>
        </w:tc>
        <w:tc>
          <w:tcPr>
            <w:tcW w:w="160" w:type="dxa"/>
            <w:vAlign w:val="bottom"/>
          </w:tcPr>
          <w:p>
            <w:pPr>
              <w:spacing w:after="0"/>
              <w:rPr>
                <w:sz w:val="10"/>
                <w:szCs w:val="10"/>
                <w:color w:val="auto"/>
              </w:rPr>
            </w:pPr>
          </w:p>
        </w:tc>
        <w:tc>
          <w:tcPr>
            <w:tcW w:w="3320" w:type="dxa"/>
            <w:vAlign w:val="bottom"/>
          </w:tcPr>
          <w:p>
            <w:pPr>
              <w:ind w:left="20"/>
              <w:spacing w:after="0" w:line="122" w:lineRule="exact"/>
              <w:rPr>
                <w:sz w:val="20"/>
                <w:szCs w:val="20"/>
                <w:color w:val="auto"/>
              </w:rPr>
            </w:pPr>
            <w:r>
              <w:rPr>
                <w:rFonts w:ascii="Arial" w:cs="Arial" w:eastAsia="Arial" w:hAnsi="Arial"/>
                <w:sz w:val="11"/>
                <w:szCs w:val="11"/>
                <w:color w:val="77787B"/>
              </w:rPr>
              <w:t>EBIT-Adjusted Margin</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5.5%</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4.2%</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7.1%</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7.5%</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20"/>
                <w:szCs w:val="20"/>
                <w:color w:val="auto"/>
              </w:rPr>
            </w:pPr>
            <w:r>
              <w:rPr>
                <w:rFonts w:ascii="Arial" w:cs="Arial" w:eastAsia="Arial" w:hAnsi="Arial"/>
                <w:sz w:val="11"/>
                <w:szCs w:val="11"/>
                <w:color w:val="77787B"/>
              </w:rPr>
              <w:t>update publicly or otherwise revise any forward-looking statements.</w:t>
            </w:r>
          </w:p>
        </w:tc>
        <w:tc>
          <w:tcPr>
            <w:tcW w:w="160" w:type="dxa"/>
            <w:vAlign w:val="bottom"/>
          </w:tcPr>
          <w:p>
            <w:pPr>
              <w:spacing w:after="0"/>
              <w:rPr>
                <w:sz w:val="11"/>
                <w:szCs w:val="11"/>
                <w:color w:val="auto"/>
              </w:rPr>
            </w:pPr>
          </w:p>
        </w:tc>
        <w:tc>
          <w:tcPr>
            <w:tcW w:w="3320" w:type="dxa"/>
            <w:vAlign w:val="bottom"/>
          </w:tcPr>
          <w:p>
            <w:pPr>
              <w:ind w:left="220"/>
              <w:spacing w:after="0"/>
              <w:rPr>
                <w:sz w:val="20"/>
                <w:szCs w:val="20"/>
                <w:color w:val="auto"/>
              </w:rPr>
            </w:pPr>
            <w:r>
              <w:rPr>
                <w:rFonts w:ascii="Arial" w:cs="Arial" w:eastAsia="Arial" w:hAnsi="Arial"/>
                <w:sz w:val="11"/>
                <w:szCs w:val="11"/>
                <w:b w:val="1"/>
                <w:bCs w:val="1"/>
                <w:color w:val="77787B"/>
              </w:rPr>
              <w:t>Diluted earnings per common share</w:t>
            </w:r>
          </w:p>
        </w:tc>
        <w:tc>
          <w:tcPr>
            <w:tcW w:w="700" w:type="dxa"/>
            <w:vAlign w:val="bottom"/>
          </w:tcPr>
          <w:p>
            <w:pPr>
              <w:jc w:val="right"/>
              <w:ind w:right="66"/>
              <w:spacing w:after="0"/>
              <w:rPr>
                <w:sz w:val="20"/>
                <w:szCs w:val="20"/>
                <w:color w:val="auto"/>
              </w:rPr>
            </w:pPr>
            <w:r>
              <w:rPr>
                <w:rFonts w:ascii="Arial" w:cs="Arial" w:eastAsia="Arial" w:hAnsi="Arial"/>
                <w:sz w:val="11"/>
                <w:szCs w:val="11"/>
                <w:b w:val="1"/>
                <w:bCs w:val="1"/>
                <w:color w:val="77787B"/>
              </w:rPr>
              <w:t>2.38</w:t>
            </w: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77787B"/>
              </w:rPr>
              <w:t>1.65</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77787B"/>
              </w:rPr>
              <w:t>5.91</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77787B"/>
              </w:rPr>
              <w:t>6.00</w:t>
            </w:r>
          </w:p>
        </w:tc>
        <w:tc>
          <w:tcPr>
            <w:tcW w:w="0" w:type="dxa"/>
            <w:vAlign w:val="bottom"/>
          </w:tcPr>
          <w:p>
            <w:pPr>
              <w:spacing w:after="0"/>
              <w:rPr>
                <w:sz w:val="1"/>
                <w:szCs w:val="1"/>
                <w:color w:val="auto"/>
              </w:rPr>
            </w:pPr>
          </w:p>
        </w:tc>
      </w:tr>
      <w:tr>
        <w:trPr>
          <w:trHeight w:val="122"/>
        </w:trPr>
        <w:tc>
          <w:tcPr>
            <w:tcW w:w="5660" w:type="dxa"/>
            <w:vAlign w:val="bottom"/>
            <w:vMerge w:val="restart"/>
          </w:tcPr>
          <w:p>
            <w:pPr>
              <w:spacing w:after="0"/>
              <w:rPr>
                <w:sz w:val="20"/>
                <w:szCs w:val="20"/>
                <w:color w:val="auto"/>
              </w:rPr>
            </w:pPr>
            <w:r>
              <w:rPr>
                <w:rFonts w:ascii="Arial" w:cs="Arial" w:eastAsia="Arial" w:hAnsi="Arial"/>
                <w:sz w:val="11"/>
                <w:szCs w:val="11"/>
                <w:b w:val="1"/>
                <w:bCs w:val="1"/>
                <w:color w:val="77787B"/>
              </w:rPr>
              <w:t xml:space="preserve">Non-GAAP Measures: </w:t>
            </w:r>
            <w:r>
              <w:rPr>
                <w:rFonts w:ascii="Arial" w:cs="Arial" w:eastAsia="Arial" w:hAnsi="Arial"/>
                <w:sz w:val="11"/>
                <w:szCs w:val="11"/>
                <w:color w:val="77787B"/>
              </w:rPr>
              <w:t>See our Form 10-K and Form 10-Q reports filed with the SEC for a description of certain</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Adjustments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1.11</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1.73</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1.68</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0.19</w:t>
            </w:r>
          </w:p>
        </w:tc>
        <w:tc>
          <w:tcPr>
            <w:tcW w:w="0" w:type="dxa"/>
            <w:vAlign w:val="bottom"/>
          </w:tcPr>
          <w:p>
            <w:pPr>
              <w:spacing w:after="0"/>
              <w:rPr>
                <w:sz w:val="1"/>
                <w:szCs w:val="1"/>
                <w:color w:val="auto"/>
              </w:rPr>
            </w:pPr>
          </w:p>
        </w:tc>
      </w:tr>
      <w:tr>
        <w:trPr>
          <w:trHeight w:val="98"/>
        </w:trPr>
        <w:tc>
          <w:tcPr>
            <w:tcW w:w="5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320" w:type="dxa"/>
            <w:vAlign w:val="bottom"/>
          </w:tcPr>
          <w:p>
            <w:pPr>
              <w:ind w:left="220"/>
              <w:spacing w:after="0" w:line="98" w:lineRule="exact"/>
              <w:rPr>
                <w:sz w:val="20"/>
                <w:szCs w:val="20"/>
                <w:color w:val="auto"/>
              </w:rPr>
            </w:pPr>
            <w:r>
              <w:rPr>
                <w:rFonts w:ascii="Arial" w:cs="Arial" w:eastAsia="Arial" w:hAnsi="Arial"/>
                <w:sz w:val="11"/>
                <w:szCs w:val="11"/>
                <w:color w:val="77787B"/>
              </w:rPr>
              <w:t>Tax effect of adjustments</w:t>
            </w:r>
          </w:p>
        </w:tc>
        <w:tc>
          <w:tcPr>
            <w:tcW w:w="700" w:type="dxa"/>
            <w:vAlign w:val="bottom"/>
          </w:tcPr>
          <w:p>
            <w:pPr>
              <w:jc w:val="right"/>
              <w:ind w:right="66"/>
              <w:spacing w:after="0" w:line="98" w:lineRule="exact"/>
              <w:rPr>
                <w:sz w:val="20"/>
                <w:szCs w:val="20"/>
                <w:color w:val="auto"/>
              </w:rPr>
            </w:pPr>
            <w:r>
              <w:rPr>
                <w:rFonts w:ascii="Arial" w:cs="Arial" w:eastAsia="Arial" w:hAnsi="Arial"/>
                <w:sz w:val="11"/>
                <w:szCs w:val="11"/>
                <w:color w:val="77787B"/>
              </w:rPr>
              <w:t>(0.03)</w:t>
            </w:r>
          </w:p>
        </w:tc>
        <w:tc>
          <w:tcPr>
            <w:tcW w:w="520" w:type="dxa"/>
            <w:vAlign w:val="bottom"/>
          </w:tcPr>
          <w:p>
            <w:pPr>
              <w:jc w:val="right"/>
              <w:ind w:right="66"/>
              <w:spacing w:after="0" w:line="98" w:lineRule="exact"/>
              <w:rPr>
                <w:sz w:val="20"/>
                <w:szCs w:val="20"/>
                <w:color w:val="auto"/>
              </w:rPr>
            </w:pPr>
            <w:r>
              <w:rPr>
                <w:rFonts w:ascii="Arial" w:cs="Arial" w:eastAsia="Arial" w:hAnsi="Arial"/>
                <w:sz w:val="11"/>
                <w:szCs w:val="11"/>
                <w:color w:val="77787B"/>
              </w:rPr>
              <w:t>(0.33)</w:t>
            </w:r>
          </w:p>
        </w:tc>
        <w:tc>
          <w:tcPr>
            <w:tcW w:w="500" w:type="dxa"/>
            <w:vAlign w:val="bottom"/>
          </w:tcPr>
          <w:p>
            <w:pPr>
              <w:jc w:val="right"/>
              <w:ind w:right="66"/>
              <w:spacing w:after="0" w:line="98" w:lineRule="exact"/>
              <w:rPr>
                <w:sz w:val="20"/>
                <w:szCs w:val="20"/>
                <w:color w:val="auto"/>
              </w:rPr>
            </w:pPr>
            <w:r>
              <w:rPr>
                <w:rFonts w:ascii="Arial" w:cs="Arial" w:eastAsia="Arial" w:hAnsi="Arial"/>
                <w:sz w:val="11"/>
                <w:szCs w:val="11"/>
                <w:color w:val="77787B"/>
              </w:rPr>
              <w:t>(0.13)</w:t>
            </w:r>
          </w:p>
        </w:tc>
        <w:tc>
          <w:tcPr>
            <w:tcW w:w="400" w:type="dxa"/>
            <w:vAlign w:val="bottom"/>
          </w:tcPr>
          <w:p>
            <w:pPr>
              <w:jc w:val="right"/>
              <w:spacing w:after="0" w:line="98" w:lineRule="exact"/>
              <w:rPr>
                <w:sz w:val="20"/>
                <w:szCs w:val="20"/>
                <w:color w:val="auto"/>
              </w:rPr>
            </w:pPr>
            <w:r>
              <w:rPr>
                <w:rFonts w:ascii="Arial" w:cs="Arial" w:eastAsia="Arial" w:hAnsi="Arial"/>
                <w:sz w:val="11"/>
                <w:szCs w:val="11"/>
                <w:color w:val="77787B"/>
              </w:rPr>
              <w:t>(0.07)</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non-GAAP measures used by GM, including EBIT-adjusted, EPS-diluted adjusted, ROIC-adjusted, and adjusted</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Tax adjustments</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(0.28)</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(2.44)</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automotive free cash flow, along with a description of various uses for such measures. Our calculation of these</w:t>
            </w:r>
          </w:p>
        </w:tc>
        <w:tc>
          <w:tcPr>
            <w:tcW w:w="160" w:type="dxa"/>
            <w:vAlign w:val="bottom"/>
          </w:tcPr>
          <w:p>
            <w:pPr>
              <w:spacing w:after="0"/>
              <w:rPr>
                <w:sz w:val="10"/>
                <w:szCs w:val="10"/>
                <w:color w:val="auto"/>
              </w:rPr>
            </w:pPr>
          </w:p>
        </w:tc>
        <w:tc>
          <w:tcPr>
            <w:tcW w:w="3320" w:type="dxa"/>
            <w:vAlign w:val="bottom"/>
          </w:tcPr>
          <w:p>
            <w:pPr>
              <w:ind w:left="220"/>
              <w:spacing w:after="0" w:line="122" w:lineRule="exact"/>
              <w:rPr>
                <w:sz w:val="20"/>
                <w:szCs w:val="20"/>
                <w:color w:val="auto"/>
              </w:rPr>
            </w:pPr>
            <w:r>
              <w:rPr>
                <w:rFonts w:ascii="Arial" w:cs="Arial" w:eastAsia="Arial" w:hAnsi="Arial"/>
                <w:sz w:val="11"/>
                <w:szCs w:val="11"/>
                <w:color w:val="77787B"/>
              </w:rPr>
              <w:t>Impact of costs related to recall</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1.07</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77787B"/>
              </w:rPr>
              <w:t>—</w:t>
            </w: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non-GAAP measures are set forth within these reports and may not be comparable to similarly titled measures of</w:t>
            </w:r>
          </w:p>
        </w:tc>
        <w:tc>
          <w:tcPr>
            <w:tcW w:w="160" w:type="dxa"/>
            <w:vAlign w:val="bottom"/>
          </w:tcPr>
          <w:p>
            <w:pPr>
              <w:spacing w:after="0"/>
              <w:rPr>
                <w:sz w:val="10"/>
                <w:szCs w:val="10"/>
                <w:color w:val="auto"/>
              </w:rPr>
            </w:pPr>
          </w:p>
        </w:tc>
        <w:tc>
          <w:tcPr>
            <w:tcW w:w="3320" w:type="dxa"/>
            <w:vAlign w:val="bottom"/>
          </w:tcPr>
          <w:p>
            <w:pPr>
              <w:ind w:left="20"/>
              <w:spacing w:after="0" w:line="122" w:lineRule="exact"/>
              <w:rPr>
                <w:sz w:val="20"/>
                <w:szCs w:val="20"/>
                <w:color w:val="auto"/>
              </w:rPr>
            </w:pPr>
            <w:r>
              <w:rPr>
                <w:rFonts w:ascii="Arial" w:cs="Arial" w:eastAsia="Arial" w:hAnsi="Arial"/>
                <w:sz w:val="11"/>
                <w:szCs w:val="11"/>
                <w:b w:val="1"/>
                <w:bCs w:val="1"/>
                <w:color w:val="77787B"/>
              </w:rPr>
              <w:t>EPS-Diluted-Adjusted</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3.18</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3.05</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77787B"/>
              </w:rPr>
              <w:t>5.02</w:t>
            </w:r>
          </w:p>
        </w:tc>
        <w:tc>
          <w:tcPr>
            <w:tcW w:w="400" w:type="dxa"/>
            <w:vAlign w:val="bottom"/>
          </w:tcPr>
          <w:p>
            <w:pPr>
              <w:jc w:val="right"/>
              <w:spacing w:after="0" w:line="122" w:lineRule="exact"/>
              <w:rPr>
                <w:sz w:val="20"/>
                <w:szCs w:val="20"/>
                <w:color w:val="auto"/>
              </w:rPr>
            </w:pPr>
            <w:r>
              <w:rPr>
                <w:rFonts w:ascii="Arial" w:cs="Arial" w:eastAsia="Arial" w:hAnsi="Arial"/>
                <w:sz w:val="11"/>
                <w:szCs w:val="11"/>
                <w:b w:val="1"/>
                <w:bCs w:val="1"/>
                <w:color w:val="77787B"/>
              </w:rPr>
              <w:t>6.12</w:t>
            </w: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line="119" w:lineRule="exact"/>
              <w:rPr>
                <w:sz w:val="20"/>
                <w:szCs w:val="20"/>
                <w:color w:val="auto"/>
              </w:rPr>
            </w:pPr>
            <w:r>
              <w:rPr>
                <w:rFonts w:ascii="Arial" w:cs="Arial" w:eastAsia="Arial" w:hAnsi="Arial"/>
                <w:sz w:val="11"/>
                <w:szCs w:val="11"/>
                <w:color w:val="77787B"/>
              </w:rPr>
              <w:t>other companies due to potential differences between companies in the method of calculation. As a result, the use</w:t>
            </w:r>
          </w:p>
        </w:tc>
        <w:tc>
          <w:tcPr>
            <w:tcW w:w="160" w:type="dxa"/>
            <w:vAlign w:val="bottom"/>
          </w:tcPr>
          <w:p>
            <w:pPr>
              <w:spacing w:after="0"/>
              <w:rPr>
                <w:sz w:val="2"/>
                <w:szCs w:val="2"/>
                <w:color w:val="auto"/>
              </w:rPr>
            </w:pPr>
          </w:p>
        </w:tc>
        <w:tc>
          <w:tcPr>
            <w:tcW w:w="3320" w:type="dxa"/>
            <w:vAlign w:val="bottom"/>
            <w:tcBorders>
              <w:bottom w:val="single" w:sz="8" w:color="77787B"/>
            </w:tcBorders>
          </w:tcPr>
          <w:p>
            <w:pPr>
              <w:spacing w:after="0"/>
              <w:rPr>
                <w:sz w:val="2"/>
                <w:szCs w:val="2"/>
                <w:color w:val="auto"/>
              </w:rPr>
            </w:pPr>
          </w:p>
        </w:tc>
        <w:tc>
          <w:tcPr>
            <w:tcW w:w="700" w:type="dxa"/>
            <w:vAlign w:val="bottom"/>
            <w:tcBorders>
              <w:bottom w:val="single" w:sz="8" w:color="77787B"/>
            </w:tcBorders>
          </w:tcPr>
          <w:p>
            <w:pPr>
              <w:spacing w:after="0"/>
              <w:rPr>
                <w:sz w:val="2"/>
                <w:szCs w:val="2"/>
                <w:color w:val="auto"/>
              </w:rPr>
            </w:pPr>
          </w:p>
        </w:tc>
        <w:tc>
          <w:tcPr>
            <w:tcW w:w="520" w:type="dxa"/>
            <w:vAlign w:val="bottom"/>
            <w:tcBorders>
              <w:bottom w:val="single" w:sz="8" w:color="77787B"/>
            </w:tcBorders>
          </w:tcPr>
          <w:p>
            <w:pPr>
              <w:spacing w:after="0"/>
              <w:rPr>
                <w:sz w:val="2"/>
                <w:szCs w:val="2"/>
                <w:color w:val="auto"/>
              </w:rPr>
            </w:pPr>
          </w:p>
        </w:tc>
        <w:tc>
          <w:tcPr>
            <w:tcW w:w="500" w:type="dxa"/>
            <w:vAlign w:val="bottom"/>
            <w:tcBorders>
              <w:bottom w:val="single" w:sz="8" w:color="77787B"/>
            </w:tcBorders>
          </w:tcPr>
          <w:p>
            <w:pPr>
              <w:spacing w:after="0"/>
              <w:rPr>
                <w:sz w:val="2"/>
                <w:szCs w:val="2"/>
                <w:color w:val="auto"/>
              </w:rPr>
            </w:pPr>
          </w:p>
        </w:tc>
        <w:tc>
          <w:tcPr>
            <w:tcW w:w="400" w:type="dxa"/>
            <w:vAlign w:val="bottom"/>
            <w:tcBorders>
              <w:bottom w:val="single" w:sz="8" w:color="77787B"/>
            </w:tcBorders>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5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line="122" w:lineRule="exact"/>
              <w:rPr>
                <w:sz w:val="20"/>
                <w:szCs w:val="20"/>
                <w:color w:val="auto"/>
              </w:rPr>
            </w:pPr>
            <w:r>
              <w:rPr>
                <w:rFonts w:ascii="Arial" w:cs="Arial" w:eastAsia="Arial" w:hAnsi="Arial"/>
                <w:sz w:val="11"/>
                <w:szCs w:val="11"/>
                <w:color w:val="77787B"/>
              </w:rPr>
              <w:t>of these non-GAAP measures has limitations and should not be considered superior to, in isolation from, or as a</w:t>
            </w:r>
          </w:p>
        </w:tc>
        <w:tc>
          <w:tcPr>
            <w:tcW w:w="3480" w:type="dxa"/>
            <w:vAlign w:val="bottom"/>
            <w:gridSpan w:val="2"/>
          </w:tcPr>
          <w:p>
            <w:pPr>
              <w:ind w:left="160"/>
              <w:spacing w:after="0" w:line="122" w:lineRule="exact"/>
              <w:rPr>
                <w:sz w:val="20"/>
                <w:szCs w:val="20"/>
                <w:color w:val="auto"/>
              </w:rPr>
            </w:pPr>
            <w:r>
              <w:rPr>
                <w:rFonts w:ascii="Arial" w:cs="Arial" w:eastAsia="Arial" w:hAnsi="Arial"/>
                <w:sz w:val="11"/>
                <w:szCs w:val="11"/>
                <w:color w:val="77787B"/>
              </w:rPr>
              <w:t>(1) Included in operating income</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660" w:type="dxa"/>
            <w:vAlign w:val="bottom"/>
          </w:tcPr>
          <w:p>
            <w:pPr>
              <w:spacing w:after="0"/>
              <w:rPr>
                <w:sz w:val="20"/>
                <w:szCs w:val="20"/>
                <w:color w:val="auto"/>
              </w:rPr>
            </w:pPr>
            <w:r>
              <w:rPr>
                <w:rFonts w:ascii="Arial" w:cs="Arial" w:eastAsia="Arial" w:hAnsi="Arial"/>
                <w:sz w:val="11"/>
                <w:szCs w:val="11"/>
                <w:color w:val="77787B"/>
              </w:rPr>
              <w:t>substitute for, related U.S. GAAP measures.</w:t>
            </w:r>
          </w:p>
        </w:tc>
        <w:tc>
          <w:tcPr>
            <w:tcW w:w="1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420"/>
          </w:cols>
          <w:pgMar w:left="240" w:top="958" w:right="239" w:bottom="740" w:gutter="0" w:footer="0" w:header="0"/>
        </w:sectPr>
      </w:pPr>
    </w:p>
    <w:p>
      <w:pPr>
        <w:jc w:val="both"/>
        <w:ind w:right="2080"/>
        <w:spacing w:after="0" w:line="232" w:lineRule="auto"/>
        <w:rPr>
          <w:sz w:val="20"/>
          <w:szCs w:val="20"/>
          <w:color w:val="auto"/>
        </w:rPr>
      </w:pPr>
      <w:r>
        <w:rPr>
          <w:rFonts w:ascii="Arial" w:cs="Arial" w:eastAsia="Arial" w:hAnsi="Arial"/>
          <w:sz w:val="11"/>
          <w:szCs w:val="11"/>
          <w:b w:val="1"/>
          <w:bCs w:val="1"/>
          <w:color w:val="77787B"/>
        </w:rPr>
        <w:t xml:space="preserve">Important Additional Information Regarding Proxy Solicitation: </w:t>
      </w:r>
      <w:r>
        <w:rPr>
          <w:rFonts w:ascii="Arial" w:cs="Arial" w:eastAsia="Arial" w:hAnsi="Arial"/>
          <w:sz w:val="11"/>
          <w:szCs w:val="11"/>
          <w:color w:val="77787B"/>
        </w:rPr>
        <w:t>General Motors Company (“GM”) has filed a</w:t>
      </w:r>
      <w:r>
        <w:rPr>
          <w:rFonts w:ascii="Arial" w:cs="Arial" w:eastAsia="Arial" w:hAnsi="Arial"/>
          <w:sz w:val="11"/>
          <w:szCs w:val="11"/>
          <w:b w:val="1"/>
          <w:bCs w:val="1"/>
          <w:color w:val="77787B"/>
        </w:rPr>
        <w:t xml:space="preserve"> </w:t>
      </w:r>
      <w:r>
        <w:rPr>
          <w:rFonts w:ascii="Arial" w:cs="Arial" w:eastAsia="Arial" w:hAnsi="Arial"/>
          <w:sz w:val="11"/>
          <w:szCs w:val="11"/>
          <w:color w:val="77787B"/>
        </w:rPr>
        <w:t>definitive proxy statement and 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www.GMProxy.com.</w:t>
      </w:r>
    </w:p>
    <w:sectPr>
      <w:pgSz w:w="11900" w:h="16838" w:orient="portrait"/>
      <w:cols w:equalWidth="0" w:num="2">
        <w:col w:w="7560" w:space="720"/>
        <w:col w:w="3140"/>
      </w:cols>
      <w:pgMar w:left="240" w:top="958" w:right="23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2019-12-07T11:12:00Z</dcterms:created>
  <dcterms:modified xsi:type="dcterms:W3CDTF">2019-12-07T11:12:00Z</dcterms:modified>
</cp:coreProperties>
</file>