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28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2838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3"/>
        <w:spacing w:after="0"/>
        <w:rPr>
          <w:sz w:val="20"/>
          <w:szCs w:val="20"/>
          <w:color w:val="auto"/>
        </w:rPr>
      </w:pPr>
      <w:r>
        <w:rPr>
          <w:rFonts w:ascii="Arial" w:cs="Arial" w:eastAsia="Arial" w:hAnsi="Arial"/>
          <w:sz w:val="17"/>
          <w:szCs w:val="17"/>
          <w:color w:val="0000FF"/>
        </w:rPr>
        <w:t>Senior 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60" w:type="dxa"/>
            <w:vAlign w:val="bottom"/>
            <w:gridSpan w:val="9"/>
          </w:tcPr>
          <w:p>
            <w:pPr>
              <w:ind w:left="3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ind w:left="160"/>
              <w:spacing w:after="0" w:line="176" w:lineRule="exact"/>
              <w:rPr>
                <w:sz w:val="20"/>
                <w:szCs w:val="20"/>
                <w:color w:val="auto"/>
              </w:rPr>
            </w:pPr>
            <w:r>
              <w:rPr>
                <w:rFonts w:ascii="Arial" w:cs="Arial" w:eastAsia="Arial" w:hAnsi="Arial"/>
                <w:sz w:val="17"/>
                <w:szCs w:val="17"/>
                <w:color w:val="0000FF"/>
              </w:rPr>
              <w:t>12/31/2010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ind w:left="3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6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7"/>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4"/>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12/31/2010</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0000FF"/>
                <w:w w:val="92"/>
              </w:rPr>
              <w:t>19,473</w:t>
            </w:r>
          </w:p>
        </w:tc>
        <w:tc>
          <w:tcPr>
            <w:tcW w:w="5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33"/>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(1)</w:t>
            </w:r>
          </w:p>
        </w:tc>
        <w:tc>
          <w:tcPr>
            <w:tcW w:w="134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20,273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20" w:type="dxa"/>
            <w:vAlign w:val="bottom"/>
            <w:gridSpan w:val="4"/>
          </w:tcPr>
          <w:p>
            <w:pPr>
              <w:ind w:left="980"/>
              <w:spacing w:after="0"/>
              <w:rPr>
                <w:sz w:val="20"/>
                <w:szCs w:val="20"/>
                <w:color w:val="auto"/>
              </w:rPr>
            </w:pPr>
            <w:r>
              <w:rPr>
                <w:rFonts w:ascii="Arial" w:cs="Arial" w:eastAsia="Arial" w:hAnsi="Arial"/>
                <w:sz w:val="17"/>
                <w:szCs w:val="17"/>
                <w:color w:val="0000FF"/>
              </w:rPr>
              <w:t>12/31/2010</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22"/>
                <w:szCs w:val="22"/>
                <w:color w:val="auto"/>
              </w:rPr>
            </w:pPr>
          </w:p>
        </w:tc>
        <w:tc>
          <w:tcPr>
            <w:tcW w:w="600" w:type="dxa"/>
            <w:vAlign w:val="bottom"/>
          </w:tcPr>
          <w:p>
            <w:pPr>
              <w:jc w:val="center"/>
              <w:ind w:left="108"/>
              <w:spacing w:after="0"/>
              <w:rPr>
                <w:sz w:val="20"/>
                <w:szCs w:val="20"/>
                <w:color w:val="auto"/>
              </w:rPr>
            </w:pPr>
            <w:r>
              <w:rPr>
                <w:rFonts w:ascii="Arial" w:cs="Arial" w:eastAsia="Arial" w:hAnsi="Arial"/>
                <w:sz w:val="17"/>
                <w:szCs w:val="17"/>
                <w:color w:val="0000FF"/>
                <w:w w:val="89"/>
              </w:rPr>
              <w:t>8,225</w:t>
            </w:r>
          </w:p>
        </w:tc>
        <w:tc>
          <w:tcPr>
            <w:tcW w:w="40" w:type="dxa"/>
            <w:vAlign w:val="bottom"/>
          </w:tcPr>
          <w:p>
            <w:pPr>
              <w:spacing w:after="0"/>
              <w:rPr>
                <w:sz w:val="22"/>
                <w:szCs w:val="22"/>
                <w:color w:val="auto"/>
              </w:rPr>
            </w:pPr>
          </w:p>
        </w:tc>
        <w:tc>
          <w:tcPr>
            <w:tcW w:w="580" w:type="dxa"/>
            <w:vAlign w:val="bottom"/>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36.77</w:t>
            </w:r>
          </w:p>
        </w:tc>
        <w:tc>
          <w:tcPr>
            <w:tcW w:w="1340" w:type="dxa"/>
            <w:vAlign w:val="bottom"/>
            <w:gridSpan w:val="3"/>
          </w:tcPr>
          <w:p>
            <w:pPr>
              <w:jc w:val="right"/>
              <w:ind w:right="360"/>
              <w:spacing w:after="0"/>
              <w:rPr>
                <w:sz w:val="20"/>
                <w:szCs w:val="20"/>
                <w:color w:val="auto"/>
              </w:rPr>
            </w:pPr>
            <w:r>
              <w:rPr>
                <w:rFonts w:ascii="Arial" w:cs="Arial" w:eastAsia="Arial" w:hAnsi="Arial"/>
                <w:sz w:val="17"/>
                <w:szCs w:val="17"/>
                <w:color w:val="0000FF"/>
              </w:rPr>
              <w:t>12,048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12/31/2010</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0000FF"/>
                <w:w w:val="92"/>
              </w:rPr>
              <w:t>18,131</w:t>
            </w:r>
          </w:p>
        </w:tc>
        <w:tc>
          <w:tcPr>
            <w:tcW w:w="5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33"/>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34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30,179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20" w:type="dxa"/>
            <w:vAlign w:val="bottom"/>
            <w:gridSpan w:val="4"/>
          </w:tcPr>
          <w:p>
            <w:pPr>
              <w:ind w:left="980"/>
              <w:spacing w:after="0"/>
              <w:rPr>
                <w:sz w:val="20"/>
                <w:szCs w:val="20"/>
                <w:color w:val="auto"/>
              </w:rPr>
            </w:pPr>
            <w:r>
              <w:rPr>
                <w:rFonts w:ascii="Arial" w:cs="Arial" w:eastAsia="Arial" w:hAnsi="Arial"/>
                <w:sz w:val="17"/>
                <w:szCs w:val="17"/>
                <w:color w:val="0000FF"/>
              </w:rPr>
              <w:t>12/31/2010</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22"/>
                <w:szCs w:val="22"/>
                <w:color w:val="auto"/>
              </w:rPr>
            </w:pPr>
          </w:p>
        </w:tc>
        <w:tc>
          <w:tcPr>
            <w:tcW w:w="600" w:type="dxa"/>
            <w:vAlign w:val="bottom"/>
          </w:tcPr>
          <w:p>
            <w:pPr>
              <w:jc w:val="center"/>
              <w:ind w:left="108"/>
              <w:spacing w:after="0"/>
              <w:rPr>
                <w:sz w:val="20"/>
                <w:szCs w:val="20"/>
                <w:color w:val="auto"/>
              </w:rPr>
            </w:pPr>
            <w:r>
              <w:rPr>
                <w:rFonts w:ascii="Arial" w:cs="Arial" w:eastAsia="Arial" w:hAnsi="Arial"/>
                <w:sz w:val="17"/>
                <w:szCs w:val="17"/>
                <w:color w:val="0000FF"/>
                <w:w w:val="89"/>
              </w:rPr>
              <w:t>7,624</w:t>
            </w:r>
          </w:p>
        </w:tc>
        <w:tc>
          <w:tcPr>
            <w:tcW w:w="40" w:type="dxa"/>
            <w:vAlign w:val="bottom"/>
          </w:tcPr>
          <w:p>
            <w:pPr>
              <w:spacing w:after="0"/>
              <w:rPr>
                <w:sz w:val="22"/>
                <w:szCs w:val="22"/>
                <w:color w:val="auto"/>
              </w:rPr>
            </w:pPr>
          </w:p>
        </w:tc>
        <w:tc>
          <w:tcPr>
            <w:tcW w:w="580" w:type="dxa"/>
            <w:vAlign w:val="bottom"/>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36.77</w:t>
            </w:r>
          </w:p>
        </w:tc>
        <w:tc>
          <w:tcPr>
            <w:tcW w:w="1340" w:type="dxa"/>
            <w:vAlign w:val="bottom"/>
            <w:gridSpan w:val="3"/>
          </w:tcPr>
          <w:p>
            <w:pPr>
              <w:jc w:val="right"/>
              <w:ind w:right="360"/>
              <w:spacing w:after="0"/>
              <w:rPr>
                <w:sz w:val="20"/>
                <w:szCs w:val="20"/>
                <w:color w:val="auto"/>
              </w:rPr>
            </w:pPr>
            <w:r>
              <w:rPr>
                <w:rFonts w:ascii="Arial" w:cs="Arial" w:eastAsia="Arial" w:hAnsi="Arial"/>
                <w:sz w:val="17"/>
                <w:szCs w:val="17"/>
                <w:color w:val="0000FF"/>
              </w:rPr>
              <w:t>22,555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4"/>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6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13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(D) (Instr. 3,</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vMerge w:val="restart"/>
          </w:tcPr>
          <w:p>
            <w:pPr>
              <w:ind w:left="400"/>
              <w:spacing w:after="0"/>
              <w:rPr>
                <w:sz w:val="20"/>
                <w:szCs w:val="20"/>
                <w:color w:val="auto"/>
              </w:rPr>
            </w:pPr>
            <w:r>
              <w:rPr>
                <w:rFonts w:ascii="Arial" w:cs="Arial" w:eastAsia="Arial" w:hAnsi="Arial"/>
                <w:sz w:val="13"/>
                <w:szCs w:val="13"/>
                <w:color w:val="0000FF"/>
                <w:w w:val="98"/>
              </w:rPr>
              <w:t>19,473</w:t>
            </w:r>
            <w:r>
              <w:rPr>
                <w:rFonts w:ascii="Arial" w:cs="Arial" w:eastAsia="Arial" w:hAnsi="Arial"/>
                <w:sz w:val="21"/>
                <w:szCs w:val="21"/>
                <w:color w:val="008000"/>
                <w:w w:val="98"/>
                <w:vertAlign w:val="superscript"/>
              </w:rPr>
              <w:t>(4)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0000FF"/>
                <w:w w:val="92"/>
              </w:rPr>
              <w:t>19,473</w:t>
            </w:r>
            <w:r>
              <w:rPr>
                <w:rFonts w:ascii="Arial" w:cs="Arial" w:eastAsia="Arial" w:hAnsi="Arial"/>
                <w:sz w:val="21"/>
                <w:szCs w:val="21"/>
                <w:color w:val="008000"/>
                <w:w w:val="92"/>
                <w:vertAlign w:val="superscript"/>
              </w:rPr>
              <w:t>(1)</w:t>
            </w:r>
          </w:p>
        </w:tc>
        <w:tc>
          <w:tcPr>
            <w:tcW w:w="740" w:type="dxa"/>
            <w:vAlign w:val="bottom"/>
            <w:gridSpan w:val="2"/>
            <w:vMerge w:val="restart"/>
          </w:tcPr>
          <w:p>
            <w:pPr>
              <w:ind w:left="24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Arial" w:cs="Arial" w:eastAsia="Arial" w:hAnsi="Arial"/>
                <w:sz w:val="13"/>
                <w:szCs w:val="13"/>
                <w:color w:val="0000FF"/>
              </w:rPr>
              <w:t>12/31/2010</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color w:val="0000FF"/>
              </w:rPr>
              <w:t>D</w:t>
            </w:r>
          </w:p>
        </w:tc>
        <w:tc>
          <w:tcPr>
            <w:tcW w:w="980" w:type="dxa"/>
            <w:vAlign w:val="bottom"/>
            <w:vMerge w:val="continue"/>
          </w:tcPr>
          <w:p>
            <w:pPr>
              <w:spacing w:after="0"/>
              <w:rPr>
                <w:sz w:val="13"/>
                <w:szCs w:val="13"/>
                <w:color w:val="auto"/>
              </w:rPr>
            </w:pPr>
          </w:p>
        </w:tc>
        <w:tc>
          <w:tcPr>
            <w:tcW w:w="84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13"/>
                <w:szCs w:val="13"/>
                <w:color w:val="auto"/>
              </w:rPr>
            </w:pPr>
          </w:p>
        </w:tc>
        <w:tc>
          <w:tcPr>
            <w:tcW w:w="600" w:type="dxa"/>
            <w:vAlign w:val="bottom"/>
          </w:tcPr>
          <w:p>
            <w:pPr>
              <w:jc w:val="right"/>
              <w:ind w:right="268"/>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80"/>
              <w:spacing w:after="0" w:line="144"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(the "GMLTP") on December 31, 2010 upon the cancellation of the Restricted Stock Units ("RSUs") granted to the employee on March 15, 2010. These shares were fully vested upon grant but are subject to restrictions on sale until March 15, 2013.</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granted under the GMLTP on December 31, 2010. These shares were fully vested upon grant but are subject to restrictions on transfer until December 31, 2013.</w:t>
      </w:r>
    </w:p>
    <w:p>
      <w:pPr>
        <w:spacing w:after="0" w:line="58"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were cancelled upon the issuance of the Common Stock reported above. The RSUs did not have an expiration or exercise date or a conversion or exercise price.</w:t>
      </w:r>
    </w:p>
    <w:p>
      <w:pPr>
        <w:spacing w:after="0" w:line="47" w:lineRule="exact"/>
        <w:rPr>
          <w:rFonts w:ascii="Arial" w:cs="Arial" w:eastAsia="Arial" w:hAnsi="Arial"/>
          <w:sz w:val="13"/>
          <w:szCs w:val="13"/>
          <w:color w:val="008000"/>
        </w:rPr>
      </w:pPr>
    </w:p>
    <w:p>
      <w:pPr>
        <w:jc w:val="both"/>
        <w:ind w:left="40" w:right="240" w:firstLine="4"/>
        <w:spacing w:after="0" w:line="24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grant as originally made was for 6,491 RSUs. On November 1, 2010 the Company amended its certificate of incorporation to effect a stock split in which each issued and outstanding share of Common Stock was convertd into three shares of Common Stock. Pursuant to the terms of the GMLTP, each issued and outstanding RSU was automatically converted into three RSUs, so that the employee was credited with a total of 19,473 RSUs granted on March 15, 2010.</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04/02/2013</w:t>
            </w:r>
          </w:p>
        </w:tc>
        <w:tc>
          <w:tcPr>
            <w:tcW w:w="0" w:type="dxa"/>
            <w:vAlign w:val="bottom"/>
          </w:tcPr>
          <w:p>
            <w:pPr>
              <w:spacing w:after="0"/>
              <w:rPr>
                <w:sz w:val="1"/>
                <w:szCs w:val="1"/>
                <w:color w:val="auto"/>
              </w:rPr>
            </w:pPr>
          </w:p>
        </w:tc>
      </w:tr>
      <w:tr>
        <w:trPr>
          <w:trHeight w:val="90"/>
        </w:trPr>
        <w:tc>
          <w:tcPr>
            <w:tcW w:w="1240" w:type="dxa"/>
            <w:vAlign w:val="bottom"/>
            <w:tcBorders>
              <w:top w:val="single" w:sz="8" w:color="auto"/>
              <w:bottom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3"/>
              </w:rPr>
              <w:t>fact for Ms. Barra</w:t>
            </w:r>
          </w:p>
        </w:tc>
        <w:tc>
          <w:tcPr>
            <w:tcW w:w="8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24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2019-12-18T15:45:54Z</dcterms:created>
  <dcterms:modified xsi:type="dcterms:W3CDTF">2019-12-18T15:45:54Z</dcterms:modified>
</cp:coreProperties>
</file>