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October 24, 2017</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GENERAL MOTORS COMPANY</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667-1500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62"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5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On October 24, 2017 General Motors Company (GM) issued a news release and supplemental materials on the subject of its 2017 third quarter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news release and supplemental materials are attached as Exhibit 99.1 and Exhibit 99.2.</w:t>
      </w:r>
    </w:p>
    <w:p>
      <w:pPr>
        <w:spacing w:after="0" w:line="21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Charts furnished to securities analysts in connection with GM's 2017 third quarter earnings release are available on GM's website at www.gm.com/investors/earnings-releases.html.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7"/>
                <w:szCs w:val="17"/>
                <w:color w:val="auto"/>
              </w:rPr>
            </w:pP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240" w:type="dxa"/>
            <w:vAlign w:val="bottom"/>
            <w:gridSpan w:val="5"/>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3240" w:type="dxa"/>
            <w:vAlign w:val="bottom"/>
            <w:gridSpan w:val="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News Release Dated October 24, 2017</w:t>
              </w:r>
            </w:hyperlink>
          </w:p>
        </w:tc>
      </w:tr>
      <w:tr>
        <w:trPr>
          <w:trHeight w:val="20"/>
        </w:trPr>
        <w:tc>
          <w:tcPr>
            <w:tcW w:w="2860" w:type="dxa"/>
            <w:vAlign w:val="bottom"/>
            <w:gridSpan w:val="2"/>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99.2</w:t>
            </w:r>
          </w:p>
        </w:tc>
        <w:tc>
          <w:tcPr>
            <w:tcW w:w="32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Financial Highlights Dated October 24, 2017</w:t>
              </w:r>
            </w:hyperlink>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6140" w:type="dxa"/>
            <w:vAlign w:val="bottom"/>
          </w:tcPr>
          <w:p>
            <w:pPr>
              <w:ind w:left="548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6140" w:type="dxa"/>
            <w:vAlign w:val="bottom"/>
            <w:vMerge w:val="restart"/>
          </w:tcPr>
          <w:p>
            <w:pPr>
              <w:spacing w:after="0"/>
              <w:rPr>
                <w:sz w:val="20"/>
                <w:szCs w:val="20"/>
                <w:color w:val="auto"/>
              </w:rPr>
            </w:pPr>
            <w:r>
              <w:rPr>
                <w:rFonts w:ascii="Arial" w:cs="Arial" w:eastAsia="Arial" w:hAnsi="Arial"/>
                <w:sz w:val="18"/>
                <w:szCs w:val="18"/>
                <w:color w:val="auto"/>
              </w:rPr>
              <w:t>Date: October 24, 2017</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2"/>
              </w:rPr>
              <w:t>Thomas S. Timko, Vice President, Global Business Services and Chief</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93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62" w:lineRule="exact"/>
        <w:rPr>
          <w:sz w:val="20"/>
          <w:szCs w:val="20"/>
          <w:color w:val="auto"/>
        </w:rPr>
      </w:pPr>
    </w:p>
    <w:p>
      <w:pPr>
        <w:jc w:val="both"/>
        <w:ind w:firstLine="162"/>
        <w:spacing w:after="0" w:line="284" w:lineRule="auto"/>
        <w:rPr>
          <w:sz w:val="20"/>
          <w:szCs w:val="20"/>
          <w:color w:val="auto"/>
        </w:rPr>
      </w:pPr>
      <w:r>
        <w:rPr>
          <w:rFonts w:ascii="Arial" w:cs="Arial" w:eastAsia="Arial" w:hAnsi="Arial"/>
          <w:sz w:val="16"/>
          <w:szCs w:val="16"/>
          <w:color w:val="auto"/>
        </w:rPr>
        <w:t>Unless otherwise indicated, General Motors Company's (GM) non-GAAP measures are related to our continuing operations and not our discontinued operations nor assets and liabilities held for sale. GM's non-GAAP measures include earnings before interest and taxes (EBIT)-adjusted, presented net of noncontrolling interests,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66"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82"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6"/>
          <w:szCs w:val="16"/>
          <w:color w:val="auto"/>
        </w:rPr>
        <w:t>EBIT-adjusted is presented net of noncontrolling interests and is used by management and can be used by investors to review our 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related to goodwill;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w:t>
      </w:r>
    </w:p>
    <w:p>
      <w:pPr>
        <w:spacing w:after="0" w:line="182"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16"/>
          <w:szCs w:val="16"/>
          <w:color w:val="auto"/>
        </w:rPr>
        <w:t>EPS-diluted-adjusted is used by management and can be used by investors to review our consolidated diluted earnings per share results on a consistent basis. EPS-diluted-adjusted is calculated as net income attributable to common stockholders-diluted less income (loss) from discontinued operations on an after-tax basis, adjustments noted above for EBIT-adjusted, gains or losses on the extinguishment of debt obligations on an after-tax basis and certain income tax adjustments divided by weighted-average common shares outstanding-diluted. Examples of income tax adjustments include the establishment or reversal of significant deferred tax asset valuation allowances.</w:t>
      </w:r>
    </w:p>
    <w:p>
      <w:pPr>
        <w:spacing w:after="0" w:line="176"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6"/>
          <w:szCs w:val="16"/>
          <w:color w:val="auto"/>
        </w:rPr>
        <w:t>ETR-adjusted is used by management and can be used by investors to review the consolidated effective tax rate for our core operations on a consistent basis. ETR-adjusted is calculated as Income tax expense less the income tax related to the adjustments noted above for EBIT-adjusted and the income tax adjustments noted above for EPS-diluted-adjusted divided by Income before income taxes less adjustments.</w:t>
      </w:r>
    </w:p>
    <w:p>
      <w:pPr>
        <w:spacing w:after="0" w:line="174"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16"/>
          <w:szCs w:val="16"/>
          <w:color w:val="auto"/>
        </w:rPr>
        <w:t>ROIC-adjusted is used by management and can be used by investors to review our investment and capital allocation decisions. We define ROIC-adjusted as EBIT-adjusted for the trailing four quarters divided by ROIC-adjusted average net assets, which is considered to be the average equity balances adjusted for average automotive debt and interest liabilities, exclusive of capital leases; average automotive net pension and OPEB liabilities; and average automotive net income tax assets during the same period. Adjustments to the average equity balances exclude assets and liabilities classified as either assets held for sale or liabilities held for sale.</w:t>
      </w:r>
    </w:p>
    <w:p>
      <w:pPr>
        <w:spacing w:after="0" w:line="176"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16"/>
          <w:szCs w:val="16"/>
          <w:color w:val="auto"/>
        </w:rPr>
        <w:t>Adjusted automotive free cash flow is used by management and can be used by investors to review the liquidity of 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primarily related to strengthening our balance sheet, such as prepayments of debt and discretionary contributions to employee benefit plans.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segment profit (loss) to Net income (loss) attributable to stockholders under U.S. GAAP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3"/>
                <w:szCs w:val="13"/>
                <w:b w:val="1"/>
                <w:bCs w:val="1"/>
                <w:color w:val="auto"/>
              </w:rPr>
              <w:t>Three Months Ended</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3"/>
                <w:szCs w:val="13"/>
                <w:b w:val="1"/>
                <w:bCs w:val="1"/>
                <w:color w:val="auto"/>
              </w:rPr>
              <w:t>Nine Months Ended</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600" w:type="dxa"/>
            <w:vAlign w:val="bottom"/>
          </w:tcPr>
          <w:p>
            <w:pPr>
              <w:spacing w:after="0"/>
              <w:rPr>
                <w:sz w:val="22"/>
                <w:szCs w:val="22"/>
                <w:color w:val="auto"/>
              </w:rPr>
            </w:pPr>
          </w:p>
        </w:tc>
        <w:tc>
          <w:tcPr>
            <w:tcW w:w="148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2017</w:t>
            </w:r>
          </w:p>
        </w:tc>
        <w:tc>
          <w:tcPr>
            <w:tcW w:w="148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2016</w:t>
            </w:r>
          </w:p>
        </w:tc>
        <w:tc>
          <w:tcPr>
            <w:tcW w:w="146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2017</w:t>
            </w:r>
          </w:p>
        </w:tc>
        <w:tc>
          <w:tcPr>
            <w:tcW w:w="1380" w:type="dxa"/>
            <w:vAlign w:val="bottom"/>
            <w:gridSpan w:val="2"/>
          </w:tcPr>
          <w:p>
            <w:pPr>
              <w:jc w:val="right"/>
              <w:ind w:right="19"/>
              <w:spacing w:after="0"/>
              <w:rPr>
                <w:sz w:val="20"/>
                <w:szCs w:val="20"/>
                <w:color w:val="auto"/>
              </w:rPr>
            </w:pPr>
            <w:r>
              <w:rPr>
                <w:rFonts w:ascii="Arial" w:cs="Arial" w:eastAsia="Arial" w:hAnsi="Arial"/>
                <w:sz w:val="13"/>
                <w:szCs w:val="13"/>
                <w:b w:val="1"/>
                <w:bCs w:val="1"/>
                <w:color w:val="auto"/>
              </w:rPr>
              <w:t>September 30, 2016</w:t>
            </w:r>
          </w:p>
        </w:tc>
        <w:tc>
          <w:tcPr>
            <w:tcW w:w="0" w:type="dxa"/>
            <w:vAlign w:val="bottom"/>
          </w:tcPr>
          <w:p>
            <w:pPr>
              <w:spacing w:after="0"/>
              <w:rPr>
                <w:sz w:val="1"/>
                <w:szCs w:val="1"/>
                <w:color w:val="auto"/>
              </w:rPr>
            </w:pPr>
          </w:p>
        </w:tc>
      </w:tr>
      <w:tr>
        <w:trPr>
          <w:trHeight w:val="260"/>
        </w:trPr>
        <w:tc>
          <w:tcPr>
            <w:tcW w:w="5600" w:type="dxa"/>
            <w:vAlign w:val="bottom"/>
          </w:tcPr>
          <w:p>
            <w:pPr>
              <w:ind w:left="40"/>
              <w:spacing w:after="0"/>
              <w:rPr>
                <w:sz w:val="20"/>
                <w:szCs w:val="20"/>
                <w:color w:val="auto"/>
              </w:rPr>
            </w:pPr>
            <w:r>
              <w:rPr>
                <w:rFonts w:ascii="Arial" w:cs="Arial" w:eastAsia="Arial" w:hAnsi="Arial"/>
                <w:sz w:val="16"/>
                <w:szCs w:val="16"/>
                <w:color w:val="auto"/>
              </w:rPr>
              <w:t>Operating segments</w:t>
            </w:r>
          </w:p>
        </w:tc>
        <w:tc>
          <w:tcPr>
            <w:tcW w:w="4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 North America (GMNA)</w:t>
            </w:r>
          </w:p>
        </w:tc>
        <w:tc>
          <w:tcPr>
            <w:tcW w:w="460" w:type="dxa"/>
            <w:vAlign w:val="bottom"/>
            <w:shd w:val="clear" w:color="auto" w:fill="CCEEFF"/>
          </w:tcPr>
          <w:p>
            <w:pPr>
              <w:jc w:val="right"/>
              <w:ind w:right="26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2,068</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25"/>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45"/>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9,014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65"/>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9,708</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Arial" w:cs="Arial" w:eastAsia="Arial" w:hAnsi="Arial"/>
                <w:sz w:val="16"/>
                <w:szCs w:val="16"/>
                <w:color w:val="auto"/>
              </w:rPr>
              <w:t>GM International Operations (GMIO)</w:t>
            </w:r>
          </w:p>
        </w:tc>
        <w:tc>
          <w:tcPr>
            <w:tcW w:w="460" w:type="dxa"/>
            <w:vAlign w:val="bottom"/>
          </w:tcPr>
          <w:p>
            <w:pPr>
              <w:spacing w:after="0"/>
              <w:rPr>
                <w:sz w:val="22"/>
                <w:szCs w:val="22"/>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80"/>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 South America (GMSA)</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General Motors Financial Company, Inc. (GM Financial)(a)</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operating segments</w:t>
            </w: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2,767</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3,874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10,793</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10,852</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Corporate and eliminations(b)</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EBIT-adjusted</w:t>
            </w: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2,523</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3,662</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9,759</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10,250</w:t>
            </w:r>
          </w:p>
        </w:tc>
        <w:tc>
          <w:tcPr>
            <w:tcW w:w="0" w:type="dxa"/>
            <w:vAlign w:val="bottom"/>
          </w:tcPr>
          <w:p>
            <w:pPr>
              <w:spacing w:after="0"/>
              <w:rPr>
                <w:sz w:val="1"/>
                <w:szCs w:val="1"/>
                <w:color w:val="auto"/>
              </w:rPr>
            </w:pPr>
          </w:p>
        </w:tc>
      </w:tr>
      <w:tr>
        <w:trPr>
          <w:trHeight w:val="260"/>
        </w:trPr>
        <w:tc>
          <w:tcPr>
            <w:tcW w:w="5600" w:type="dxa"/>
            <w:vAlign w:val="bottom"/>
          </w:tcPr>
          <w:p>
            <w:pPr>
              <w:ind w:left="40"/>
              <w:spacing w:after="0"/>
              <w:rPr>
                <w:sz w:val="20"/>
                <w:szCs w:val="20"/>
                <w:color w:val="auto"/>
              </w:rPr>
            </w:pPr>
            <w:r>
              <w:rPr>
                <w:rFonts w:ascii="Arial" w:cs="Arial" w:eastAsia="Arial" w:hAnsi="Arial"/>
                <w:sz w:val="16"/>
                <w:szCs w:val="16"/>
                <w:color w:val="auto"/>
              </w:rPr>
              <w:t>Special items</w:t>
            </w: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GMIO restructuring(c)</w:t>
            </w:r>
          </w:p>
        </w:tc>
        <w:tc>
          <w:tcPr>
            <w:tcW w:w="4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5600" w:type="dxa"/>
            <w:vAlign w:val="bottom"/>
          </w:tcPr>
          <w:p>
            <w:pPr>
              <w:ind w:left="180"/>
              <w:spacing w:after="0"/>
              <w:rPr>
                <w:sz w:val="20"/>
                <w:szCs w:val="20"/>
                <w:color w:val="auto"/>
              </w:rPr>
            </w:pPr>
            <w:r>
              <w:rPr>
                <w:rFonts w:ascii="Arial" w:cs="Arial" w:eastAsia="Arial" w:hAnsi="Arial"/>
                <w:sz w:val="16"/>
                <w:szCs w:val="16"/>
                <w:color w:val="auto"/>
              </w:rPr>
              <w:t>Venezuela deconsolidation(d)</w:t>
            </w:r>
          </w:p>
        </w:tc>
        <w:tc>
          <w:tcPr>
            <w:tcW w:w="460" w:type="dxa"/>
            <w:vAlign w:val="bottom"/>
          </w:tcPr>
          <w:p>
            <w:pPr>
              <w:spacing w:after="0"/>
              <w:rPr>
                <w:sz w:val="22"/>
                <w:szCs w:val="22"/>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3"/>
        </w:trPr>
        <w:tc>
          <w:tcPr>
            <w:tcW w:w="5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Ignition switch recall and related legal matters(e)</w:t>
            </w: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47"/>
        </w:trPr>
        <w:tc>
          <w:tcPr>
            <w:tcW w:w="5600" w:type="dxa"/>
            <w:vAlign w:val="bottom"/>
          </w:tcPr>
          <w:p>
            <w:pPr>
              <w:ind w:left="40"/>
              <w:spacing w:after="0"/>
              <w:rPr>
                <w:sz w:val="20"/>
                <w:szCs w:val="20"/>
                <w:color w:val="auto"/>
              </w:rPr>
            </w:pPr>
            <w:r>
              <w:rPr>
                <w:rFonts w:ascii="Arial" w:cs="Arial" w:eastAsia="Arial" w:hAnsi="Arial"/>
                <w:sz w:val="16"/>
                <w:szCs w:val="16"/>
                <w:color w:val="auto"/>
              </w:rPr>
              <w:t>Total special items</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1"/>
                <w:szCs w:val="21"/>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80"/>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Automotive interest income</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60"/>
        </w:trPr>
        <w:tc>
          <w:tcPr>
            <w:tcW w:w="5600" w:type="dxa"/>
            <w:vAlign w:val="bottom"/>
          </w:tcPr>
          <w:p>
            <w:pPr>
              <w:ind w:left="40"/>
              <w:spacing w:after="0"/>
              <w:rPr>
                <w:sz w:val="20"/>
                <w:szCs w:val="20"/>
                <w:color w:val="auto"/>
              </w:rPr>
            </w:pPr>
            <w:r>
              <w:rPr>
                <w:rFonts w:ascii="Arial" w:cs="Arial" w:eastAsia="Arial" w:hAnsi="Arial"/>
                <w:sz w:val="16"/>
                <w:szCs w:val="16"/>
                <w:color w:val="auto"/>
              </w:rPr>
              <w:t>Automotive interest expense</w:t>
            </w:r>
          </w:p>
        </w:tc>
        <w:tc>
          <w:tcPr>
            <w:tcW w:w="4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73"/>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expense(f)</w:t>
            </w: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(2,316)</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(3,637)</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(2,436)</w:t>
            </w:r>
          </w:p>
        </w:tc>
        <w:tc>
          <w:tcPr>
            <w:tcW w:w="0" w:type="dxa"/>
            <w:vAlign w:val="bottom"/>
          </w:tcPr>
          <w:p>
            <w:pPr>
              <w:spacing w:after="0"/>
              <w:rPr>
                <w:sz w:val="1"/>
                <w:szCs w:val="1"/>
                <w:color w:val="auto"/>
              </w:rPr>
            </w:pPr>
          </w:p>
        </w:tc>
      </w:tr>
      <w:tr>
        <w:trPr>
          <w:trHeight w:val="247"/>
        </w:trPr>
        <w:tc>
          <w:tcPr>
            <w:tcW w:w="5600" w:type="dxa"/>
            <w:vAlign w:val="bottom"/>
          </w:tcPr>
          <w:p>
            <w:pPr>
              <w:ind w:left="40"/>
              <w:spacing w:after="0"/>
              <w:rPr>
                <w:sz w:val="20"/>
                <w:szCs w:val="20"/>
                <w:color w:val="auto"/>
              </w:rPr>
            </w:pPr>
            <w:r>
              <w:rPr>
                <w:rFonts w:ascii="Arial" w:cs="Arial" w:eastAsia="Arial" w:hAnsi="Arial"/>
                <w:sz w:val="16"/>
                <w:szCs w:val="16"/>
                <w:color w:val="auto"/>
              </w:rPr>
              <w:t>Income from continuing operations(g)</w:t>
            </w:r>
          </w:p>
        </w:tc>
        <w:tc>
          <w:tcPr>
            <w:tcW w:w="46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2,768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5,222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7,473</w:t>
            </w:r>
          </w:p>
        </w:tc>
        <w:tc>
          <w:tcPr>
            <w:tcW w:w="0" w:type="dxa"/>
            <w:vAlign w:val="bottom"/>
          </w:tcPr>
          <w:p>
            <w:pPr>
              <w:spacing w:after="0"/>
              <w:rPr>
                <w:sz w:val="1"/>
                <w:szCs w:val="1"/>
                <w:color w:val="auto"/>
              </w:rPr>
            </w:pPr>
          </w:p>
        </w:tc>
      </w:tr>
      <w:tr>
        <w:trPr>
          <w:trHeight w:val="273"/>
        </w:trPr>
        <w:tc>
          <w:tcPr>
            <w:tcW w:w="56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net of tax(h)</w:t>
            </w: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w:t>
            </w:r>
          </w:p>
        </w:tc>
        <w:tc>
          <w:tcPr>
            <w:tcW w:w="10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(3,935)</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37"/>
        </w:trPr>
        <w:tc>
          <w:tcPr>
            <w:tcW w:w="5600" w:type="dxa"/>
            <w:vAlign w:val="bottom"/>
          </w:tcPr>
          <w:p>
            <w:pPr>
              <w:ind w:left="40"/>
              <w:spacing w:after="0"/>
              <w:rPr>
                <w:sz w:val="20"/>
                <w:szCs w:val="20"/>
                <w:color w:val="auto"/>
              </w:rPr>
            </w:pPr>
            <w:r>
              <w:rPr>
                <w:rFonts w:ascii="Arial" w:cs="Arial" w:eastAsia="Arial" w:hAnsi="Arial"/>
                <w:sz w:val="16"/>
                <w:szCs w:val="16"/>
                <w:color w:val="auto"/>
              </w:rPr>
              <w:t>Net income (loss) attributable to stockholders</w:t>
            </w:r>
          </w:p>
        </w:tc>
        <w:tc>
          <w:tcPr>
            <w:tcW w:w="46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w:t>
            </w:r>
          </w:p>
        </w:tc>
        <w:tc>
          <w:tcPr>
            <w:tcW w:w="100" w:type="dxa"/>
            <w:vAlign w:val="bottom"/>
          </w:tcPr>
          <w:p>
            <w:pPr>
              <w:spacing w:after="0"/>
              <w:rPr>
                <w:sz w:val="20"/>
                <w:szCs w:val="20"/>
                <w:color w:val="auto"/>
              </w:rPr>
            </w:pPr>
          </w:p>
        </w:tc>
        <w:tc>
          <w:tcPr>
            <w:tcW w:w="720" w:type="dxa"/>
            <w:vAlign w:val="bottom"/>
            <w:tcBorders>
              <w:bottom w:val="single" w:sz="8" w:color="auto"/>
            </w:tcBorders>
          </w:tcPr>
          <w:p>
            <w:pPr>
              <w:jc w:val="right"/>
              <w:ind w:right="525"/>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2,773</w:t>
            </w:r>
          </w:p>
        </w:tc>
        <w:tc>
          <w:tcPr>
            <w:tcW w:w="120" w:type="dxa"/>
            <w:vAlign w:val="bottom"/>
          </w:tcPr>
          <w:p>
            <w:pPr>
              <w:spacing w:after="0"/>
              <w:rPr>
                <w:sz w:val="20"/>
                <w:szCs w:val="20"/>
                <w:color w:val="auto"/>
              </w:rPr>
            </w:pPr>
          </w:p>
        </w:tc>
        <w:tc>
          <w:tcPr>
            <w:tcW w:w="440" w:type="dxa"/>
            <w:vAlign w:val="bottom"/>
            <w:tcBorders>
              <w:bottom w:val="single" w:sz="8" w:color="auto"/>
            </w:tcBorders>
          </w:tcPr>
          <w:p>
            <w:pPr>
              <w:jc w:val="right"/>
              <w:ind w:right="245"/>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1,287</w:t>
            </w:r>
          </w:p>
        </w:tc>
        <w:tc>
          <w:tcPr>
            <w:tcW w:w="100" w:type="dxa"/>
            <w:vAlign w:val="bottom"/>
          </w:tcPr>
          <w:p>
            <w:pPr>
              <w:spacing w:after="0"/>
              <w:rPr>
                <w:sz w:val="20"/>
                <w:szCs w:val="20"/>
                <w:color w:val="auto"/>
              </w:rPr>
            </w:pPr>
          </w:p>
        </w:tc>
        <w:tc>
          <w:tcPr>
            <w:tcW w:w="66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7,592</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60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 Financial amounts represent earnings before income taxes-adjusted.</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GM's automotive operations' interest income and interest expense, Maven, legacy costs from the Opel and Vauxhall business and certain other assets in Europe (the Opel/Vauxhall Business), which are primarily pension costs, corporate expenditures including autonomous vehicle-related engineering and other costs and certain nonsegment specific revenues and expenses, are recorded centrally in Corporate.</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adjustment was excluded because of a strategic decision to rationalize our core operations by exiting or significantly reducing our presence in various international markets to focus resources on opportunities expected to deliver higher returns. The adjustment primarily consists of asset impairments, sales incentives, inventory provisions, dealer restructuring, employee separations and other contract cancellation costs in India and South Africa.</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This adjustment was excluded because we ceased operations and terminated employment relationships in Venezuela due to causes beyond our control, which included adverse political and economic conditions, including the seizure of our manufacturing facility.</w:t>
      </w:r>
    </w:p>
    <w:p>
      <w:pPr>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adjustments were excluded because of the unique events associated with the ignition switch recall. These events included the creation of the Ignition Switch Compensation Program, as well as various investigations, inquiries, and complaints from various constituents.</w:t>
      </w:r>
    </w:p>
    <w:p>
      <w:pPr>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Income tax expense includes a special item of $1.8 billion in the three and nine months ended September 30, 2017 related to the establishment of a valuation allowance on deferred tax assets that will no longer be realizable as a result of the sale of the Opel/Vauxhall Business, partially offset by tax benefits related to tax settlements.</w:t>
      </w: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of Net (income) loss attributable to noncontrolling interests.</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results of the Opel/Vauxhall Business and our European financing subsidiaries and branches (the Fincos, and together with the Opel/Vauxhall Business, the European Business).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5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(loss) attributable to stockholders under U.S. GAAP to EBIT-adjusted (dollars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5"/>
          </w:tcPr>
          <w:p>
            <w:pPr>
              <w:ind w:left="20"/>
              <w:spacing w:after="0"/>
              <w:rPr>
                <w:sz w:val="20"/>
                <w:szCs w:val="20"/>
                <w:color w:val="auto"/>
              </w:rPr>
            </w:pPr>
            <w:r>
              <w:rPr>
                <w:rFonts w:ascii="Arial" w:cs="Arial" w:eastAsia="Arial" w:hAnsi="Arial"/>
                <w:sz w:val="11"/>
                <w:szCs w:val="11"/>
                <w:b w:val="1"/>
                <w:bCs w:val="1"/>
                <w:color w:val="auto"/>
              </w:rPr>
              <w:t>Three Months Ended</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5"/>
          </w:tcPr>
          <w:p>
            <w:pPr>
              <w:ind w:left="260"/>
              <w:spacing w:after="0"/>
              <w:rPr>
                <w:sz w:val="20"/>
                <w:szCs w:val="20"/>
                <w:color w:val="auto"/>
              </w:rPr>
            </w:pPr>
            <w:r>
              <w:rPr>
                <w:rFonts w:ascii="Arial" w:cs="Arial" w:eastAsia="Arial" w:hAnsi="Arial"/>
                <w:sz w:val="11"/>
                <w:szCs w:val="11"/>
                <w:b w:val="1"/>
                <w:bCs w:val="1"/>
                <w:color w:val="auto"/>
              </w:rPr>
              <w:t>September 30,</w:t>
            </w:r>
          </w:p>
        </w:tc>
        <w:tc>
          <w:tcPr>
            <w:tcW w:w="160" w:type="dxa"/>
            <w:vAlign w:val="bottom"/>
          </w:tcPr>
          <w:p>
            <w:pPr>
              <w:spacing w:after="0"/>
              <w:rPr>
                <w:sz w:val="21"/>
                <w:szCs w:val="21"/>
                <w:color w:val="auto"/>
              </w:rPr>
            </w:pPr>
          </w:p>
        </w:tc>
        <w:tc>
          <w:tcPr>
            <w:tcW w:w="1480" w:type="dxa"/>
            <w:vAlign w:val="bottom"/>
            <w:gridSpan w:val="5"/>
          </w:tcPr>
          <w:p>
            <w:pPr>
              <w:ind w:left="400"/>
              <w:spacing w:after="0"/>
              <w:rPr>
                <w:sz w:val="20"/>
                <w:szCs w:val="20"/>
                <w:color w:val="auto"/>
              </w:rPr>
            </w:pPr>
            <w:r>
              <w:rPr>
                <w:rFonts w:ascii="Arial" w:cs="Arial" w:eastAsia="Arial" w:hAnsi="Arial"/>
                <w:sz w:val="11"/>
                <w:szCs w:val="11"/>
                <w:b w:val="1"/>
                <w:bCs w:val="1"/>
                <w:color w:val="auto"/>
              </w:rPr>
              <w:t>June 30,</w:t>
            </w:r>
          </w:p>
        </w:tc>
        <w:tc>
          <w:tcPr>
            <w:tcW w:w="140" w:type="dxa"/>
            <w:vAlign w:val="bottom"/>
          </w:tcPr>
          <w:p>
            <w:pPr>
              <w:spacing w:after="0"/>
              <w:rPr>
                <w:sz w:val="21"/>
                <w:szCs w:val="21"/>
                <w:color w:val="auto"/>
              </w:rPr>
            </w:pPr>
          </w:p>
        </w:tc>
        <w:tc>
          <w:tcPr>
            <w:tcW w:w="1400" w:type="dxa"/>
            <w:vAlign w:val="bottom"/>
            <w:gridSpan w:val="5"/>
          </w:tcPr>
          <w:p>
            <w:pPr>
              <w:ind w:left="340"/>
              <w:spacing w:after="0"/>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21"/>
                <w:szCs w:val="21"/>
                <w:color w:val="auto"/>
              </w:rPr>
            </w:pPr>
          </w:p>
        </w:tc>
        <w:tc>
          <w:tcPr>
            <w:tcW w:w="1280" w:type="dxa"/>
            <w:vAlign w:val="bottom"/>
            <w:gridSpan w:val="4"/>
          </w:tcPr>
          <w:p>
            <w:pPr>
              <w:jc w:val="right"/>
              <w:ind w:right="269"/>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ind w:right="171"/>
              <w:spacing w:after="0"/>
              <w:rPr>
                <w:sz w:val="20"/>
                <w:szCs w:val="20"/>
                <w:color w:val="auto"/>
              </w:rPr>
            </w:pPr>
            <w:r>
              <w:rPr>
                <w:rFonts w:ascii="Arial" w:cs="Arial" w:eastAsia="Arial" w:hAnsi="Arial"/>
                <w:sz w:val="11"/>
                <w:szCs w:val="11"/>
                <w:b w:val="1"/>
                <w:bCs w:val="1"/>
                <w:color w:val="auto"/>
              </w:rPr>
              <w:t>2017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ind w:right="169"/>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ind w:right="151"/>
              <w:spacing w:after="0"/>
              <w:rPr>
                <w:sz w:val="20"/>
                <w:szCs w:val="20"/>
                <w:color w:val="auto"/>
              </w:rPr>
            </w:pPr>
            <w:r>
              <w:rPr>
                <w:rFonts w:ascii="Arial" w:cs="Arial" w:eastAsia="Arial" w:hAnsi="Arial"/>
                <w:sz w:val="11"/>
                <w:szCs w:val="11"/>
                <w:b w:val="1"/>
                <w:bCs w:val="1"/>
                <w:color w:val="auto"/>
              </w:rPr>
              <w:t>2017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151"/>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51"/>
              <w:spacing w:after="0"/>
              <w:rPr>
                <w:sz w:val="20"/>
                <w:szCs w:val="20"/>
                <w:color w:val="auto"/>
              </w:rPr>
            </w:pPr>
            <w:r>
              <w:rPr>
                <w:rFonts w:ascii="Arial" w:cs="Arial" w:eastAsia="Arial" w:hAnsi="Arial"/>
                <w:sz w:val="11"/>
                <w:szCs w:val="11"/>
                <w:b w:val="1"/>
                <w:bCs w:val="1"/>
                <w:color w:val="auto"/>
              </w:rPr>
              <w:t>2017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ind w:right="129"/>
              <w:spacing w:after="0"/>
              <w:rPr>
                <w:sz w:val="20"/>
                <w:szCs w:val="20"/>
                <w:color w:val="auto"/>
              </w:rPr>
            </w:pPr>
            <w:r>
              <w:rPr>
                <w:rFonts w:ascii="Arial" w:cs="Arial" w:eastAsia="Arial" w:hAnsi="Arial"/>
                <w:sz w:val="11"/>
                <w:szCs w:val="11"/>
                <w:b w:val="1"/>
                <w:bCs w:val="1"/>
                <w:color w:val="auto"/>
              </w:rPr>
              <w:t>2016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51"/>
              <w:spacing w:after="0"/>
              <w:rPr>
                <w:sz w:val="20"/>
                <w:szCs w:val="20"/>
                <w:color w:val="auto"/>
              </w:rPr>
            </w:pPr>
            <w:r>
              <w:rPr>
                <w:rFonts w:ascii="Arial" w:cs="Arial" w:eastAsia="Arial" w:hAnsi="Arial"/>
                <w:sz w:val="11"/>
                <w:szCs w:val="11"/>
                <w:b w:val="1"/>
                <w:bCs w:val="1"/>
                <w:color w:val="auto"/>
              </w:rPr>
              <w:t>2016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129"/>
              <w:spacing w:after="0"/>
              <w:rPr>
                <w:sz w:val="20"/>
                <w:szCs w:val="20"/>
                <w:color w:val="auto"/>
              </w:rPr>
            </w:pPr>
            <w:r>
              <w:rPr>
                <w:rFonts w:ascii="Arial" w:cs="Arial" w:eastAsia="Arial" w:hAnsi="Arial"/>
                <w:sz w:val="11"/>
                <w:szCs w:val="11"/>
                <w:b w:val="1"/>
                <w:bCs w:val="1"/>
                <w:color w:val="auto"/>
              </w:rPr>
              <w:t>2015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(2,981)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2,773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1,660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2,866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1,953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6,266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(Income) loss from discontinued operations, net of tax</w:t>
            </w:r>
          </w:p>
        </w:tc>
        <w:tc>
          <w:tcPr>
            <w:tcW w:w="140" w:type="dxa"/>
            <w:vAlign w:val="bottom"/>
          </w:tcPr>
          <w:p>
            <w:pPr>
              <w:spacing w:after="0"/>
              <w:rPr>
                <w:sz w:val="22"/>
                <w:szCs w:val="22"/>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3,096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(benefit)(a)</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2,316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(3,139)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Gain on extinguishment of debt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Automotive interest expense</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Automotive interest income</w:t>
            </w:r>
          </w:p>
        </w:tc>
        <w:tc>
          <w:tcPr>
            <w:tcW w:w="140" w:type="dxa"/>
            <w:vAlign w:val="bottom"/>
          </w:tcPr>
          <w:p>
            <w:pPr>
              <w:spacing w:after="0"/>
              <w:rPr>
                <w:sz w:val="22"/>
                <w:szCs w:val="22"/>
                <w:color w:val="auto"/>
              </w:rPr>
            </w:pPr>
          </w:p>
        </w:tc>
        <w:tc>
          <w:tcPr>
            <w:tcW w:w="560" w:type="dxa"/>
            <w:vAlign w:val="bottom"/>
          </w:tcPr>
          <w:p>
            <w:pPr>
              <w:jc w:val="right"/>
              <w:ind w:right="11"/>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11"/>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200"/>
              <w:spacing w:after="0"/>
              <w:rPr>
                <w:sz w:val="20"/>
                <w:szCs w:val="20"/>
                <w:color w:val="auto"/>
              </w:rPr>
            </w:pPr>
            <w:r>
              <w:rPr>
                <w:rFonts w:ascii="Arial" w:cs="Arial" w:eastAsia="Arial" w:hAnsi="Arial"/>
                <w:sz w:val="14"/>
                <w:szCs w:val="14"/>
                <w:color w:val="auto"/>
              </w:rPr>
              <w:t>GMIO restructuring(a)</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Venezuela deconsolidation(a)</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200"/>
              <w:spacing w:after="0"/>
              <w:rPr>
                <w:sz w:val="20"/>
                <w:szCs w:val="20"/>
                <w:color w:val="auto"/>
              </w:rPr>
            </w:pPr>
            <w:r>
              <w:rPr>
                <w:rFonts w:ascii="Arial" w:cs="Arial" w:eastAsia="Arial" w:hAnsi="Arial"/>
                <w:sz w:val="14"/>
                <w:szCs w:val="14"/>
                <w:color w:val="auto"/>
              </w:rPr>
              <w:t>Ignition switch recall and related legal matters(a)</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Total adjustments</w:t>
            </w:r>
          </w:p>
        </w:tc>
        <w:tc>
          <w:tcPr>
            <w:tcW w:w="14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540" w:type="dxa"/>
            <w:vAlign w:val="bottom"/>
          </w:tcPr>
          <w:p>
            <w:pPr>
              <w:jc w:val="right"/>
              <w:ind w:right="9"/>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color w:val="auto"/>
              </w:rPr>
              <w:t>654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EBIT-adjusted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2,523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3,682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3,846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3,554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2,598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3,019</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jc w:val="right"/>
              <w:ind w:right="4448"/>
              <w:spacing w:after="0"/>
              <w:rPr>
                <w:sz w:val="20"/>
                <w:szCs w:val="20"/>
                <w:color w:val="auto"/>
              </w:rPr>
            </w:pPr>
            <w:r>
              <w:rPr>
                <w:rFonts w:ascii="Arial" w:cs="Arial" w:eastAsia="Arial" w:hAnsi="Arial"/>
                <w:sz w:val="14"/>
                <w:szCs w:val="14"/>
                <w:color w:val="auto"/>
                <w:w w:val="99"/>
              </w:rPr>
              <w:t>________</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Refer to the reconciliation of segment profit (loss) to Net income (loss) attributable to stockholders under U.S. GAAP within the previous section for adjustment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554"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diluted earnings (loss) per common share under U.S. GAAP to EPS-diluted-adjusted (dollars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5"/>
          </w:tcPr>
          <w:p>
            <w:pPr>
              <w:ind w:left="280"/>
              <w:spacing w:after="0"/>
              <w:rPr>
                <w:sz w:val="20"/>
                <w:szCs w:val="20"/>
                <w:color w:val="auto"/>
              </w:rPr>
            </w:pPr>
            <w:r>
              <w:rPr>
                <w:rFonts w:ascii="Arial" w:cs="Arial" w:eastAsia="Arial" w:hAnsi="Arial"/>
                <w:sz w:val="11"/>
                <w:szCs w:val="11"/>
                <w:b w:val="1"/>
                <w:bCs w:val="1"/>
                <w:color w:val="auto"/>
              </w:rPr>
              <w:t>Three Months Ended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5"/>
          </w:tcPr>
          <w:p>
            <w:pPr>
              <w:ind w:left="300"/>
              <w:spacing w:after="0"/>
              <w:rPr>
                <w:sz w:val="20"/>
                <w:szCs w:val="20"/>
                <w:color w:val="auto"/>
              </w:rPr>
            </w:pPr>
            <w:r>
              <w:rPr>
                <w:rFonts w:ascii="Arial" w:cs="Arial" w:eastAsia="Arial" w:hAnsi="Arial"/>
                <w:sz w:val="11"/>
                <w:szCs w:val="11"/>
                <w:b w:val="1"/>
                <w:bCs w:val="1"/>
                <w:color w:val="auto"/>
              </w:rPr>
              <w:t>Nine Months Ended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5"/>
          </w:tcPr>
          <w:p>
            <w:pPr>
              <w:ind w:left="300"/>
              <w:spacing w:after="0"/>
              <w:rPr>
                <w:sz w:val="20"/>
                <w:szCs w:val="20"/>
                <w:color w:val="auto"/>
              </w:rPr>
            </w:pPr>
            <w:r>
              <w:rPr>
                <w:rFonts w:ascii="Arial" w:cs="Arial" w:eastAsia="Arial" w:hAnsi="Arial"/>
                <w:sz w:val="11"/>
                <w:szCs w:val="11"/>
                <w:b w:val="1"/>
                <w:bCs w:val="1"/>
                <w:color w:val="auto"/>
              </w:rPr>
              <w:t>September 30, 2017</w:t>
            </w:r>
          </w:p>
        </w:tc>
        <w:tc>
          <w:tcPr>
            <w:tcW w:w="160" w:type="dxa"/>
            <w:vAlign w:val="bottom"/>
          </w:tcPr>
          <w:p>
            <w:pPr>
              <w:spacing w:after="0"/>
              <w:rPr>
                <w:sz w:val="21"/>
                <w:szCs w:val="21"/>
                <w:color w:val="auto"/>
              </w:rPr>
            </w:pPr>
          </w:p>
        </w:tc>
        <w:tc>
          <w:tcPr>
            <w:tcW w:w="1800" w:type="dxa"/>
            <w:vAlign w:val="bottom"/>
            <w:gridSpan w:val="5"/>
          </w:tcPr>
          <w:p>
            <w:pPr>
              <w:ind w:left="280"/>
              <w:spacing w:after="0"/>
              <w:rPr>
                <w:sz w:val="20"/>
                <w:szCs w:val="20"/>
                <w:color w:val="auto"/>
              </w:rPr>
            </w:pPr>
            <w:r>
              <w:rPr>
                <w:rFonts w:ascii="Arial" w:cs="Arial" w:eastAsia="Arial" w:hAnsi="Arial"/>
                <w:sz w:val="11"/>
                <w:szCs w:val="11"/>
                <w:b w:val="1"/>
                <w:bCs w:val="1"/>
                <w:color w:val="auto"/>
              </w:rPr>
              <w:t>September 30, 2016</w:t>
            </w:r>
          </w:p>
        </w:tc>
        <w:tc>
          <w:tcPr>
            <w:tcW w:w="140" w:type="dxa"/>
            <w:vAlign w:val="bottom"/>
          </w:tcPr>
          <w:p>
            <w:pPr>
              <w:spacing w:after="0"/>
              <w:rPr>
                <w:sz w:val="21"/>
                <w:szCs w:val="21"/>
                <w:color w:val="auto"/>
              </w:rPr>
            </w:pPr>
          </w:p>
        </w:tc>
        <w:tc>
          <w:tcPr>
            <w:tcW w:w="1740" w:type="dxa"/>
            <w:vAlign w:val="bottom"/>
            <w:gridSpan w:val="5"/>
          </w:tcPr>
          <w:p>
            <w:pPr>
              <w:ind w:left="260"/>
              <w:spacing w:after="0"/>
              <w:rPr>
                <w:sz w:val="20"/>
                <w:szCs w:val="20"/>
                <w:color w:val="auto"/>
              </w:rPr>
            </w:pPr>
            <w:r>
              <w:rPr>
                <w:rFonts w:ascii="Arial" w:cs="Arial" w:eastAsia="Arial" w:hAnsi="Arial"/>
                <w:sz w:val="11"/>
                <w:szCs w:val="11"/>
                <w:b w:val="1"/>
                <w:bCs w:val="1"/>
                <w:color w:val="auto"/>
              </w:rPr>
              <w:t>September 30, 2017</w:t>
            </w:r>
          </w:p>
        </w:tc>
        <w:tc>
          <w:tcPr>
            <w:tcW w:w="160" w:type="dxa"/>
            <w:vAlign w:val="bottom"/>
          </w:tcPr>
          <w:p>
            <w:pPr>
              <w:spacing w:after="0"/>
              <w:rPr>
                <w:sz w:val="21"/>
                <w:szCs w:val="21"/>
                <w:color w:val="auto"/>
              </w:rPr>
            </w:pPr>
          </w:p>
        </w:tc>
        <w:tc>
          <w:tcPr>
            <w:tcW w:w="1620" w:type="dxa"/>
            <w:vAlign w:val="bottom"/>
            <w:gridSpan w:val="4"/>
          </w:tcPr>
          <w:p>
            <w:pPr>
              <w:jc w:val="right"/>
              <w:ind w:right="291"/>
              <w:spacing w:after="0"/>
              <w:rPr>
                <w:sz w:val="20"/>
                <w:szCs w:val="20"/>
                <w:color w:val="auto"/>
              </w:rPr>
            </w:pPr>
            <w:r>
              <w:rPr>
                <w:rFonts w:ascii="Arial" w:cs="Arial" w:eastAsia="Arial" w:hAnsi="Arial"/>
                <w:sz w:val="11"/>
                <w:szCs w:val="11"/>
                <w:b w:val="1"/>
                <w:bCs w:val="1"/>
                <w:color w:val="auto"/>
              </w:rPr>
              <w:t>September 30, 2016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21"/>
                <w:szCs w:val="2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Per Share</w:t>
            </w:r>
          </w:p>
        </w:tc>
        <w:tc>
          <w:tcPr>
            <w:tcW w:w="160" w:type="dxa"/>
            <w:vAlign w:val="bottom"/>
          </w:tcPr>
          <w:p>
            <w:pPr>
              <w:spacing w:after="0"/>
              <w:rPr>
                <w:sz w:val="21"/>
                <w:szCs w:val="2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Per Share</w:t>
            </w:r>
          </w:p>
        </w:tc>
        <w:tc>
          <w:tcPr>
            <w:tcW w:w="140" w:type="dxa"/>
            <w:vAlign w:val="bottom"/>
          </w:tcPr>
          <w:p>
            <w:pPr>
              <w:spacing w:after="0"/>
              <w:rPr>
                <w:sz w:val="21"/>
                <w:szCs w:val="2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21"/>
                <w:szCs w:val="21"/>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Per Share</w:t>
            </w:r>
          </w:p>
        </w:tc>
        <w:tc>
          <w:tcPr>
            <w:tcW w:w="160" w:type="dxa"/>
            <w:vAlign w:val="bottom"/>
          </w:tcPr>
          <w:p>
            <w:pPr>
              <w:spacing w:after="0"/>
              <w:rPr>
                <w:sz w:val="21"/>
                <w:szCs w:val="2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21"/>
                <w:szCs w:val="21"/>
                <w:color w:val="auto"/>
              </w:rPr>
            </w:pPr>
          </w:p>
        </w:tc>
        <w:tc>
          <w:tcPr>
            <w:tcW w:w="740" w:type="dxa"/>
            <w:vAlign w:val="bottom"/>
          </w:tcPr>
          <w:p>
            <w:pPr>
              <w:jc w:val="right"/>
              <w:ind w:right="111"/>
              <w:spacing w:after="0"/>
              <w:rPr>
                <w:sz w:val="20"/>
                <w:szCs w:val="20"/>
                <w:color w:val="auto"/>
              </w:rPr>
            </w:pPr>
            <w:r>
              <w:rPr>
                <w:rFonts w:ascii="Arial" w:cs="Arial" w:eastAsia="Arial" w:hAnsi="Arial"/>
                <w:sz w:val="11"/>
                <w:szCs w:val="11"/>
                <w:b w:val="1"/>
                <w:bCs w:val="1"/>
                <w:color w:val="auto"/>
              </w:rPr>
              <w:t>Per Share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 earnings (loss)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(2,983)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2,773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7,591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Diluted (earnings) loss per common share – discontinued</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60" w:type="dxa"/>
            <w:vAlign w:val="bottom"/>
          </w:tcPr>
          <w:p>
            <w:pPr>
              <w:ind w:left="200"/>
              <w:spacing w:after="0"/>
              <w:rPr>
                <w:sz w:val="20"/>
                <w:szCs w:val="20"/>
                <w:color w:val="auto"/>
              </w:rPr>
            </w:pPr>
            <w:r>
              <w:rPr>
                <w:rFonts w:ascii="Arial" w:cs="Arial" w:eastAsia="Arial" w:hAnsi="Arial"/>
                <w:sz w:val="14"/>
                <w:szCs w:val="14"/>
                <w:color w:val="auto"/>
              </w:rPr>
              <w:t>operations</w:t>
            </w:r>
          </w:p>
        </w:tc>
        <w:tc>
          <w:tcPr>
            <w:tcW w:w="160" w:type="dxa"/>
            <w:vAlign w:val="bottom"/>
          </w:tcPr>
          <w:p>
            <w:pPr>
              <w:spacing w:after="0"/>
              <w:rPr>
                <w:sz w:val="15"/>
                <w:szCs w:val="15"/>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3,096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2.11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color w:val="auto"/>
              </w:rPr>
              <w:t>3,935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ind w:right="53"/>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Adjustments(a)</w:t>
            </w:r>
          </w:p>
        </w:tc>
        <w:tc>
          <w:tcPr>
            <w:tcW w:w="1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0.43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Tax effect on adjustments(b)</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31"/>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 adjustment(c)</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1,828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1,828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Arial" w:cs="Arial" w:eastAsia="Arial" w:hAnsi="Arial"/>
                <w:sz w:val="14"/>
                <w:szCs w:val="14"/>
                <w:color w:val="auto"/>
              </w:rPr>
              <w:t>EPS-diluted-adjusted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1,941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2,699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7,494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7,512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jc w:val="right"/>
              <w:ind w:right="3068"/>
              <w:spacing w:after="0"/>
              <w:rPr>
                <w:sz w:val="20"/>
                <w:szCs w:val="20"/>
                <w:color w:val="auto"/>
              </w:rPr>
            </w:pPr>
            <w:r>
              <w:rPr>
                <w:rFonts w:ascii="Arial" w:cs="Arial" w:eastAsia="Arial" w:hAnsi="Arial"/>
                <w:sz w:val="14"/>
                <w:szCs w:val="14"/>
                <w:color w:val="auto"/>
                <w:w w:val="99"/>
              </w:rPr>
              <w:t>________</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 to the reconciliation of segment profit (loss) to Net income (loss) attributable to stockholders under U.S. GAAP within the previous section for adjustment details.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in which the adjustment relates.</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adjustment represents the tax expense related to the establishment of a valuation allowance on deferred tax assets that will no longer be realizable as a result of the sale of the Opel/Vauxhall Business, partially offset by tax benefits related to tax settlements.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under U.S. GAAP to ETR-adjusted (dollars in millions):</w:t>
      </w:r>
    </w:p>
    <w:p>
      <w:pPr>
        <w:spacing w:after="0" w:line="245" w:lineRule="exact"/>
        <w:rPr>
          <w:sz w:val="20"/>
          <w:szCs w:val="20"/>
          <w:color w:val="auto"/>
        </w:rPr>
      </w:pPr>
    </w:p>
    <w:tbl>
      <w:tblPr>
        <w:tblLayout w:type="fixed"/>
        <w:tblInd w:w="1960" w:type="dxa"/>
        <w:tblCellMar>
          <w:top w:w="0" w:type="dxa"/>
          <w:left w:w="0" w:type="dxa"/>
          <w:bottom w:w="0" w:type="dxa"/>
          <w:right w:w="0" w:type="dxa"/>
        </w:tblCellMar>
      </w:tblPr>
      <w:tr>
        <w:trPr>
          <w:trHeight w:val="142"/>
        </w:trPr>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ind w:left="220"/>
              <w:spacing w:after="0"/>
              <w:rPr>
                <w:sz w:val="20"/>
                <w:szCs w:val="20"/>
                <w:color w:val="auto"/>
              </w:rPr>
            </w:pPr>
            <w:r>
              <w:rPr>
                <w:rFonts w:ascii="Arial" w:cs="Arial" w:eastAsia="Arial" w:hAnsi="Arial"/>
                <w:sz w:val="11"/>
                <w:szCs w:val="11"/>
                <w:b w:val="1"/>
                <w:bCs w:val="1"/>
                <w:color w:val="auto"/>
              </w:rPr>
              <w:t>Three Months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3"/>
          </w:tcPr>
          <w:p>
            <w:pPr>
              <w:ind w:left="280"/>
              <w:spacing w:after="0"/>
              <w:rPr>
                <w:sz w:val="20"/>
                <w:szCs w:val="20"/>
                <w:color w:val="auto"/>
              </w:rPr>
            </w:pPr>
            <w:r>
              <w:rPr>
                <w:rFonts w:ascii="Arial" w:cs="Arial" w:eastAsia="Arial" w:hAnsi="Arial"/>
                <w:sz w:val="11"/>
                <w:szCs w:val="11"/>
                <w:b w:val="1"/>
                <w:bCs w:val="1"/>
                <w:color w:val="auto"/>
              </w:rPr>
              <w:t>Nine Months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2"/>
        </w:trPr>
        <w:tc>
          <w:tcPr>
            <w:tcW w:w="6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6"/>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6"/>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5"/>
          </w:tcPr>
          <w:p>
            <w:pPr>
              <w:spacing w:after="0" w:line="20" w:lineRule="exact"/>
              <w:rPr>
                <w:sz w:val="1"/>
                <w:szCs w:val="1"/>
                <w:color w:val="auto"/>
              </w:rPr>
            </w:pPr>
          </w:p>
        </w:tc>
      </w:tr>
      <w:tr>
        <w:trPr>
          <w:trHeight w:val="242"/>
        </w:trPr>
        <w:tc>
          <w:tcPr>
            <w:tcW w:w="600" w:type="dxa"/>
            <w:vAlign w:val="bottom"/>
          </w:tcPr>
          <w:p>
            <w:pPr>
              <w:spacing w:after="0"/>
              <w:rPr>
                <w:sz w:val="21"/>
                <w:szCs w:val="21"/>
                <w:color w:val="auto"/>
              </w:rPr>
            </w:pPr>
          </w:p>
        </w:tc>
        <w:tc>
          <w:tcPr>
            <w:tcW w:w="1840" w:type="dxa"/>
            <w:vAlign w:val="bottom"/>
            <w:gridSpan w:val="6"/>
          </w:tcPr>
          <w:p>
            <w:pPr>
              <w:ind w:left="80"/>
              <w:spacing w:after="0"/>
              <w:rPr>
                <w:sz w:val="20"/>
                <w:szCs w:val="20"/>
                <w:color w:val="auto"/>
              </w:rPr>
            </w:pPr>
            <w:r>
              <w:rPr>
                <w:rFonts w:ascii="Arial" w:cs="Arial" w:eastAsia="Arial" w:hAnsi="Arial"/>
                <w:sz w:val="11"/>
                <w:szCs w:val="11"/>
                <w:b w:val="1"/>
                <w:bCs w:val="1"/>
                <w:color w:val="auto"/>
              </w:rPr>
              <w:t>September 30, 2017</w:t>
            </w:r>
          </w:p>
        </w:tc>
        <w:tc>
          <w:tcPr>
            <w:tcW w:w="580" w:type="dxa"/>
            <w:vAlign w:val="bottom"/>
          </w:tcPr>
          <w:p>
            <w:pPr>
              <w:spacing w:after="0"/>
              <w:rPr>
                <w:sz w:val="21"/>
                <w:szCs w:val="21"/>
                <w:color w:val="auto"/>
              </w:rPr>
            </w:pPr>
          </w:p>
        </w:tc>
        <w:tc>
          <w:tcPr>
            <w:tcW w:w="1800" w:type="dxa"/>
            <w:vAlign w:val="bottom"/>
            <w:gridSpan w:val="6"/>
          </w:tcPr>
          <w:p>
            <w:pPr>
              <w:ind w:left="60"/>
              <w:spacing w:after="0"/>
              <w:rPr>
                <w:sz w:val="20"/>
                <w:szCs w:val="20"/>
                <w:color w:val="auto"/>
              </w:rPr>
            </w:pPr>
            <w:r>
              <w:rPr>
                <w:rFonts w:ascii="Arial" w:cs="Arial" w:eastAsia="Arial" w:hAnsi="Arial"/>
                <w:sz w:val="11"/>
                <w:szCs w:val="11"/>
                <w:b w:val="1"/>
                <w:bCs w:val="1"/>
                <w:color w:val="auto"/>
              </w:rPr>
              <w:t>September 30, 2016</w:t>
            </w:r>
          </w:p>
        </w:tc>
        <w:tc>
          <w:tcPr>
            <w:tcW w:w="580" w:type="dxa"/>
            <w:vAlign w:val="bottom"/>
          </w:tcPr>
          <w:p>
            <w:pPr>
              <w:spacing w:after="0"/>
              <w:rPr>
                <w:sz w:val="21"/>
                <w:szCs w:val="21"/>
                <w:color w:val="auto"/>
              </w:rPr>
            </w:pPr>
          </w:p>
        </w:tc>
        <w:tc>
          <w:tcPr>
            <w:tcW w:w="1800" w:type="dxa"/>
            <w:vAlign w:val="bottom"/>
            <w:gridSpan w:val="6"/>
          </w:tcPr>
          <w:p>
            <w:pPr>
              <w:ind w:left="60"/>
              <w:spacing w:after="0"/>
              <w:rPr>
                <w:sz w:val="20"/>
                <w:szCs w:val="20"/>
                <w:color w:val="auto"/>
              </w:rPr>
            </w:pPr>
            <w:r>
              <w:rPr>
                <w:rFonts w:ascii="Arial" w:cs="Arial" w:eastAsia="Arial" w:hAnsi="Arial"/>
                <w:sz w:val="11"/>
                <w:szCs w:val="11"/>
                <w:b w:val="1"/>
                <w:bCs w:val="1"/>
                <w:color w:val="auto"/>
              </w:rPr>
              <w:t>September 30, 2017</w:t>
            </w:r>
          </w:p>
        </w:tc>
        <w:tc>
          <w:tcPr>
            <w:tcW w:w="580" w:type="dxa"/>
            <w:vAlign w:val="bottom"/>
          </w:tcPr>
          <w:p>
            <w:pPr>
              <w:spacing w:after="0"/>
              <w:rPr>
                <w:sz w:val="21"/>
                <w:szCs w:val="21"/>
                <w:color w:val="auto"/>
              </w:rPr>
            </w:pPr>
          </w:p>
        </w:tc>
        <w:tc>
          <w:tcPr>
            <w:tcW w:w="1680" w:type="dxa"/>
            <w:vAlign w:val="bottom"/>
            <w:gridSpan w:val="5"/>
          </w:tcPr>
          <w:p>
            <w:pPr>
              <w:ind w:left="60"/>
              <w:spacing w:after="0"/>
              <w:rPr>
                <w:sz w:val="20"/>
                <w:szCs w:val="20"/>
                <w:color w:val="auto"/>
              </w:rPr>
            </w:pPr>
            <w:r>
              <w:rPr>
                <w:rFonts w:ascii="Arial" w:cs="Arial" w:eastAsia="Arial" w:hAnsi="Arial"/>
                <w:sz w:val="11"/>
                <w:szCs w:val="11"/>
                <w:b w:val="1"/>
                <w:bCs w:val="1"/>
                <w:color w:val="auto"/>
              </w:rPr>
              <w:t>September 30, 2016</w:t>
            </w:r>
          </w:p>
        </w:tc>
      </w:tr>
      <w:tr>
        <w:trPr>
          <w:trHeight w:val="22"/>
        </w:trPr>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27"/>
        </w:trPr>
        <w:tc>
          <w:tcPr>
            <w:tcW w:w="600" w:type="dxa"/>
            <w:vAlign w:val="bottom"/>
          </w:tcPr>
          <w:p>
            <w:pPr>
              <w:jc w:val="center"/>
              <w:ind w:left="46"/>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left="26"/>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left="26"/>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left="26"/>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2"/>
        </w:trPr>
        <w:tc>
          <w:tcPr>
            <w:tcW w:w="60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95"/>
              </w:rPr>
              <w:t>before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rPr>
              <w:t>before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rPr>
              <w:t>before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left="6"/>
              <w:spacing w:after="0" w:line="122" w:lineRule="exact"/>
              <w:rPr>
                <w:sz w:val="20"/>
                <w:szCs w:val="20"/>
                <w:color w:val="auto"/>
              </w:rPr>
            </w:pPr>
            <w:r>
              <w:rPr>
                <w:rFonts w:ascii="Arial" w:cs="Arial" w:eastAsia="Arial" w:hAnsi="Arial"/>
                <w:sz w:val="11"/>
                <w:szCs w:val="11"/>
                <w:b w:val="1"/>
                <w:bCs w:val="1"/>
                <w:color w:val="auto"/>
                <w:w w:val="95"/>
              </w:rPr>
              <w:t>before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600" w:type="dxa"/>
            <w:vAlign w:val="bottom"/>
          </w:tcPr>
          <w:p>
            <w:pPr>
              <w:jc w:val="center"/>
              <w:ind w:left="46"/>
              <w:spacing w:after="0" w:line="122" w:lineRule="exact"/>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Income tax</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Effective tax</w:t>
            </w:r>
          </w:p>
        </w:tc>
        <w:tc>
          <w:tcPr>
            <w:tcW w:w="58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Income tax</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Effective tax</w:t>
            </w:r>
          </w:p>
        </w:tc>
        <w:tc>
          <w:tcPr>
            <w:tcW w:w="58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Income tax</w:t>
            </w: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Effective tax</w:t>
            </w:r>
          </w:p>
        </w:tc>
        <w:tc>
          <w:tcPr>
            <w:tcW w:w="580" w:type="dxa"/>
            <w:vAlign w:val="bottom"/>
          </w:tcPr>
          <w:p>
            <w:pPr>
              <w:jc w:val="center"/>
              <w:ind w:left="26"/>
              <w:spacing w:after="0" w:line="122" w:lineRule="exact"/>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rPr>
              <w:t>Income tax</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Effective tax</w:t>
            </w:r>
          </w:p>
        </w:tc>
      </w:tr>
      <w:tr>
        <w:trPr>
          <w:trHeight w:val="142"/>
        </w:trPr>
        <w:tc>
          <w:tcPr>
            <w:tcW w:w="600" w:type="dxa"/>
            <w:vAlign w:val="bottom"/>
          </w:tcPr>
          <w:p>
            <w:pPr>
              <w:jc w:val="center"/>
              <w:ind w:left="26"/>
              <w:spacing w:after="0"/>
              <w:rPr>
                <w:sz w:val="20"/>
                <w:szCs w:val="20"/>
                <w:color w:val="auto"/>
              </w:rPr>
            </w:pPr>
            <w:r>
              <w:rPr>
                <w:rFonts w:ascii="Arial" w:cs="Arial" w:eastAsia="Arial" w:hAnsi="Arial"/>
                <w:sz w:val="11"/>
                <w:szCs w:val="11"/>
                <w:b w:val="1"/>
                <w:bCs w:val="1"/>
                <w:color w:val="auto"/>
                <w:w w:val="99"/>
              </w:rPr>
              <w:t>taxes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expense</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rate</w:t>
            </w:r>
          </w:p>
        </w:tc>
        <w:tc>
          <w:tcPr>
            <w:tcW w:w="580" w:type="dxa"/>
            <w:vAlign w:val="bottom"/>
          </w:tcPr>
          <w:p>
            <w:pPr>
              <w:jc w:val="center"/>
              <w:ind w:left="26"/>
              <w:spacing w:after="0"/>
              <w:rPr>
                <w:sz w:val="20"/>
                <w:szCs w:val="20"/>
                <w:color w:val="auto"/>
              </w:rPr>
            </w:pPr>
            <w:r>
              <w:rPr>
                <w:rFonts w:ascii="Arial" w:cs="Arial" w:eastAsia="Arial" w:hAnsi="Arial"/>
                <w:sz w:val="11"/>
                <w:szCs w:val="11"/>
                <w:b w:val="1"/>
                <w:bCs w:val="1"/>
                <w:color w:val="auto"/>
                <w:w w:val="92"/>
              </w:rPr>
              <w:t>taxes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expense</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rate</w:t>
            </w:r>
          </w:p>
        </w:tc>
        <w:tc>
          <w:tcPr>
            <w:tcW w:w="580" w:type="dxa"/>
            <w:vAlign w:val="bottom"/>
          </w:tcPr>
          <w:p>
            <w:pPr>
              <w:jc w:val="center"/>
              <w:ind w:left="6"/>
              <w:spacing w:after="0"/>
              <w:rPr>
                <w:sz w:val="20"/>
                <w:szCs w:val="20"/>
                <w:color w:val="auto"/>
              </w:rPr>
            </w:pPr>
            <w:r>
              <w:rPr>
                <w:rFonts w:ascii="Arial" w:cs="Arial" w:eastAsia="Arial" w:hAnsi="Arial"/>
                <w:sz w:val="11"/>
                <w:szCs w:val="11"/>
                <w:b w:val="1"/>
                <w:bCs w:val="1"/>
                <w:color w:val="auto"/>
                <w:w w:val="99"/>
              </w:rPr>
              <w:t>taxes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expense</w:t>
            </w: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rate</w:t>
            </w:r>
          </w:p>
        </w:tc>
        <w:tc>
          <w:tcPr>
            <w:tcW w:w="580" w:type="dxa"/>
            <w:vAlign w:val="bottom"/>
          </w:tcPr>
          <w:p>
            <w:pPr>
              <w:jc w:val="center"/>
              <w:ind w:left="6"/>
              <w:spacing w:after="0"/>
              <w:rPr>
                <w:sz w:val="20"/>
                <w:szCs w:val="20"/>
                <w:color w:val="auto"/>
              </w:rPr>
            </w:pPr>
            <w:r>
              <w:rPr>
                <w:rFonts w:ascii="Arial" w:cs="Arial" w:eastAsia="Arial" w:hAnsi="Arial"/>
                <w:sz w:val="11"/>
                <w:szCs w:val="11"/>
                <w:b w:val="1"/>
                <w:bCs w:val="1"/>
                <w:color w:val="auto"/>
                <w:w w:val="99"/>
              </w:rPr>
              <w:t>taxes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expense</w:t>
            </w:r>
          </w:p>
        </w:tc>
        <w:tc>
          <w:tcPr>
            <w:tcW w:w="720" w:type="dxa"/>
            <w:vAlign w:val="bottom"/>
          </w:tcPr>
          <w:p>
            <w:pPr>
              <w:jc w:val="center"/>
              <w:spacing w:after="0"/>
              <w:rPr>
                <w:sz w:val="20"/>
                <w:szCs w:val="20"/>
                <w:color w:val="auto"/>
              </w:rPr>
            </w:pPr>
            <w:r>
              <w:rPr>
                <w:rFonts w:ascii="Arial" w:cs="Arial" w:eastAsia="Arial" w:hAnsi="Arial"/>
                <w:sz w:val="11"/>
                <w:szCs w:val="11"/>
                <w:b w:val="1"/>
                <w:bCs w:val="1"/>
                <w:color w:val="auto"/>
                <w:w w:val="98"/>
              </w:rPr>
              <w:t>rate</w:t>
            </w:r>
          </w:p>
        </w:tc>
      </w:tr>
      <w:tr>
        <w:trPr>
          <w:trHeight w:val="22"/>
        </w:trPr>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60" w:type="dxa"/>
            <w:vAlign w:val="bottom"/>
          </w:tcPr>
          <w:p>
            <w:pPr>
              <w:ind w:left="40"/>
              <w:spacing w:after="0"/>
              <w:rPr>
                <w:sz w:val="20"/>
                <w:szCs w:val="20"/>
                <w:color w:val="auto"/>
              </w:rPr>
            </w:pPr>
            <w:r>
              <w:rPr>
                <w:rFonts w:ascii="Arial" w:cs="Arial" w:eastAsia="Arial" w:hAnsi="Arial"/>
                <w:sz w:val="14"/>
                <w:szCs w:val="14"/>
                <w:color w:val="auto"/>
              </w:rPr>
              <w:t>Effective tax rate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2,430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2,316</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95.3%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3,609</w:t>
            </w:r>
          </w:p>
        </w:tc>
        <w:tc>
          <w:tcPr>
            <w:tcW w:w="100" w:type="dxa"/>
            <w:vAlign w:val="bottom"/>
          </w:tcPr>
          <w:p>
            <w:pPr>
              <w:spacing w:after="0"/>
              <w:rPr>
                <w:sz w:val="14"/>
                <w:szCs w:val="14"/>
                <w:color w:val="auto"/>
              </w:rPr>
            </w:pP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
              <w:spacing w:after="0"/>
              <w:rPr>
                <w:sz w:val="20"/>
                <w:szCs w:val="20"/>
                <w:color w:val="auto"/>
              </w:rPr>
            </w:pPr>
            <w:r>
              <w:rPr>
                <w:rFonts w:ascii="Arial" w:cs="Arial" w:eastAsia="Arial" w:hAnsi="Arial"/>
                <w:sz w:val="14"/>
                <w:szCs w:val="14"/>
                <w:color w:val="auto"/>
              </w:rPr>
              <w:t>902</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25.0%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8,870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3,637</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41.0%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9,810</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2,436</w:t>
            </w:r>
          </w:p>
        </w:tc>
        <w:tc>
          <w:tcPr>
            <w:tcW w:w="0" w:type="dxa"/>
            <w:vAlign w:val="bottom"/>
          </w:tcPr>
          <w:p>
            <w:pPr>
              <w:spacing w:after="0"/>
              <w:rPr>
                <w:sz w:val="1"/>
                <w:szCs w:val="1"/>
                <w:color w:val="auto"/>
              </w:rPr>
            </w:pPr>
          </w:p>
        </w:tc>
      </w:tr>
      <w:tr>
        <w:trPr>
          <w:trHeight w:val="270"/>
        </w:trPr>
        <w:tc>
          <w:tcPr>
            <w:tcW w:w="1960" w:type="dxa"/>
            <w:vAlign w:val="bottom"/>
          </w:tcPr>
          <w:p>
            <w:pPr>
              <w:ind w:left="40"/>
              <w:spacing w:after="0"/>
              <w:rPr>
                <w:sz w:val="20"/>
                <w:szCs w:val="20"/>
                <w:color w:val="auto"/>
              </w:rPr>
            </w:pPr>
            <w:r>
              <w:rPr>
                <w:rFonts w:ascii="Arial" w:cs="Arial" w:eastAsia="Arial" w:hAnsi="Arial"/>
                <w:sz w:val="14"/>
                <w:szCs w:val="14"/>
                <w:color w:val="auto"/>
              </w:rPr>
              <w:t>Adjustments(a)</w:t>
            </w:r>
          </w:p>
        </w:tc>
        <w:tc>
          <w:tcPr>
            <w:tcW w:w="160" w:type="dxa"/>
            <w:vAlign w:val="bottom"/>
          </w:tcPr>
          <w:p>
            <w:pPr>
              <w:spacing w:after="0"/>
              <w:rPr>
                <w:sz w:val="23"/>
                <w:szCs w:val="2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(41)</w:t>
            </w: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6"/>
        </w:trPr>
        <w:tc>
          <w:tcPr>
            <w:tcW w:w="1960" w:type="dxa"/>
            <w:vAlign w:val="bottom"/>
          </w:tcPr>
          <w:p>
            <w:pPr>
              <w:ind w:left="40"/>
              <w:spacing w:after="0"/>
              <w:rPr>
                <w:sz w:val="20"/>
                <w:szCs w:val="20"/>
                <w:color w:val="auto"/>
              </w:rPr>
            </w:pPr>
            <w:r>
              <w:rPr>
                <w:rFonts w:ascii="Arial" w:cs="Arial" w:eastAsia="Arial" w:hAnsi="Arial"/>
                <w:sz w:val="14"/>
                <w:szCs w:val="14"/>
                <w:color w:val="auto"/>
              </w:rPr>
              <w:t>Tax adjustment(b)</w:t>
            </w: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(1,828)</w:t>
            </w:r>
          </w:p>
        </w:tc>
        <w:tc>
          <w:tcPr>
            <w:tcW w:w="9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(1,828)</w:t>
            </w:r>
          </w:p>
        </w:tc>
        <w:tc>
          <w:tcPr>
            <w:tcW w:w="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960" w:type="dxa"/>
            <w:vAlign w:val="bottom"/>
          </w:tcPr>
          <w:p>
            <w:pPr>
              <w:ind w:left="40"/>
              <w:spacing w:after="0"/>
              <w:rPr>
                <w:sz w:val="20"/>
                <w:szCs w:val="20"/>
                <w:color w:val="auto"/>
              </w:rPr>
            </w:pPr>
            <w:r>
              <w:rPr>
                <w:rFonts w:ascii="Arial" w:cs="Arial" w:eastAsia="Arial" w:hAnsi="Arial"/>
                <w:sz w:val="14"/>
                <w:szCs w:val="14"/>
                <w:color w:val="auto"/>
              </w:rPr>
              <w:t>ETR-adjusted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2,430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488</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20.1%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3,499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861</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24.6%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9,524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2,017</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21.2%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9,875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2,461</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4"/>
                <w:szCs w:val="14"/>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the reconciliation of segment profit (loss) to Net income (loss) attributable to stockholders under U.S. GAAP within the previous section for adjustment details.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the reconciliation of diluted earnings (loss) per common share under U.S. GAAP to EPS-diluted-adjusted within the previous section for adjustment details.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24.8%</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24.9%</w:t>
      </w:r>
    </w:p>
    <w:p>
      <w:pPr>
        <w:spacing w:after="0" w:line="740" w:lineRule="exact"/>
        <w:rPr>
          <w:sz w:val="20"/>
          <w:szCs w:val="20"/>
          <w:color w:val="auto"/>
        </w:rPr>
      </w:pPr>
    </w:p>
    <w:p>
      <w:pPr>
        <w:sectPr>
          <w:pgSz w:w="11900" w:h="16838" w:orient="portrait"/>
          <w:cols w:equalWidth="0" w:num="2">
            <w:col w:w="10900" w:space="80"/>
            <w:col w:w="440"/>
          </w:cols>
          <w:pgMar w:left="240" w:top="554" w:right="239" w:bottom="1440" w:gutter="0" w:footer="0" w:header="0"/>
          <w:type w:val="continuous"/>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54" w:right="23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6"/>
          <w:szCs w:val="16"/>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982"/>
              <w:spacing w:after="0"/>
              <w:rPr>
                <w:sz w:val="20"/>
                <w:szCs w:val="20"/>
                <w:color w:val="auto"/>
              </w:rPr>
            </w:pPr>
            <w:r>
              <w:rPr>
                <w:rFonts w:ascii="Arial" w:cs="Arial" w:eastAsia="Arial" w:hAnsi="Arial"/>
                <w:sz w:val="13"/>
                <w:szCs w:val="13"/>
                <w:b w:val="1"/>
                <w:bCs w:val="1"/>
                <w:color w:val="auto"/>
              </w:rPr>
              <w:t>Four Quarters Ended</w:t>
            </w:r>
          </w:p>
        </w:tc>
      </w:tr>
      <w:tr>
        <w:trPr>
          <w:trHeight w:val="264"/>
        </w:trPr>
        <w:tc>
          <w:tcPr>
            <w:tcW w:w="20" w:type="dxa"/>
            <w:vAlign w:val="bottom"/>
          </w:tcPr>
          <w:p>
            <w:pPr>
              <w:spacing w:after="0"/>
              <w:rPr>
                <w:sz w:val="22"/>
                <w:szCs w:val="22"/>
                <w:color w:val="auto"/>
              </w:rPr>
            </w:pPr>
          </w:p>
        </w:tc>
        <w:tc>
          <w:tcPr>
            <w:tcW w:w="7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2017</w:t>
            </w:r>
          </w:p>
        </w:tc>
        <w:tc>
          <w:tcPr>
            <w:tcW w:w="180" w:type="dxa"/>
            <w:vAlign w:val="bottom"/>
          </w:tcPr>
          <w:p>
            <w:pPr>
              <w:spacing w:after="0"/>
              <w:rPr>
                <w:sz w:val="22"/>
                <w:szCs w:val="22"/>
                <w:color w:val="auto"/>
              </w:rPr>
            </w:pPr>
          </w:p>
        </w:tc>
        <w:tc>
          <w:tcPr>
            <w:tcW w:w="1480" w:type="dxa"/>
            <w:vAlign w:val="bottom"/>
          </w:tcPr>
          <w:p>
            <w:pPr>
              <w:jc w:val="right"/>
              <w:ind w:right="162"/>
              <w:spacing w:after="0"/>
              <w:rPr>
                <w:sz w:val="20"/>
                <w:szCs w:val="20"/>
                <w:color w:val="auto"/>
              </w:rPr>
            </w:pPr>
            <w:r>
              <w:rPr>
                <w:rFonts w:ascii="Arial" w:cs="Arial" w:eastAsia="Arial" w:hAnsi="Arial"/>
                <w:sz w:val="13"/>
                <w:szCs w:val="13"/>
                <w:b w:val="1"/>
                <w:bCs w:val="1"/>
                <w:color w:val="auto"/>
              </w:rPr>
              <w:t>September 30, 2016</w:t>
            </w:r>
          </w:p>
        </w:tc>
      </w:tr>
      <w:tr>
        <w:trPr>
          <w:trHeight w:val="257"/>
        </w:trPr>
        <w:tc>
          <w:tcPr>
            <w:tcW w:w="20" w:type="dxa"/>
            <w:vAlign w:val="bottom"/>
          </w:tcPr>
          <w:p>
            <w:pPr>
              <w:spacing w:after="0"/>
              <w:rPr>
                <w:sz w:val="22"/>
                <w:szCs w:val="22"/>
                <w:color w:val="auto"/>
              </w:rPr>
            </w:pPr>
          </w:p>
        </w:tc>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stockholders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13.9</w:t>
            </w:r>
          </w:p>
        </w:tc>
      </w:tr>
      <w:tr>
        <w:trPr>
          <w:trHeight w:val="260"/>
        </w:trPr>
        <w:tc>
          <w:tcPr>
            <w:tcW w:w="20" w:type="dxa"/>
            <w:vAlign w:val="bottom"/>
          </w:tcPr>
          <w:p>
            <w:pPr>
              <w:spacing w:after="0"/>
              <w:rPr>
                <w:sz w:val="22"/>
                <w:szCs w:val="22"/>
                <w:color w:val="auto"/>
              </w:rPr>
            </w:pPr>
          </w:p>
        </w:tc>
        <w:tc>
          <w:tcPr>
            <w:tcW w:w="7960" w:type="dxa"/>
            <w:vAlign w:val="bottom"/>
          </w:tcPr>
          <w:p>
            <w:pPr>
              <w:ind w:left="20"/>
              <w:spacing w:after="0"/>
              <w:rPr>
                <w:sz w:val="20"/>
                <w:szCs w:val="20"/>
                <w:color w:val="auto"/>
              </w:rPr>
            </w:pPr>
            <w:r>
              <w:rPr>
                <w:rFonts w:ascii="Arial" w:cs="Arial" w:eastAsia="Arial" w:hAnsi="Arial"/>
                <w:sz w:val="16"/>
                <w:szCs w:val="16"/>
                <w:color w:val="auto"/>
              </w:rPr>
              <w:t>Average equity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04"/>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82"/>
              <w:spacing w:after="0"/>
              <w:rPr>
                <w:sz w:val="20"/>
                <w:szCs w:val="20"/>
                <w:color w:val="auto"/>
              </w:rPr>
            </w:pPr>
            <w:r>
              <w:rPr>
                <w:rFonts w:ascii="Arial" w:cs="Arial" w:eastAsia="Arial" w:hAnsi="Arial"/>
                <w:sz w:val="16"/>
                <w:szCs w:val="16"/>
                <w:color w:val="auto"/>
              </w:rPr>
              <w:t>42.7</w:t>
            </w:r>
          </w:p>
        </w:tc>
      </w:tr>
      <w:tr>
        <w:trPr>
          <w:trHeight w:val="280"/>
        </w:trPr>
        <w:tc>
          <w:tcPr>
            <w:tcW w:w="20" w:type="dxa"/>
            <w:vAlign w:val="bottom"/>
          </w:tcPr>
          <w:p>
            <w:pPr>
              <w:spacing w:after="0"/>
              <w:rPr>
                <w:sz w:val="24"/>
                <w:szCs w:val="24"/>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r>
      <w:tr>
        <w:trPr>
          <w:trHeight w:val="386"/>
        </w:trPr>
        <w:tc>
          <w:tcPr>
            <w:tcW w:w="20" w:type="dxa"/>
            <w:vAlign w:val="bottom"/>
          </w:tcPr>
          <w:p>
            <w:pPr>
              <w:spacing w:after="0"/>
              <w:rPr>
                <w:sz w:val="24"/>
                <w:szCs w:val="24"/>
                <w:color w:val="auto"/>
              </w:rPr>
            </w:pPr>
          </w:p>
        </w:tc>
        <w:tc>
          <w:tcPr>
            <w:tcW w:w="7960" w:type="dxa"/>
            <w:vAlign w:val="bottom"/>
          </w:tcPr>
          <w:p>
            <w:pPr>
              <w:ind w:left="160"/>
              <w:spacing w:after="0"/>
              <w:rPr>
                <w:sz w:val="20"/>
                <w:szCs w:val="20"/>
                <w:color w:val="auto"/>
              </w:rPr>
            </w:pPr>
            <w:r>
              <w:rPr>
                <w:rFonts w:ascii="Arial" w:cs="Arial" w:eastAsia="Arial" w:hAnsi="Arial"/>
                <w:sz w:val="16"/>
                <w:szCs w:val="16"/>
                <w:color w:val="auto"/>
              </w:rPr>
              <w:t>The following table summarizes the calculation of ROIC-adjusted (dollars in billions):</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982"/>
              <w:spacing w:after="0"/>
              <w:rPr>
                <w:sz w:val="20"/>
                <w:szCs w:val="20"/>
                <w:color w:val="auto"/>
              </w:rPr>
            </w:pPr>
            <w:r>
              <w:rPr>
                <w:rFonts w:ascii="Arial" w:cs="Arial" w:eastAsia="Arial" w:hAnsi="Arial"/>
                <w:sz w:val="13"/>
                <w:szCs w:val="13"/>
                <w:b w:val="1"/>
                <w:bCs w:val="1"/>
                <w:color w:val="auto"/>
              </w:rPr>
              <w:t>Four Quarters Ended</w:t>
            </w:r>
          </w:p>
        </w:tc>
      </w:tr>
      <w:tr>
        <w:trPr>
          <w:trHeight w:val="264"/>
        </w:trPr>
        <w:tc>
          <w:tcPr>
            <w:tcW w:w="20" w:type="dxa"/>
            <w:vAlign w:val="bottom"/>
          </w:tcPr>
          <w:p>
            <w:pPr>
              <w:spacing w:after="0"/>
              <w:rPr>
                <w:sz w:val="22"/>
                <w:szCs w:val="22"/>
                <w:color w:val="auto"/>
              </w:rPr>
            </w:pPr>
          </w:p>
        </w:tc>
        <w:tc>
          <w:tcPr>
            <w:tcW w:w="7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2017</w:t>
            </w:r>
          </w:p>
        </w:tc>
        <w:tc>
          <w:tcPr>
            <w:tcW w:w="180" w:type="dxa"/>
            <w:vAlign w:val="bottom"/>
          </w:tcPr>
          <w:p>
            <w:pPr>
              <w:spacing w:after="0"/>
              <w:rPr>
                <w:sz w:val="22"/>
                <w:szCs w:val="22"/>
                <w:color w:val="auto"/>
              </w:rPr>
            </w:pPr>
          </w:p>
        </w:tc>
        <w:tc>
          <w:tcPr>
            <w:tcW w:w="1480" w:type="dxa"/>
            <w:vAlign w:val="bottom"/>
          </w:tcPr>
          <w:p>
            <w:pPr>
              <w:jc w:val="right"/>
              <w:ind w:right="162"/>
              <w:spacing w:after="0"/>
              <w:rPr>
                <w:sz w:val="20"/>
                <w:szCs w:val="20"/>
                <w:color w:val="auto"/>
              </w:rPr>
            </w:pPr>
            <w:r>
              <w:rPr>
                <w:rFonts w:ascii="Arial" w:cs="Arial" w:eastAsia="Arial" w:hAnsi="Arial"/>
                <w:sz w:val="13"/>
                <w:szCs w:val="13"/>
                <w:b w:val="1"/>
                <w:bCs w:val="1"/>
                <w:color w:val="auto"/>
              </w:rPr>
              <w:t>September 30, 2016</w:t>
            </w:r>
          </w:p>
        </w:tc>
      </w:tr>
      <w:tr>
        <w:trPr>
          <w:trHeight w:val="257"/>
        </w:trPr>
        <w:tc>
          <w:tcPr>
            <w:tcW w:w="20" w:type="dxa"/>
            <w:vAlign w:val="bottom"/>
          </w:tcPr>
          <w:p>
            <w:pPr>
              <w:spacing w:after="0"/>
              <w:rPr>
                <w:sz w:val="22"/>
                <w:szCs w:val="22"/>
                <w:color w:val="auto"/>
              </w:rPr>
            </w:pPr>
          </w:p>
        </w:tc>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EBIT-adjusted(a)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6"/>
                <w:szCs w:val="16"/>
                <w:color w:val="auto"/>
              </w:rPr>
              <w:t>12.4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13.3</w:t>
            </w:r>
          </w:p>
        </w:tc>
      </w:tr>
      <w:tr>
        <w:trPr>
          <w:trHeight w:val="260"/>
        </w:trPr>
        <w:tc>
          <w:tcPr>
            <w:tcW w:w="20" w:type="dxa"/>
            <w:vAlign w:val="bottom"/>
          </w:tcPr>
          <w:p>
            <w:pPr>
              <w:spacing w:after="0"/>
              <w:rPr>
                <w:sz w:val="22"/>
                <w:szCs w:val="22"/>
                <w:color w:val="auto"/>
              </w:rPr>
            </w:pPr>
          </w:p>
        </w:tc>
        <w:tc>
          <w:tcPr>
            <w:tcW w:w="7960" w:type="dxa"/>
            <w:vAlign w:val="bottom"/>
          </w:tcPr>
          <w:p>
            <w:pPr>
              <w:ind w:left="20"/>
              <w:spacing w:after="0"/>
              <w:rPr>
                <w:sz w:val="20"/>
                <w:szCs w:val="20"/>
                <w:color w:val="auto"/>
              </w:rPr>
            </w:pPr>
            <w:r>
              <w:rPr>
                <w:rFonts w:ascii="Arial" w:cs="Arial" w:eastAsia="Arial" w:hAnsi="Arial"/>
                <w:sz w:val="16"/>
                <w:szCs w:val="16"/>
                <w:color w:val="auto"/>
              </w:rPr>
              <w:t>Average equity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04"/>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82"/>
              <w:spacing w:after="0"/>
              <w:rPr>
                <w:sz w:val="20"/>
                <w:szCs w:val="20"/>
                <w:color w:val="auto"/>
              </w:rPr>
            </w:pPr>
            <w:r>
              <w:rPr>
                <w:rFonts w:ascii="Arial" w:cs="Arial" w:eastAsia="Arial" w:hAnsi="Arial"/>
                <w:sz w:val="16"/>
                <w:szCs w:val="16"/>
                <w:color w:val="auto"/>
              </w:rPr>
              <w:t>42.7</w:t>
            </w:r>
          </w:p>
        </w:tc>
      </w:tr>
      <w:tr>
        <w:trPr>
          <w:trHeight w:val="280"/>
        </w:trPr>
        <w:tc>
          <w:tcPr>
            <w:tcW w:w="20" w:type="dxa"/>
            <w:vAlign w:val="bottom"/>
          </w:tcPr>
          <w:p>
            <w:pPr>
              <w:spacing w:after="0"/>
              <w:rPr>
                <w:sz w:val="24"/>
                <w:szCs w:val="24"/>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Average automotive debt and interest liabilities (excluding capital leases)</w:t>
            </w: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04"/>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9.4</w:t>
            </w:r>
          </w:p>
        </w:tc>
      </w:tr>
      <w:tr>
        <w:trPr>
          <w:trHeight w:val="260"/>
        </w:trPr>
        <w:tc>
          <w:tcPr>
            <w:tcW w:w="20" w:type="dxa"/>
            <w:vAlign w:val="bottom"/>
          </w:tcPr>
          <w:p>
            <w:pPr>
              <w:spacing w:after="0"/>
              <w:rPr>
                <w:sz w:val="22"/>
                <w:szCs w:val="22"/>
                <w:color w:val="auto"/>
              </w:rPr>
            </w:pPr>
          </w:p>
        </w:tc>
        <w:tc>
          <w:tcPr>
            <w:tcW w:w="7960" w:type="dxa"/>
            <w:vAlign w:val="bottom"/>
          </w:tcPr>
          <w:p>
            <w:pPr>
              <w:ind w:left="20"/>
              <w:spacing w:after="0"/>
              <w:rPr>
                <w:sz w:val="20"/>
                <w:szCs w:val="20"/>
                <w:color w:val="auto"/>
              </w:rPr>
            </w:pPr>
            <w:r>
              <w:rPr>
                <w:rFonts w:ascii="Arial" w:cs="Arial" w:eastAsia="Arial" w:hAnsi="Arial"/>
                <w:sz w:val="16"/>
                <w:szCs w:val="16"/>
                <w:color w:val="auto"/>
              </w:rPr>
              <w:t>Add: Average automotive net pension &amp; OPEB liability</w:t>
            </w:r>
          </w:p>
        </w:tc>
        <w:tc>
          <w:tcPr>
            <w:tcW w:w="180" w:type="dxa"/>
            <w:vAlign w:val="bottom"/>
          </w:tcPr>
          <w:p>
            <w:pPr>
              <w:spacing w:after="0"/>
              <w:rPr>
                <w:sz w:val="22"/>
                <w:szCs w:val="22"/>
                <w:color w:val="auto"/>
              </w:rPr>
            </w:pPr>
          </w:p>
        </w:tc>
        <w:tc>
          <w:tcPr>
            <w:tcW w:w="1480" w:type="dxa"/>
            <w:vAlign w:val="bottom"/>
          </w:tcPr>
          <w:p>
            <w:pPr>
              <w:jc w:val="right"/>
              <w:ind w:right="104"/>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jc w:val="right"/>
              <w:ind w:right="82"/>
              <w:spacing w:after="0"/>
              <w:rPr>
                <w:sz w:val="20"/>
                <w:szCs w:val="20"/>
                <w:color w:val="auto"/>
              </w:rPr>
            </w:pPr>
            <w:r>
              <w:rPr>
                <w:rFonts w:ascii="Arial" w:cs="Arial" w:eastAsia="Arial" w:hAnsi="Arial"/>
                <w:sz w:val="16"/>
                <w:szCs w:val="16"/>
                <w:color w:val="auto"/>
              </w:rPr>
              <w:t>22.6</w:t>
            </w:r>
          </w:p>
        </w:tc>
      </w:tr>
      <w:tr>
        <w:trPr>
          <w:trHeight w:val="273"/>
        </w:trPr>
        <w:tc>
          <w:tcPr>
            <w:tcW w:w="20" w:type="dxa"/>
            <w:vAlign w:val="bottom"/>
          </w:tcPr>
          <w:p>
            <w:pPr>
              <w:spacing w:after="0"/>
              <w:rPr>
                <w:sz w:val="23"/>
                <w:szCs w:val="23"/>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Average automotive net income tax asset</w:t>
            </w: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(33.1)</w:t>
            </w:r>
          </w:p>
        </w:tc>
      </w:tr>
      <w:tr>
        <w:trPr>
          <w:trHeight w:val="280"/>
        </w:trPr>
        <w:tc>
          <w:tcPr>
            <w:tcW w:w="20" w:type="dxa"/>
            <w:vAlign w:val="bottom"/>
          </w:tcPr>
          <w:p>
            <w:pPr>
              <w:spacing w:after="0"/>
              <w:rPr>
                <w:sz w:val="24"/>
                <w:szCs w:val="24"/>
                <w:color w:val="auto"/>
              </w:rPr>
            </w:pPr>
          </w:p>
        </w:tc>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ROIC-adjusted average net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41.6</w:t>
            </w:r>
          </w:p>
        </w:tc>
      </w:tr>
      <w:tr>
        <w:trPr>
          <w:trHeight w:val="227"/>
        </w:trPr>
        <w:tc>
          <w:tcPr>
            <w:tcW w:w="20" w:type="dxa"/>
            <w:vAlign w:val="bottom"/>
          </w:tcPr>
          <w:p>
            <w:pPr>
              <w:spacing w:after="0"/>
              <w:rPr>
                <w:sz w:val="19"/>
                <w:szCs w:val="19"/>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ROIC-adjusted</w:t>
            </w: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167"/>
        </w:trPr>
        <w:tc>
          <w:tcPr>
            <w:tcW w:w="7980" w:type="dxa"/>
            <w:vAlign w:val="bottom"/>
            <w:gridSpan w:val="2"/>
          </w:tcPr>
          <w:p>
            <w:pPr>
              <w:jc w:val="right"/>
              <w:ind w:right="7259"/>
              <w:spacing w:after="0"/>
              <w:rPr>
                <w:sz w:val="20"/>
                <w:szCs w:val="20"/>
                <w:color w:val="auto"/>
              </w:rPr>
            </w:pPr>
            <w:r>
              <w:rPr>
                <w:rFonts w:ascii="Arial" w:cs="Arial" w:eastAsia="Arial" w:hAnsi="Arial"/>
                <w:sz w:val="14"/>
                <w:szCs w:val="14"/>
                <w:color w:val="auto"/>
                <w:w w:val="99"/>
              </w:rPr>
              <w:t>________</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r>
    </w:tbl>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under U.S. GAAP to EBIT-adjusted in a preceding section.</w:t>
      </w:r>
    </w:p>
    <w:p>
      <w:pPr>
        <w:spacing w:after="0" w:line="322" w:lineRule="exact"/>
        <w:rPr>
          <w:sz w:val="20"/>
          <w:szCs w:val="20"/>
          <w:color w:val="auto"/>
        </w:rPr>
      </w:pPr>
    </w:p>
    <w:p>
      <w:pPr>
        <w:ind w:right="60" w:firstLine="162"/>
        <w:spacing w:after="0" w:line="260" w:lineRule="auto"/>
        <w:rPr>
          <w:sz w:val="20"/>
          <w:szCs w:val="20"/>
          <w:color w:val="auto"/>
        </w:rPr>
      </w:pPr>
      <w:r>
        <w:rPr>
          <w:rFonts w:ascii="Arial" w:cs="Arial" w:eastAsia="Arial" w:hAnsi="Arial"/>
          <w:sz w:val="16"/>
          <w:szCs w:val="16"/>
          <w:color w:val="auto"/>
        </w:rPr>
        <w:t>The following table reconciles Net automotive cash provided by operating activities from continuing operations under U.S. GAAP to adjusted automotive free cash flow (dollars in millions):</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5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ind w:left="320"/>
              <w:spacing w:after="0"/>
              <w:rPr>
                <w:sz w:val="20"/>
                <w:szCs w:val="20"/>
                <w:color w:val="auto"/>
              </w:rPr>
            </w:pPr>
            <w:r>
              <w:rPr>
                <w:rFonts w:ascii="Arial" w:cs="Arial" w:eastAsia="Arial" w:hAnsi="Arial"/>
                <w:sz w:val="13"/>
                <w:szCs w:val="13"/>
                <w:b w:val="1"/>
                <w:bCs w:val="1"/>
                <w:color w:val="auto"/>
                <w:w w:val="99"/>
              </w:rPr>
              <w:t>Three Months Ended</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rPr>
              <w:t>Nine Months Ended</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8"/>
              </w:rPr>
              <w:t>September 30, 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September 30, 2016</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8"/>
              </w:rPr>
              <w:t>September 30, 2017</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September 30, 2016</w:t>
            </w:r>
          </w:p>
        </w:tc>
        <w:tc>
          <w:tcPr>
            <w:tcW w:w="0" w:type="dxa"/>
            <w:vAlign w:val="bottom"/>
          </w:tcPr>
          <w:p>
            <w:pPr>
              <w:spacing w:after="0"/>
              <w:rPr>
                <w:sz w:val="1"/>
                <w:szCs w:val="1"/>
                <w:color w:val="auto"/>
              </w:rPr>
            </w:pPr>
          </w:p>
        </w:tc>
      </w:tr>
      <w:tr>
        <w:trPr>
          <w:trHeight w:val="257"/>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automotive cash provided by operating activities – continuing operations</w:t>
            </w:r>
          </w:p>
        </w:tc>
        <w:tc>
          <w:tcPr>
            <w:tcW w:w="840" w:type="dxa"/>
            <w:vAlign w:val="bottom"/>
            <w:gridSpan w:val="2"/>
            <w:shd w:val="clear" w:color="auto" w:fill="CCEEFF"/>
          </w:tcPr>
          <w:p>
            <w:pPr>
              <w:jc w:val="right"/>
              <w:ind w:right="217"/>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1,103</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6,083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7,265</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9,787</w:t>
            </w:r>
          </w:p>
        </w:tc>
        <w:tc>
          <w:tcPr>
            <w:tcW w:w="0" w:type="dxa"/>
            <w:vAlign w:val="bottom"/>
          </w:tcPr>
          <w:p>
            <w:pPr>
              <w:spacing w:after="0"/>
              <w:rPr>
                <w:sz w:val="1"/>
                <w:szCs w:val="1"/>
                <w:color w:val="auto"/>
              </w:rPr>
            </w:pPr>
          </w:p>
        </w:tc>
      </w:tr>
      <w:tr>
        <w:trPr>
          <w:trHeight w:val="260"/>
        </w:trPr>
        <w:tc>
          <w:tcPr>
            <w:tcW w:w="5600" w:type="dxa"/>
            <w:vAlign w:val="bottom"/>
          </w:tcPr>
          <w:p>
            <w:pPr>
              <w:ind w:left="20"/>
              <w:spacing w:after="0"/>
              <w:rPr>
                <w:sz w:val="20"/>
                <w:szCs w:val="20"/>
                <w:color w:val="auto"/>
              </w:rPr>
            </w:pPr>
            <w:r>
              <w:rPr>
                <w:rFonts w:ascii="Arial" w:cs="Arial" w:eastAsia="Arial" w:hAnsi="Arial"/>
                <w:sz w:val="16"/>
                <w:szCs w:val="16"/>
                <w:color w:val="auto"/>
              </w:rPr>
              <w:t>Less: capital expenditures</w:t>
            </w: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(2,148)</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(2,050)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(6,287)</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(6,044)</w:t>
            </w:r>
          </w:p>
        </w:tc>
        <w:tc>
          <w:tcPr>
            <w:tcW w:w="0" w:type="dxa"/>
            <w:vAlign w:val="bottom"/>
          </w:tcPr>
          <w:p>
            <w:pPr>
              <w:spacing w:after="0"/>
              <w:rPr>
                <w:sz w:val="1"/>
                <w:szCs w:val="1"/>
                <w:color w:val="auto"/>
              </w:rPr>
            </w:pPr>
          </w:p>
        </w:tc>
      </w:tr>
      <w:tr>
        <w:trPr>
          <w:trHeight w:val="273"/>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 – discretionary pension plan contributions</w:t>
            </w:r>
          </w:p>
        </w:tc>
        <w:tc>
          <w:tcPr>
            <w:tcW w:w="4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1,982</w:t>
            </w:r>
          </w:p>
        </w:tc>
        <w:tc>
          <w:tcPr>
            <w:tcW w:w="0" w:type="dxa"/>
            <w:vAlign w:val="bottom"/>
          </w:tcPr>
          <w:p>
            <w:pPr>
              <w:spacing w:after="0"/>
              <w:rPr>
                <w:sz w:val="1"/>
                <w:szCs w:val="1"/>
                <w:color w:val="auto"/>
              </w:rPr>
            </w:pPr>
          </w:p>
        </w:tc>
      </w:tr>
      <w:tr>
        <w:trPr>
          <w:trHeight w:val="247"/>
        </w:trPr>
        <w:tc>
          <w:tcPr>
            <w:tcW w:w="5600" w:type="dxa"/>
            <w:vAlign w:val="bottom"/>
          </w:tcPr>
          <w:p>
            <w:pPr>
              <w:ind w:left="20"/>
              <w:spacing w:after="0"/>
              <w:rPr>
                <w:sz w:val="20"/>
                <w:szCs w:val="20"/>
                <w:color w:val="auto"/>
              </w:rPr>
            </w:pPr>
            <w:r>
              <w:rPr>
                <w:rFonts w:ascii="Arial" w:cs="Arial" w:eastAsia="Arial" w:hAnsi="Arial"/>
                <w:sz w:val="16"/>
                <w:szCs w:val="16"/>
                <w:color w:val="auto"/>
              </w:rPr>
              <w:t>Adjusted automotive free cash flow – continuing operations</w:t>
            </w:r>
          </w:p>
        </w:tc>
        <w:tc>
          <w:tcPr>
            <w:tcW w:w="4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(1,045)</w:t>
            </w:r>
          </w:p>
        </w:tc>
        <w:tc>
          <w:tcPr>
            <w:tcW w:w="1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4,033</w:t>
            </w:r>
          </w:p>
        </w:tc>
        <w:tc>
          <w:tcPr>
            <w:tcW w:w="12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978</w:t>
            </w:r>
          </w:p>
        </w:tc>
        <w:tc>
          <w:tcPr>
            <w:tcW w:w="10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5,725</w:t>
            </w:r>
          </w:p>
        </w:tc>
        <w:tc>
          <w:tcPr>
            <w:tcW w:w="0" w:type="dxa"/>
            <w:vAlign w:val="bottom"/>
          </w:tcPr>
          <w:p>
            <w:pPr>
              <w:spacing w:after="0"/>
              <w:rPr>
                <w:sz w:val="1"/>
                <w:szCs w:val="1"/>
                <w:color w:val="auto"/>
              </w:rPr>
            </w:pPr>
          </w:p>
        </w:tc>
      </w:tr>
      <w:tr>
        <w:trPr>
          <w:trHeight w:val="228"/>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automotive cash provided by (used in) operating activities – discontinued</w:t>
            </w: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operations</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capital expenditures – discontinued operations</w:t>
            </w:r>
          </w:p>
        </w:tc>
        <w:tc>
          <w:tcPr>
            <w:tcW w:w="4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40"/>
        </w:trPr>
        <w:tc>
          <w:tcPr>
            <w:tcW w:w="5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automotive free cash flow</w:t>
            </w:r>
          </w:p>
        </w:tc>
        <w:tc>
          <w:tcPr>
            <w:tcW w:w="840" w:type="dxa"/>
            <w:vAlign w:val="bottom"/>
            <w:gridSpan w:val="2"/>
            <w:shd w:val="clear" w:color="auto" w:fill="CCEEFF"/>
          </w:tcPr>
          <w:p>
            <w:pPr>
              <w:jc w:val="right"/>
              <w:ind w:right="217"/>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3,483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5,228</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CCEEFF"/>
            </w:tcBorders>
            <w:vMerge w:val="restart"/>
          </w:tcPr>
          <w:p>
            <w:pPr>
              <w:jc w:val="right"/>
              <w:ind w:right="219"/>
              <w:spacing w:after="0"/>
              <w:rPr>
                <w:sz w:val="20"/>
                <w:szCs w:val="20"/>
                <w:color w:val="auto"/>
              </w:rPr>
            </w:pPr>
            <w:r>
              <w:rPr>
                <w:rFonts w:ascii="Arial" w:cs="Arial" w:eastAsia="Arial" w:hAnsi="Arial"/>
                <w:sz w:val="16"/>
                <w:szCs w:val="16"/>
                <w:color w:val="auto"/>
              </w:rPr>
              <w:t>5</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560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40" w:type="dxa"/>
            <w:vAlign w:val="bottom"/>
          </w:tcPr>
          <w:p>
            <w:pPr>
              <w:spacing w:after="0"/>
              <w:rPr>
                <w:sz w:val="12"/>
                <w:szCs w:val="12"/>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2"/>
                <w:szCs w:val="12"/>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2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2"/>
                <w:szCs w:val="12"/>
                <w:color w:val="auto"/>
              </w:rPr>
            </w:pPr>
          </w:p>
        </w:tc>
        <w:tc>
          <w:tcPr>
            <w:tcW w:w="62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33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Three Months Ended September 30, 2017</w:t>
            </w: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24,819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2,569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30,475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3,161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33,623</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2,023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62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9"/>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0"/>
              <w:spacing w:after="0"/>
              <w:rPr>
                <w:sz w:val="20"/>
                <w:szCs w:val="20"/>
                <w:color w:val="auto"/>
              </w:rPr>
            </w:pPr>
            <w:r>
              <w:rPr>
                <w:rFonts w:ascii="Arial" w:cs="Arial" w:eastAsia="Arial" w:hAnsi="Arial"/>
                <w:sz w:val="13"/>
                <w:szCs w:val="13"/>
                <w:color w:val="auto"/>
              </w:rPr>
              <w:t>2,148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2,167</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1,387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1,743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3,130</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459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3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GMNA</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GMSA</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Corporate</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42"/>
        </w:trPr>
        <w:tc>
          <w:tcPr>
            <w:tcW w:w="3340" w:type="dxa"/>
            <w:vAlign w:val="bottom"/>
          </w:tcPr>
          <w:p>
            <w:pPr>
              <w:ind w:left="40"/>
              <w:spacing w:after="0"/>
              <w:rPr>
                <w:sz w:val="20"/>
                <w:szCs w:val="20"/>
                <w:color w:val="auto"/>
              </w:rPr>
            </w:pPr>
            <w:r>
              <w:rPr>
                <w:rFonts w:ascii="Arial" w:cs="Arial" w:eastAsia="Arial" w:hAnsi="Arial"/>
                <w:sz w:val="11"/>
                <w:szCs w:val="11"/>
                <w:b w:val="1"/>
                <w:bCs w:val="1"/>
                <w:color w:val="auto"/>
              </w:rPr>
              <w:t>Three Months Ended September 30, 2016</w:t>
            </w: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31,085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3,376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2,029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36,530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2,360</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38,889</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1,850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123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0"/>
              <w:spacing w:after="0"/>
              <w:rPr>
                <w:sz w:val="20"/>
                <w:szCs w:val="20"/>
                <w:color w:val="auto"/>
              </w:rPr>
            </w:pPr>
            <w:r>
              <w:rPr>
                <w:rFonts w:ascii="Arial" w:cs="Arial" w:eastAsia="Arial" w:hAnsi="Arial"/>
                <w:sz w:val="13"/>
                <w:szCs w:val="13"/>
                <w:color w:val="auto"/>
              </w:rPr>
              <w:t>2,050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2,070</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1,088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1,280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1,249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2,529</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462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497</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3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GMNA</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GMSA</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Corporate</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42"/>
        </w:trPr>
        <w:tc>
          <w:tcPr>
            <w:tcW w:w="3340" w:type="dxa"/>
            <w:vAlign w:val="bottom"/>
          </w:tcPr>
          <w:p>
            <w:pPr>
              <w:ind w:left="40"/>
              <w:spacing w:after="0"/>
              <w:rPr>
                <w:sz w:val="20"/>
                <w:szCs w:val="20"/>
                <w:color w:val="auto"/>
              </w:rPr>
            </w:pPr>
            <w:r>
              <w:rPr>
                <w:rFonts w:ascii="Arial" w:cs="Arial" w:eastAsia="Arial" w:hAnsi="Arial"/>
                <w:sz w:val="11"/>
                <w:szCs w:val="11"/>
                <w:b w:val="1"/>
                <w:bCs w:val="1"/>
                <w:color w:val="auto"/>
              </w:rPr>
              <w:t>Nine Months Ended September 30, 2017</w:t>
            </w: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82,594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9,400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6,826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99,126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8,899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107,873</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5,858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196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216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0"/>
              <w:spacing w:after="0"/>
              <w:rPr>
                <w:sz w:val="20"/>
                <w:szCs w:val="20"/>
                <w:color w:val="auto"/>
              </w:rPr>
            </w:pPr>
            <w:r>
              <w:rPr>
                <w:rFonts w:ascii="Arial" w:cs="Arial" w:eastAsia="Arial" w:hAnsi="Arial"/>
                <w:sz w:val="13"/>
                <w:szCs w:val="13"/>
                <w:color w:val="auto"/>
              </w:rPr>
              <w:t>6,287</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6,353</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3,499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4,056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4,757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8,813</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204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1,456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1,585</w:t>
            </w:r>
          </w:p>
        </w:tc>
        <w:tc>
          <w:tcPr>
            <w:tcW w:w="0" w:type="dxa"/>
            <w:vAlign w:val="bottom"/>
          </w:tcPr>
          <w:p>
            <w:pPr>
              <w:spacing w:after="0"/>
              <w:rPr>
                <w:sz w:val="1"/>
                <w:szCs w:val="1"/>
                <w:color w:val="auto"/>
              </w:rPr>
            </w:pPr>
          </w:p>
        </w:tc>
      </w:tr>
      <w:tr>
        <w:trPr>
          <w:trHeight w:val="324"/>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8"/>
              </w:rPr>
              <w:t>Total</w:t>
            </w: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3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GMNA</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GMSA</w:t>
            </w:r>
          </w:p>
        </w:tc>
        <w:tc>
          <w:tcPr>
            <w:tcW w:w="1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b w:val="1"/>
                <w:bCs w:val="1"/>
                <w:color w:val="auto"/>
              </w:rPr>
              <w:t>Corporate</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w w:val="95"/>
              </w:rPr>
              <w:t>Automotive</w:t>
            </w: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42"/>
        </w:trPr>
        <w:tc>
          <w:tcPr>
            <w:tcW w:w="3340" w:type="dxa"/>
            <w:vAlign w:val="bottom"/>
          </w:tcPr>
          <w:p>
            <w:pPr>
              <w:ind w:left="40"/>
              <w:spacing w:after="0"/>
              <w:rPr>
                <w:sz w:val="20"/>
                <w:szCs w:val="20"/>
                <w:color w:val="auto"/>
              </w:rPr>
            </w:pPr>
            <w:r>
              <w:rPr>
                <w:rFonts w:ascii="Arial" w:cs="Arial" w:eastAsia="Arial" w:hAnsi="Arial"/>
                <w:sz w:val="11"/>
                <w:szCs w:val="11"/>
                <w:b w:val="1"/>
                <w:bCs w:val="1"/>
                <w:color w:val="auto"/>
              </w:rPr>
              <w:t>Nine Months Ended September 30, 2016</w:t>
            </w: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87,815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9,923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5,011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102,862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6,429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109,288</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5,353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417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269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40"/>
              <w:spacing w:after="0"/>
              <w:rPr>
                <w:sz w:val="20"/>
                <w:szCs w:val="20"/>
                <w:color w:val="auto"/>
              </w:rPr>
            </w:pPr>
            <w:r>
              <w:rPr>
                <w:rFonts w:ascii="Arial" w:cs="Arial" w:eastAsia="Arial" w:hAnsi="Arial"/>
                <w:sz w:val="13"/>
                <w:szCs w:val="13"/>
                <w:color w:val="auto"/>
              </w:rPr>
              <w:t>6,044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6,102</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3,185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3,726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3,290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7,016</w:t>
            </w:r>
          </w:p>
        </w:tc>
        <w:tc>
          <w:tcPr>
            <w:tcW w:w="0" w:type="dxa"/>
            <w:vAlign w:val="bottom"/>
          </w:tcPr>
          <w:p>
            <w:pPr>
              <w:spacing w:after="0"/>
              <w:rPr>
                <w:sz w:val="1"/>
                <w:szCs w:val="1"/>
                <w:color w:val="auto"/>
              </w:rPr>
            </w:pPr>
          </w:p>
        </w:tc>
      </w:tr>
      <w:tr>
        <w:trPr>
          <w:trHeight w:val="262"/>
        </w:trPr>
        <w:tc>
          <w:tcPr>
            <w:tcW w:w="334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8"/>
              <w:spacing w:after="0"/>
              <w:rPr>
                <w:sz w:val="20"/>
                <w:szCs w:val="20"/>
                <w:color w:val="auto"/>
              </w:rPr>
            </w:pPr>
            <w:r>
              <w:rPr>
                <w:rFonts w:ascii="Arial" w:cs="Arial" w:eastAsia="Arial" w:hAnsi="Arial"/>
                <w:sz w:val="13"/>
                <w:szCs w:val="13"/>
                <w:color w:val="auto"/>
              </w:rPr>
              <w:t>65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60"/>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278"/>
        </w:trPr>
        <w:tc>
          <w:tcPr>
            <w:tcW w:w="334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1,608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1,717</w:t>
            </w:r>
          </w:p>
        </w:tc>
        <w:tc>
          <w:tcPr>
            <w:tcW w:w="0" w:type="dxa"/>
            <w:vAlign w:val="bottom"/>
          </w:tcPr>
          <w:p>
            <w:pPr>
              <w:spacing w:after="0"/>
              <w:rPr>
                <w:sz w:val="1"/>
                <w:szCs w:val="1"/>
                <w:color w:val="auto"/>
              </w:rPr>
            </w:pPr>
          </w:p>
        </w:tc>
      </w:tr>
      <w:tr>
        <w:trPr>
          <w:trHeight w:val="159"/>
        </w:trPr>
        <w:tc>
          <w:tcPr>
            <w:tcW w:w="3340" w:type="dxa"/>
            <w:vAlign w:val="bottom"/>
          </w:tcPr>
          <w:p>
            <w:pPr>
              <w:spacing w:after="0" w:line="159" w:lineRule="exact"/>
              <w:rPr>
                <w:sz w:val="20"/>
                <w:szCs w:val="20"/>
                <w:color w:val="auto"/>
              </w:rPr>
            </w:pPr>
            <w:r>
              <w:rPr>
                <w:rFonts w:ascii="Arial" w:cs="Arial" w:eastAsia="Arial" w:hAnsi="Arial"/>
                <w:sz w:val="14"/>
                <w:szCs w:val="14"/>
                <w:color w:val="auto"/>
              </w:rPr>
              <w:t>________</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Automotive China equity income of $459 million in the three months ended September 30, 2017 and 2016 and $1.5 billion and $1.4 billion in the nine months ended September 30,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54" w:right="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14"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6"/>
          <w:szCs w:val="16"/>
          <w:color w:val="auto"/>
        </w:rPr>
        <w:t>GM presents both wholesale and retail vehicle sales data to assist in the analysis of our revenue and our market share. GM does not currently export vehicles to Cuba, Iran, North Korea, Sudan or Syria. Accordingly these countries are excluded from industry sales data and corresponding calculation of GM's market share.</w:t>
      </w:r>
    </w:p>
    <w:p>
      <w:pPr>
        <w:spacing w:after="0" w:line="174"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color w:val="auto"/>
        </w:rPr>
        <w:t>Wholesale vehicle sales data (vehicles in thousands), which represents sales directly to dealers and others, including sales to fleet customers, is the measure that correlates to GM's revenue from the sale of vehicles, which is the largest component of Automotive net sales and revenue. Wholesale vehicle sales exclude vehicles sold by joint ventures. In the nine months ended September 30, 2017, 39.2% of our wholesale vehicle sales volume was generated outside the U.S. The following table summarizes total wholesale vehicle sales of new vehicles by automotive segment: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3340" w:type="dxa"/>
            <w:vAlign w:val="bottom"/>
            <w:tcBorders>
              <w:bottom w:val="single" w:sz="8" w:color="auto"/>
            </w:tcBorders>
            <w:gridSpan w:val="3"/>
          </w:tcPr>
          <w:p>
            <w:pPr>
              <w:jc w:val="right"/>
              <w:ind w:right="962"/>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3260" w:type="dxa"/>
            <w:vAlign w:val="bottom"/>
            <w:tcBorders>
              <w:bottom w:val="single" w:sz="8" w:color="auto"/>
            </w:tcBorders>
            <w:gridSpan w:val="3"/>
          </w:tcPr>
          <w:p>
            <w:pPr>
              <w:jc w:val="right"/>
              <w:ind w:right="942"/>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1720" w:type="dxa"/>
            <w:vAlign w:val="bottom"/>
            <w:gridSpan w:val="2"/>
          </w:tcPr>
          <w:p>
            <w:pPr>
              <w:ind w:left="200"/>
              <w:spacing w:after="0"/>
              <w:rPr>
                <w:sz w:val="20"/>
                <w:szCs w:val="20"/>
                <w:color w:val="auto"/>
              </w:rPr>
            </w:pPr>
            <w:r>
              <w:rPr>
                <w:rFonts w:ascii="Arial" w:cs="Arial" w:eastAsia="Arial" w:hAnsi="Arial"/>
                <w:sz w:val="13"/>
                <w:szCs w:val="13"/>
                <w:b w:val="1"/>
                <w:bCs w:val="1"/>
                <w:color w:val="auto"/>
              </w:rPr>
              <w:t>September 30, 2017</w:t>
            </w:r>
          </w:p>
        </w:tc>
        <w:tc>
          <w:tcPr>
            <w:tcW w:w="1720" w:type="dxa"/>
            <w:vAlign w:val="bottom"/>
            <w:gridSpan w:val="2"/>
          </w:tcPr>
          <w:p>
            <w:pPr>
              <w:ind w:left="220"/>
              <w:spacing w:after="0"/>
              <w:rPr>
                <w:sz w:val="20"/>
                <w:szCs w:val="20"/>
                <w:color w:val="auto"/>
              </w:rPr>
            </w:pPr>
            <w:r>
              <w:rPr>
                <w:rFonts w:ascii="Arial" w:cs="Arial" w:eastAsia="Arial" w:hAnsi="Arial"/>
                <w:sz w:val="13"/>
                <w:szCs w:val="13"/>
                <w:b w:val="1"/>
                <w:bCs w:val="1"/>
                <w:color w:val="auto"/>
              </w:rPr>
              <w:t>September 30, 2016</w:t>
            </w:r>
          </w:p>
        </w:tc>
        <w:tc>
          <w:tcPr>
            <w:tcW w:w="1680" w:type="dxa"/>
            <w:vAlign w:val="bottom"/>
            <w:gridSpan w:val="2"/>
          </w:tcPr>
          <w:p>
            <w:pPr>
              <w:ind w:left="200"/>
              <w:spacing w:after="0"/>
              <w:rPr>
                <w:sz w:val="20"/>
                <w:szCs w:val="20"/>
                <w:color w:val="auto"/>
              </w:rPr>
            </w:pPr>
            <w:r>
              <w:rPr>
                <w:rFonts w:ascii="Arial" w:cs="Arial" w:eastAsia="Arial" w:hAnsi="Arial"/>
                <w:sz w:val="13"/>
                <w:szCs w:val="13"/>
                <w:b w:val="1"/>
                <w:bCs w:val="1"/>
                <w:color w:val="auto"/>
              </w:rPr>
              <w:t>September 30, 2017</w:t>
            </w:r>
          </w:p>
        </w:tc>
        <w:tc>
          <w:tcPr>
            <w:tcW w:w="1580" w:type="dxa"/>
            <w:vAlign w:val="bottom"/>
          </w:tcPr>
          <w:p>
            <w:pPr>
              <w:jc w:val="right"/>
              <w:ind w:right="122"/>
              <w:spacing w:after="0"/>
              <w:rPr>
                <w:sz w:val="20"/>
                <w:szCs w:val="20"/>
                <w:color w:val="auto"/>
              </w:rPr>
            </w:pPr>
            <w:r>
              <w:rPr>
                <w:rFonts w:ascii="Arial" w:cs="Arial" w:eastAsia="Arial" w:hAnsi="Arial"/>
                <w:sz w:val="13"/>
                <w:szCs w:val="13"/>
                <w:b w:val="1"/>
                <w:bCs w:val="1"/>
                <w:color w:val="auto"/>
              </w:rPr>
              <w:t>September 30, 2016</w:t>
            </w:r>
          </w:p>
        </w:tc>
      </w:tr>
      <w:tr>
        <w:trPr>
          <w:trHeight w:val="257"/>
        </w:trPr>
        <w:tc>
          <w:tcPr>
            <w:tcW w:w="20" w:type="dxa"/>
            <w:vAlign w:val="bottom"/>
          </w:tcPr>
          <w:p>
            <w:pPr>
              <w:spacing w:after="0"/>
              <w:rPr>
                <w:sz w:val="22"/>
                <w:szCs w:val="22"/>
                <w:color w:val="auto"/>
              </w:rPr>
            </w:pPr>
          </w:p>
        </w:tc>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GMNA(a)</w:t>
            </w:r>
          </w:p>
        </w:tc>
        <w:tc>
          <w:tcPr>
            <w:tcW w:w="16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762</w:t>
            </w:r>
          </w:p>
        </w:tc>
        <w:tc>
          <w:tcPr>
            <w:tcW w:w="120" w:type="dxa"/>
            <w:vAlign w:val="bottom"/>
            <w:tcBorders>
              <w:top w:val="single" w:sz="8" w:color="CCEEFF"/>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1,030</w:t>
            </w:r>
          </w:p>
        </w:tc>
        <w:tc>
          <w:tcPr>
            <w:tcW w:w="10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2,596</w:t>
            </w:r>
          </w:p>
        </w:tc>
        <w:tc>
          <w:tcPr>
            <w:tcW w:w="10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2,908</w:t>
            </w:r>
          </w:p>
        </w:tc>
      </w:tr>
      <w:tr>
        <w:trPr>
          <w:trHeight w:val="260"/>
        </w:trPr>
        <w:tc>
          <w:tcPr>
            <w:tcW w:w="20" w:type="dxa"/>
            <w:vAlign w:val="bottom"/>
          </w:tcPr>
          <w:p>
            <w:pPr>
              <w:spacing w:after="0"/>
              <w:rPr>
                <w:sz w:val="22"/>
                <w:szCs w:val="22"/>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GMIO(b)</w:t>
            </w:r>
          </w:p>
        </w:tc>
        <w:tc>
          <w:tcPr>
            <w:tcW w:w="1600" w:type="dxa"/>
            <w:vAlign w:val="bottom"/>
          </w:tcPr>
          <w:p>
            <w:pPr>
              <w:jc w:val="right"/>
              <w:ind w:right="44"/>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2"/>
                <w:szCs w:val="22"/>
                <w:color w:val="auto"/>
              </w:rPr>
            </w:pPr>
          </w:p>
        </w:tc>
        <w:tc>
          <w:tcPr>
            <w:tcW w:w="1620" w:type="dxa"/>
            <w:vAlign w:val="bottom"/>
          </w:tcPr>
          <w:p>
            <w:pPr>
              <w:jc w:val="right"/>
              <w:ind w:right="62"/>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2"/>
                <w:szCs w:val="22"/>
                <w:color w:val="auto"/>
              </w:rPr>
            </w:pPr>
          </w:p>
        </w:tc>
        <w:tc>
          <w:tcPr>
            <w:tcW w:w="1580" w:type="dxa"/>
            <w:vAlign w:val="bottom"/>
          </w:tcPr>
          <w:p>
            <w:pPr>
              <w:jc w:val="right"/>
              <w:ind w:right="24"/>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2"/>
                <w:szCs w:val="22"/>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500</w:t>
            </w:r>
          </w:p>
        </w:tc>
      </w:tr>
      <w:tr>
        <w:trPr>
          <w:trHeight w:val="273"/>
        </w:trPr>
        <w:tc>
          <w:tcPr>
            <w:tcW w:w="20" w:type="dxa"/>
            <w:vAlign w:val="bottom"/>
          </w:tcPr>
          <w:p>
            <w:pPr>
              <w:spacing w:after="0"/>
              <w:rPr>
                <w:sz w:val="23"/>
                <w:szCs w:val="23"/>
                <w:color w:val="auto"/>
              </w:rPr>
            </w:pPr>
          </w:p>
        </w:tc>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GMSA(a)</w:t>
            </w:r>
          </w:p>
        </w:tc>
        <w:tc>
          <w:tcPr>
            <w:tcW w:w="16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487</w:t>
            </w:r>
          </w:p>
        </w:tc>
        <w:tc>
          <w:tcPr>
            <w:tcW w:w="10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400</w:t>
            </w:r>
          </w:p>
        </w:tc>
      </w:tr>
      <w:tr>
        <w:trPr>
          <w:trHeight w:val="280"/>
        </w:trPr>
        <w:tc>
          <w:tcPr>
            <w:tcW w:w="20" w:type="dxa"/>
            <w:vAlign w:val="bottom"/>
          </w:tcPr>
          <w:p>
            <w:pPr>
              <w:spacing w:after="0"/>
              <w:rPr>
                <w:sz w:val="24"/>
                <w:szCs w:val="24"/>
                <w:color w:val="auto"/>
              </w:rPr>
            </w:pPr>
          </w:p>
        </w:tc>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1,083</w:t>
            </w:r>
          </w:p>
        </w:tc>
        <w:tc>
          <w:tcPr>
            <w:tcW w:w="12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1,343</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3,535</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3,808</w:t>
            </w:r>
          </w:p>
        </w:tc>
      </w:tr>
      <w:tr>
        <w:trPr>
          <w:trHeight w:val="119"/>
        </w:trPr>
        <w:tc>
          <w:tcPr>
            <w:tcW w:w="20" w:type="dxa"/>
            <w:vAlign w:val="bottom"/>
          </w:tcPr>
          <w:p>
            <w:pPr>
              <w:spacing w:after="0"/>
              <w:rPr>
                <w:sz w:val="10"/>
                <w:szCs w:val="10"/>
                <w:color w:val="auto"/>
              </w:rPr>
            </w:pPr>
          </w:p>
        </w:tc>
        <w:tc>
          <w:tcPr>
            <w:tcW w:w="468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r>
      <w:tr>
        <w:trPr>
          <w:trHeight w:val="251"/>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6"/>
                <w:szCs w:val="16"/>
                <w:color w:val="auto"/>
              </w:rPr>
              <w:t>Discontinued operations</w:t>
            </w:r>
          </w:p>
        </w:tc>
        <w:tc>
          <w:tcPr>
            <w:tcW w:w="1600" w:type="dxa"/>
            <w:vAlign w:val="bottom"/>
          </w:tcPr>
          <w:p>
            <w:pPr>
              <w:jc w:val="right"/>
              <w:ind w:right="44"/>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1"/>
                <w:szCs w:val="21"/>
                <w:color w:val="auto"/>
              </w:rPr>
            </w:pPr>
          </w:p>
        </w:tc>
        <w:tc>
          <w:tcPr>
            <w:tcW w:w="1620" w:type="dxa"/>
            <w:vAlign w:val="bottom"/>
          </w:tcPr>
          <w:p>
            <w:pPr>
              <w:jc w:val="right"/>
              <w:ind w:right="62"/>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21"/>
                <w:szCs w:val="21"/>
                <w:color w:val="auto"/>
              </w:rPr>
            </w:pPr>
          </w:p>
        </w:tc>
        <w:tc>
          <w:tcPr>
            <w:tcW w:w="1580" w:type="dxa"/>
            <w:vAlign w:val="bottom"/>
          </w:tcPr>
          <w:p>
            <w:pPr>
              <w:jc w:val="right"/>
              <w:ind w:right="24"/>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21"/>
                <w:szCs w:val="21"/>
                <w:color w:val="auto"/>
              </w:rPr>
            </w:pPr>
          </w:p>
        </w:tc>
        <w:tc>
          <w:tcPr>
            <w:tcW w:w="1580" w:type="dxa"/>
            <w:vAlign w:val="bottom"/>
          </w:tcPr>
          <w:p>
            <w:pPr>
              <w:jc w:val="right"/>
              <w:ind w:right="22"/>
              <w:spacing w:after="0"/>
              <w:rPr>
                <w:sz w:val="20"/>
                <w:szCs w:val="20"/>
                <w:color w:val="auto"/>
              </w:rPr>
            </w:pPr>
            <w:r>
              <w:rPr>
                <w:rFonts w:ascii="Arial" w:cs="Arial" w:eastAsia="Arial" w:hAnsi="Arial"/>
                <w:sz w:val="16"/>
                <w:szCs w:val="16"/>
                <w:color w:val="auto"/>
              </w:rPr>
              <w:t>904</w:t>
            </w:r>
          </w:p>
        </w:tc>
      </w:tr>
      <w:tr>
        <w:trPr>
          <w:trHeight w:val="186"/>
        </w:trPr>
        <w:tc>
          <w:tcPr>
            <w:tcW w:w="4700" w:type="dxa"/>
            <w:vAlign w:val="bottom"/>
            <w:gridSpan w:val="2"/>
          </w:tcPr>
          <w:p>
            <w:pPr>
              <w:jc w:val="right"/>
              <w:ind w:right="3819"/>
              <w:spacing w:after="0"/>
              <w:rPr>
                <w:sz w:val="20"/>
                <w:szCs w:val="20"/>
                <w:color w:val="auto"/>
              </w:rPr>
            </w:pPr>
            <w:r>
              <w:rPr>
                <w:rFonts w:ascii="Arial" w:cs="Arial" w:eastAsia="Arial" w:hAnsi="Arial"/>
                <w:sz w:val="14"/>
                <w:szCs w:val="14"/>
                <w:color w:val="auto"/>
              </w:rPr>
              <w:t>__________</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Wholesale vehicle sales related to transactions with the European Business were insignificant for the three and nine months ended September 30, 2017 and 2016.</w:t>
      </w:r>
    </w:p>
    <w:p>
      <w:pPr>
        <w:spacing w:after="0" w:line="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Wholesale vehicle sales include 37 and 24 vehicles related to transactions with the European Business for the three months ended September 30, 2017 and 2016 and 131 and 94 vehicles for the nine months ended September 30, 2017 and 2016.</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5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color w:val="auto"/>
        </w:rPr>
        <w:t>Retail vehicle sales data, which represents sales to end customers based upon the good faith estimates of management, including sales to fleet customers, does not correlate directly to the revenue GM recognizes during the period. However retail vehicle sales data is indicative of the underlying demand for GM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76"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6"/>
          <w:szCs w:val="16"/>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and vehicles sold through the dealer registration channel primarily in Europe. This sales channel consists primarily of dealer demonstrator, loaner and self-registered vehicles which are not eligible to be sold as new vehicles after being registered by dealers. Certain fleet sales that are accounted for as operating leases are included in retail vehicle sales at the time of delivery to daily rental car companies. The following table summarizes total industry retail sales, or estimated sales where retail sales volume is not available, by geographic region (vehicles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80" w:type="dxa"/>
            <w:vAlign w:val="bottom"/>
          </w:tcPr>
          <w:p>
            <w:pPr>
              <w:spacing w:after="0"/>
              <w:rPr>
                <w:sz w:val="15"/>
                <w:szCs w:val="15"/>
                <w:color w:val="auto"/>
              </w:rPr>
            </w:pPr>
          </w:p>
        </w:tc>
        <w:tc>
          <w:tcPr>
            <w:tcW w:w="33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328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2"/>
                <w:szCs w:val="22"/>
                <w:color w:val="auto"/>
              </w:rPr>
            </w:pPr>
          </w:p>
        </w:tc>
        <w:tc>
          <w:tcPr>
            <w:tcW w:w="1720" w:type="dxa"/>
            <w:vAlign w:val="bottom"/>
            <w:gridSpan w:val="2"/>
          </w:tcPr>
          <w:p>
            <w:pPr>
              <w:ind w:left="220"/>
              <w:spacing w:after="0"/>
              <w:rPr>
                <w:sz w:val="20"/>
                <w:szCs w:val="20"/>
                <w:color w:val="auto"/>
              </w:rPr>
            </w:pPr>
            <w:r>
              <w:rPr>
                <w:rFonts w:ascii="Arial" w:cs="Arial" w:eastAsia="Arial" w:hAnsi="Arial"/>
                <w:sz w:val="13"/>
                <w:szCs w:val="13"/>
                <w:b w:val="1"/>
                <w:bCs w:val="1"/>
                <w:color w:val="auto"/>
              </w:rPr>
              <w:t>September 30, 2017</w:t>
            </w:r>
          </w:p>
        </w:tc>
        <w:tc>
          <w:tcPr>
            <w:tcW w:w="1720" w:type="dxa"/>
            <w:vAlign w:val="bottom"/>
            <w:gridSpan w:val="2"/>
          </w:tcPr>
          <w:p>
            <w:pPr>
              <w:ind w:left="220"/>
              <w:spacing w:after="0"/>
              <w:rPr>
                <w:sz w:val="20"/>
                <w:szCs w:val="20"/>
                <w:color w:val="auto"/>
              </w:rPr>
            </w:pPr>
            <w:r>
              <w:rPr>
                <w:rFonts w:ascii="Arial" w:cs="Arial" w:eastAsia="Arial" w:hAnsi="Arial"/>
                <w:sz w:val="13"/>
                <w:szCs w:val="13"/>
                <w:b w:val="1"/>
                <w:bCs w:val="1"/>
                <w:color w:val="auto"/>
              </w:rPr>
              <w:t>September 30, 2016</w:t>
            </w:r>
          </w:p>
        </w:tc>
        <w:tc>
          <w:tcPr>
            <w:tcW w:w="1700" w:type="dxa"/>
            <w:vAlign w:val="bottom"/>
            <w:gridSpan w:val="2"/>
          </w:tcPr>
          <w:p>
            <w:pPr>
              <w:ind w:left="200"/>
              <w:spacing w:after="0"/>
              <w:rPr>
                <w:sz w:val="20"/>
                <w:szCs w:val="20"/>
                <w:color w:val="auto"/>
              </w:rPr>
            </w:pPr>
            <w:r>
              <w:rPr>
                <w:rFonts w:ascii="Arial" w:cs="Arial" w:eastAsia="Arial" w:hAnsi="Arial"/>
                <w:sz w:val="13"/>
                <w:szCs w:val="13"/>
                <w:b w:val="1"/>
                <w:bCs w:val="1"/>
                <w:color w:val="auto"/>
              </w:rPr>
              <w:t>September 30, 2017</w:t>
            </w:r>
          </w:p>
        </w:tc>
        <w:tc>
          <w:tcPr>
            <w:tcW w:w="1580" w:type="dxa"/>
            <w:vAlign w:val="bottom"/>
          </w:tcPr>
          <w:p>
            <w:pPr>
              <w:jc w:val="right"/>
              <w:ind w:right="120"/>
              <w:spacing w:after="0"/>
              <w:rPr>
                <w:sz w:val="20"/>
                <w:szCs w:val="20"/>
                <w:color w:val="auto"/>
              </w:rPr>
            </w:pPr>
            <w:r>
              <w:rPr>
                <w:rFonts w:ascii="Arial" w:cs="Arial" w:eastAsia="Arial" w:hAnsi="Arial"/>
                <w:sz w:val="13"/>
                <w:szCs w:val="13"/>
                <w:b w:val="1"/>
                <w:bCs w:val="1"/>
                <w:color w:val="auto"/>
              </w:rPr>
              <w:t>September 30, 2016</w:t>
            </w:r>
          </w:p>
        </w:tc>
        <w:tc>
          <w:tcPr>
            <w:tcW w:w="0" w:type="dxa"/>
            <w:vAlign w:val="bottom"/>
          </w:tcPr>
          <w:p>
            <w:pPr>
              <w:spacing w:after="0"/>
              <w:rPr>
                <w:sz w:val="1"/>
                <w:szCs w:val="1"/>
                <w:color w:val="auto"/>
              </w:rPr>
            </w:pPr>
          </w:p>
        </w:tc>
      </w:tr>
      <w:tr>
        <w:trPr>
          <w:trHeight w:val="260"/>
        </w:trPr>
        <w:tc>
          <w:tcPr>
            <w:tcW w:w="468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Cars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60"/>
        </w:trPr>
        <w:tc>
          <w:tcPr>
            <w:tcW w:w="4680" w:type="dxa"/>
            <w:vAlign w:val="bottom"/>
          </w:tcPr>
          <w:p>
            <w:pPr>
              <w:ind w:left="280"/>
              <w:spacing w:after="0"/>
              <w:rPr>
                <w:sz w:val="20"/>
                <w:szCs w:val="20"/>
                <w:color w:val="auto"/>
              </w:rPr>
            </w:pPr>
            <w:r>
              <w:rPr>
                <w:rFonts w:ascii="Arial" w:cs="Arial" w:eastAsia="Arial" w:hAnsi="Arial"/>
                <w:sz w:val="16"/>
                <w:szCs w:val="16"/>
                <w:color w:val="auto"/>
              </w:rPr>
              <w:t>Chevrolet – Trucks</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2"/>
                <w:szCs w:val="22"/>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2"/>
                <w:szCs w:val="22"/>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Crossovers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260"/>
        </w:trPr>
        <w:tc>
          <w:tcPr>
            <w:tcW w:w="4680" w:type="dxa"/>
            <w:vAlign w:val="bottom"/>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2"/>
                <w:szCs w:val="22"/>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160</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GMC</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United States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781</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773</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2,196</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2,212</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Canada, Mexico and Other</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North America(a)</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925</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2,619</w:t>
            </w:r>
          </w:p>
        </w:tc>
        <w:tc>
          <w:tcPr>
            <w:tcW w:w="12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254"/>
        </w:trPr>
        <w:tc>
          <w:tcPr>
            <w:tcW w:w="4680" w:type="dxa"/>
            <w:vAlign w:val="bottom"/>
          </w:tcPr>
          <w:p>
            <w:pPr>
              <w:ind w:left="40"/>
              <w:spacing w:after="0"/>
              <w:rPr>
                <w:sz w:val="20"/>
                <w:szCs w:val="20"/>
                <w:color w:val="auto"/>
              </w:rPr>
            </w:pPr>
            <w:r>
              <w:rPr>
                <w:rFonts w:ascii="Arial" w:cs="Arial" w:eastAsia="Arial" w:hAnsi="Arial"/>
                <w:sz w:val="16"/>
                <w:szCs w:val="16"/>
                <w:color w:val="auto"/>
              </w:rPr>
              <w:t>Asia/Pacific, Middle East and Africa</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670</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692</w:t>
            </w:r>
          </w:p>
        </w:tc>
        <w:tc>
          <w:tcPr>
            <w:tcW w:w="0" w:type="dxa"/>
            <w:vAlign w:val="bottom"/>
          </w:tcPr>
          <w:p>
            <w:pPr>
              <w:spacing w:after="0"/>
              <w:rPr>
                <w:sz w:val="1"/>
                <w:szCs w:val="1"/>
                <w:color w:val="auto"/>
              </w:rPr>
            </w:pPr>
          </w:p>
        </w:tc>
      </w:tr>
      <w:tr>
        <w:trPr>
          <w:trHeight w:val="260"/>
        </w:trPr>
        <w:tc>
          <w:tcPr>
            <w:tcW w:w="4680" w:type="dxa"/>
            <w:vAlign w:val="bottom"/>
          </w:tcPr>
          <w:p>
            <w:pPr>
              <w:ind w:left="280"/>
              <w:spacing w:after="0"/>
              <w:rPr>
                <w:sz w:val="20"/>
                <w:szCs w:val="20"/>
                <w:color w:val="auto"/>
              </w:rPr>
            </w:pPr>
            <w:r>
              <w:rPr>
                <w:rFonts w:ascii="Arial" w:cs="Arial" w:eastAsia="Arial" w:hAnsi="Arial"/>
                <w:sz w:val="16"/>
                <w:szCs w:val="16"/>
                <w:color w:val="auto"/>
              </w:rPr>
              <w:t>Wuling</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22"/>
                <w:szCs w:val="22"/>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2"/>
                <w:szCs w:val="22"/>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801</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969</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836</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60"/>
        </w:trPr>
        <w:tc>
          <w:tcPr>
            <w:tcW w:w="4680" w:type="dxa"/>
            <w:vAlign w:val="bottom"/>
          </w:tcPr>
          <w:p>
            <w:pPr>
              <w:ind w:left="280"/>
              <w:spacing w:after="0"/>
              <w:rPr>
                <w:sz w:val="20"/>
                <w:szCs w:val="20"/>
                <w:color w:val="auto"/>
              </w:rPr>
            </w:pPr>
            <w:r>
              <w:rPr>
                <w:rFonts w:ascii="Arial" w:cs="Arial" w:eastAsia="Arial" w:hAnsi="Arial"/>
                <w:sz w:val="16"/>
                <w:szCs w:val="16"/>
                <w:color w:val="auto"/>
              </w:rPr>
              <w:t>Baojun</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2"/>
                <w:szCs w:val="22"/>
                <w:color w:val="auto"/>
              </w:rPr>
            </w:pPr>
          </w:p>
        </w:tc>
        <w:tc>
          <w:tcPr>
            <w:tcW w:w="1620" w:type="dxa"/>
            <w:vAlign w:val="bottom"/>
          </w:tcPr>
          <w:p>
            <w:pPr>
              <w:jc w:val="right"/>
              <w:ind w:right="40"/>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2"/>
                <w:szCs w:val="22"/>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22"/>
                <w:szCs w:val="22"/>
                <w:color w:val="auto"/>
              </w:rPr>
            </w:pP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80"/>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Asia/Pacific, Middle East and Africa(a)(b)(c)</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1,130</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1,045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3,214</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3,214</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South America(a)(d)</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487</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57"/>
        </w:trPr>
        <w:tc>
          <w:tcPr>
            <w:tcW w:w="4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in GM markets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2,234</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2,117</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6,320</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6,264</w:t>
            </w:r>
          </w:p>
        </w:tc>
        <w:tc>
          <w:tcPr>
            <w:tcW w:w="0" w:type="dxa"/>
            <w:vAlign w:val="bottom"/>
          </w:tcPr>
          <w:p>
            <w:pPr>
              <w:spacing w:after="0"/>
              <w:rPr>
                <w:sz w:val="1"/>
                <w:szCs w:val="1"/>
                <w:color w:val="auto"/>
              </w:rPr>
            </w:pPr>
          </w:p>
        </w:tc>
      </w:tr>
      <w:tr>
        <w:trPr>
          <w:trHeight w:val="264"/>
        </w:trPr>
        <w:tc>
          <w:tcPr>
            <w:tcW w:w="46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Europe</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684</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4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Worldwide</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2,317</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2,391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7,004</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7,161</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4"/>
                <w:szCs w:val="14"/>
                <w:color w:val="auto"/>
              </w:rPr>
              <w:t>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68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Sales of Opel/Vauxhall outside of Europe were insignificant in the three and nine months ended September 30, 2017 and 2016.</w:t>
      </w:r>
    </w:p>
    <w:p>
      <w:pPr>
        <w:spacing w:after="0" w:line="1"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three months ended March 31, 2017, we began using estimated vehicle registrations data as the basis for calculating industry volume and market share in China. In the three and nine months ended September 30, 2016, wholesale volumes were used for Industry, GM and Market Share. Our retail sales in China were 908 and 2,718 in the three and nine months ended September 30, 2016.</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Industry and GM sales in India and South Africa. We intend to phase out sales of Chevrolet in the Indian and South African markets by the end of 2017.</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Primarily Chevrolet.</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5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right="20" w:firstLine="162"/>
        <w:spacing w:after="0" w:line="260" w:lineRule="auto"/>
        <w:rPr>
          <w:sz w:val="20"/>
          <w:szCs w:val="20"/>
          <w:color w:val="auto"/>
        </w:rPr>
      </w:pPr>
      <w:r>
        <w:rPr>
          <w:rFonts w:ascii="Arial" w:cs="Arial" w:eastAsia="Arial" w:hAnsi="Arial"/>
          <w:sz w:val="16"/>
          <w:szCs w:val="16"/>
          <w:color w:val="auto"/>
        </w:rPr>
        <w:t>The vehicle sales at GM's China joint ventures presented in the following table are included in GM's retail vehicle sales on the preceding page (vehicles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40" w:type="dxa"/>
            <w:vAlign w:val="bottom"/>
            <w:tcBorders>
              <w:bottom w:val="single" w:sz="8" w:color="auto"/>
            </w:tcBorders>
            <w:gridSpan w:val="5"/>
          </w:tcPr>
          <w:p>
            <w:pPr>
              <w:ind w:left="10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3260" w:type="dxa"/>
            <w:vAlign w:val="bottom"/>
            <w:tcBorders>
              <w:bottom w:val="single" w:sz="8" w:color="auto"/>
            </w:tcBorders>
            <w:gridSpan w:val="5"/>
          </w:tcPr>
          <w:p>
            <w:pPr>
              <w:jc w:val="right"/>
              <w:ind w:right="961"/>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4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20" w:type="dxa"/>
            <w:vAlign w:val="bottom"/>
            <w:gridSpan w:val="3"/>
          </w:tcPr>
          <w:p>
            <w:pPr>
              <w:ind w:left="200"/>
              <w:spacing w:after="0"/>
              <w:rPr>
                <w:sz w:val="20"/>
                <w:szCs w:val="20"/>
                <w:color w:val="auto"/>
              </w:rPr>
            </w:pPr>
            <w:r>
              <w:rPr>
                <w:rFonts w:ascii="Arial" w:cs="Arial" w:eastAsia="Arial" w:hAnsi="Arial"/>
                <w:sz w:val="13"/>
                <w:szCs w:val="13"/>
                <w:b w:val="1"/>
                <w:bCs w:val="1"/>
                <w:color w:val="auto"/>
              </w:rPr>
              <w:t>September 30, 2017</w:t>
            </w:r>
          </w:p>
        </w:tc>
        <w:tc>
          <w:tcPr>
            <w:tcW w:w="1740" w:type="dxa"/>
            <w:vAlign w:val="bottom"/>
            <w:gridSpan w:val="3"/>
          </w:tcPr>
          <w:p>
            <w:pPr>
              <w:ind w:left="220"/>
              <w:spacing w:after="0"/>
              <w:rPr>
                <w:sz w:val="20"/>
                <w:szCs w:val="20"/>
                <w:color w:val="auto"/>
              </w:rPr>
            </w:pPr>
            <w:r>
              <w:rPr>
                <w:rFonts w:ascii="Arial" w:cs="Arial" w:eastAsia="Arial" w:hAnsi="Arial"/>
                <w:sz w:val="13"/>
                <w:szCs w:val="13"/>
                <w:b w:val="1"/>
                <w:bCs w:val="1"/>
                <w:color w:val="auto"/>
              </w:rPr>
              <w:t>September 30, 2016</w:t>
            </w:r>
          </w:p>
        </w:tc>
        <w:tc>
          <w:tcPr>
            <w:tcW w:w="1680" w:type="dxa"/>
            <w:vAlign w:val="bottom"/>
            <w:gridSpan w:val="4"/>
          </w:tcPr>
          <w:p>
            <w:pPr>
              <w:ind w:left="200"/>
              <w:spacing w:after="0"/>
              <w:rPr>
                <w:sz w:val="20"/>
                <w:szCs w:val="20"/>
                <w:color w:val="auto"/>
              </w:rPr>
            </w:pPr>
            <w:r>
              <w:rPr>
                <w:rFonts w:ascii="Arial" w:cs="Arial" w:eastAsia="Arial" w:hAnsi="Arial"/>
                <w:sz w:val="13"/>
                <w:szCs w:val="13"/>
                <w:b w:val="1"/>
                <w:bCs w:val="1"/>
                <w:color w:val="auto"/>
              </w:rPr>
              <w:t>September 30, 2017</w:t>
            </w:r>
          </w:p>
        </w:tc>
        <w:tc>
          <w:tcPr>
            <w:tcW w:w="1580" w:type="dxa"/>
            <w:vAlign w:val="bottom"/>
          </w:tcPr>
          <w:p>
            <w:pPr>
              <w:jc w:val="right"/>
              <w:ind w:right="121"/>
              <w:spacing w:after="0"/>
              <w:rPr>
                <w:sz w:val="20"/>
                <w:szCs w:val="20"/>
                <w:color w:val="auto"/>
              </w:rPr>
            </w:pPr>
            <w:r>
              <w:rPr>
                <w:rFonts w:ascii="Arial" w:cs="Arial" w:eastAsia="Arial" w:hAnsi="Arial"/>
                <w:sz w:val="13"/>
                <w:szCs w:val="13"/>
                <w:b w:val="1"/>
                <w:bCs w:val="1"/>
                <w:color w:val="auto"/>
              </w:rPr>
              <w:t>September 30, 2016</w:t>
            </w:r>
          </w:p>
        </w:tc>
      </w:tr>
      <w:tr>
        <w:trPr>
          <w:trHeight w:val="257"/>
        </w:trPr>
        <w:tc>
          <w:tcPr>
            <w:tcW w:w="47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SAIC General Motors Sales Co., Ltd.(a)</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60" w:type="dxa"/>
            <w:vAlign w:val="bottom"/>
            <w:tcBorders>
              <w:top w:val="single" w:sz="8" w:color="auto"/>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1,243</w:t>
            </w:r>
          </w:p>
        </w:tc>
      </w:tr>
      <w:tr>
        <w:trPr>
          <w:trHeight w:val="218"/>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SAIC GM Wuling Automobile Co., Ltd. and FAW-GM Light Duty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195"/>
        </w:trPr>
        <w:tc>
          <w:tcPr>
            <w:tcW w:w="4700" w:type="dxa"/>
            <w:vAlign w:val="bottom"/>
            <w:gridSpan w:val="2"/>
          </w:tcPr>
          <w:p>
            <w:pPr>
              <w:ind w:left="200"/>
              <w:spacing w:after="0"/>
              <w:rPr>
                <w:sz w:val="20"/>
                <w:szCs w:val="20"/>
                <w:color w:val="auto"/>
              </w:rPr>
            </w:pPr>
            <w:r>
              <w:rPr>
                <w:rFonts w:ascii="Arial" w:cs="Arial" w:eastAsia="Arial" w:hAnsi="Arial"/>
                <w:sz w:val="16"/>
                <w:szCs w:val="16"/>
                <w:color w:val="auto"/>
              </w:rPr>
              <w:t>Commercial Vehicle Co., Ltd.(a)</w:t>
            </w:r>
          </w:p>
        </w:tc>
        <w:tc>
          <w:tcPr>
            <w:tcW w:w="1500" w:type="dxa"/>
            <w:vAlign w:val="bottom"/>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1,441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1,447</w:t>
            </w:r>
          </w:p>
        </w:tc>
      </w:tr>
      <w:tr>
        <w:trPr>
          <w:trHeight w:val="634"/>
        </w:trPr>
        <w:tc>
          <w:tcPr>
            <w:tcW w:w="45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981"/>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right"/>
              <w:ind w:right="1001"/>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45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September 30, 2017</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September 30, 2016</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63"/>
              <w:spacing w:after="0"/>
              <w:rPr>
                <w:sz w:val="20"/>
                <w:szCs w:val="20"/>
                <w:color w:val="auto"/>
              </w:rPr>
            </w:pPr>
            <w:r>
              <w:rPr>
                <w:rFonts w:ascii="Arial" w:cs="Arial" w:eastAsia="Arial" w:hAnsi="Arial"/>
                <w:sz w:val="13"/>
                <w:szCs w:val="13"/>
                <w:b w:val="1"/>
                <w:bCs w:val="1"/>
                <w:color w:val="auto"/>
              </w:rPr>
              <w:t>September 30, 2017</w:t>
            </w:r>
          </w:p>
        </w:tc>
        <w:tc>
          <w:tcPr>
            <w:tcW w:w="100" w:type="dxa"/>
            <w:vAlign w:val="bottom"/>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41"/>
              <w:spacing w:after="0"/>
              <w:rPr>
                <w:sz w:val="20"/>
                <w:szCs w:val="20"/>
                <w:color w:val="auto"/>
              </w:rPr>
            </w:pPr>
            <w:r>
              <w:rPr>
                <w:rFonts w:ascii="Arial" w:cs="Arial" w:eastAsia="Arial" w:hAnsi="Arial"/>
                <w:sz w:val="13"/>
                <w:szCs w:val="13"/>
                <w:b w:val="1"/>
                <w:bCs w:val="1"/>
                <w:color w:val="auto"/>
              </w:rPr>
              <w:t>September 30, 2016</w:t>
            </w: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Market Share</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80"/>
        </w:trPr>
        <w:tc>
          <w:tcPr>
            <w:tcW w:w="4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United States – Cars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60"/>
        </w:trPr>
        <w:tc>
          <w:tcPr>
            <w:tcW w:w="4700" w:type="dxa"/>
            <w:vAlign w:val="bottom"/>
            <w:gridSpan w:val="2"/>
          </w:tcPr>
          <w:p>
            <w:pPr>
              <w:ind w:left="200"/>
              <w:spacing w:after="0"/>
              <w:rPr>
                <w:sz w:val="20"/>
                <w:szCs w:val="20"/>
                <w:color w:val="auto"/>
              </w:rPr>
            </w:pPr>
            <w:r>
              <w:rPr>
                <w:rFonts w:ascii="Arial" w:cs="Arial" w:eastAsia="Arial" w:hAnsi="Arial"/>
                <w:sz w:val="16"/>
                <w:szCs w:val="16"/>
                <w:color w:val="auto"/>
              </w:rPr>
              <w:t>United States – Trucks</w:t>
            </w:r>
          </w:p>
        </w:tc>
        <w:tc>
          <w:tcPr>
            <w:tcW w:w="1500" w:type="dxa"/>
            <w:vAlign w:val="bottom"/>
          </w:tcPr>
          <w:p>
            <w:pPr>
              <w:jc w:val="right"/>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80"/>
        </w:trPr>
        <w:tc>
          <w:tcPr>
            <w:tcW w:w="4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United States – Crossovers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60"/>
        </w:trPr>
        <w:tc>
          <w:tcPr>
            <w:tcW w:w="4700" w:type="dxa"/>
            <w:vAlign w:val="bottom"/>
            <w:gridSpan w:val="2"/>
          </w:tcPr>
          <w:p>
            <w:pPr>
              <w:ind w:left="200"/>
              <w:spacing w:after="0"/>
              <w:rPr>
                <w:sz w:val="20"/>
                <w:szCs w:val="20"/>
                <w:color w:val="auto"/>
              </w:rPr>
            </w:pPr>
            <w:r>
              <w:rPr>
                <w:rFonts w:ascii="Arial" w:cs="Arial" w:eastAsia="Arial" w:hAnsi="Arial"/>
                <w:sz w:val="16"/>
                <w:szCs w:val="16"/>
                <w:color w:val="auto"/>
              </w:rPr>
              <w:t>Total United States</w:t>
            </w:r>
          </w:p>
        </w:tc>
        <w:tc>
          <w:tcPr>
            <w:tcW w:w="150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16.7%</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80"/>
        </w:trPr>
        <w:tc>
          <w:tcPr>
            <w:tcW w:w="4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North America</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60"/>
        </w:trPr>
        <w:tc>
          <w:tcPr>
            <w:tcW w:w="4700" w:type="dxa"/>
            <w:vAlign w:val="bottom"/>
            <w:gridSpan w:val="2"/>
          </w:tcPr>
          <w:p>
            <w:pPr>
              <w:ind w:left="200"/>
              <w:spacing w:after="0"/>
              <w:rPr>
                <w:sz w:val="20"/>
                <w:szCs w:val="20"/>
                <w:color w:val="auto"/>
              </w:rPr>
            </w:pPr>
            <w:r>
              <w:rPr>
                <w:rFonts w:ascii="Arial" w:cs="Arial" w:eastAsia="Arial" w:hAnsi="Arial"/>
                <w:sz w:val="16"/>
                <w:szCs w:val="16"/>
                <w:color w:val="auto"/>
              </w:rPr>
              <w:t>Total Asia/Pacific, Russia, Middle East and Africa(a)</w:t>
            </w:r>
          </w:p>
        </w:tc>
        <w:tc>
          <w:tcPr>
            <w:tcW w:w="150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80"/>
        </w:trPr>
        <w:tc>
          <w:tcPr>
            <w:tcW w:w="4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South America</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Total GM Market</w:t>
            </w:r>
          </w:p>
        </w:tc>
        <w:tc>
          <w:tcPr>
            <w:tcW w:w="150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80"/>
        </w:trPr>
        <w:tc>
          <w:tcPr>
            <w:tcW w:w="47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Europe</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6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Total Worldwide</w:t>
            </w:r>
          </w:p>
        </w:tc>
        <w:tc>
          <w:tcPr>
            <w:tcW w:w="150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172"/>
        </w:trPr>
        <w:tc>
          <w:tcPr>
            <w:tcW w:w="4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18"/>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United States fleet sales as a percentage of retail vehicle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4"/>
        </w:trPr>
        <w:tc>
          <w:tcPr>
            <w:tcW w:w="4700" w:type="dxa"/>
            <w:vAlign w:val="bottom"/>
            <w:gridSpan w:val="2"/>
          </w:tcPr>
          <w:p>
            <w:pPr>
              <w:ind w:left="200"/>
              <w:spacing w:after="0"/>
              <w:rPr>
                <w:sz w:val="20"/>
                <w:szCs w:val="20"/>
                <w:color w:val="auto"/>
              </w:rPr>
            </w:pPr>
            <w:r>
              <w:rPr>
                <w:rFonts w:ascii="Arial" w:cs="Arial" w:eastAsia="Arial" w:hAnsi="Arial"/>
                <w:sz w:val="16"/>
                <w:szCs w:val="16"/>
                <w:color w:val="auto"/>
              </w:rPr>
              <w:t>sales</w:t>
            </w:r>
          </w:p>
        </w:tc>
        <w:tc>
          <w:tcPr>
            <w:tcW w:w="150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172"/>
        </w:trPr>
        <w:tc>
          <w:tcPr>
            <w:tcW w:w="45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r>
      <w:tr>
        <w:trPr>
          <w:trHeight w:val="251"/>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North America capacity two shift utilization</w:t>
            </w:r>
          </w:p>
        </w:tc>
        <w:tc>
          <w:tcPr>
            <w:tcW w:w="1500" w:type="dxa"/>
            <w:vAlign w:val="bottom"/>
          </w:tcPr>
          <w:p>
            <w:pPr>
              <w:jc w:val="right"/>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115.3%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98.6%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106.6%</w:t>
            </w:r>
          </w:p>
        </w:tc>
      </w:tr>
      <w:tr>
        <w:trPr>
          <w:trHeight w:val="186"/>
        </w:trPr>
        <w:tc>
          <w:tcPr>
            <w:tcW w:w="4560" w:type="dxa"/>
            <w:vAlign w:val="bottom"/>
          </w:tcPr>
          <w:p>
            <w:pPr>
              <w:spacing w:after="0"/>
              <w:rPr>
                <w:sz w:val="20"/>
                <w:szCs w:val="20"/>
                <w:color w:val="auto"/>
              </w:rPr>
            </w:pPr>
            <w:r>
              <w:rPr>
                <w:rFonts w:ascii="Arial" w:cs="Arial" w:eastAsia="Arial" w:hAnsi="Arial"/>
                <w:sz w:val="14"/>
                <w:szCs w:val="14"/>
                <w:color w:val="auto"/>
              </w:rPr>
              <w:t>_______</w:t>
            </w:r>
          </w:p>
        </w:tc>
        <w:tc>
          <w:tcPr>
            <w:tcW w:w="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ind w:left="340" w:hanging="332"/>
        <w:spacing w:after="0" w:line="258"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the three months ended March 31, 2017, we began using estimated vehicle registrations data as the basis for calculating industry volume and market share in China. In the three and nine months ended September 30, 2016, wholesale volumes were used for Industry, GM and Market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5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6"/>
          </w:tcPr>
          <w:p>
            <w:pPr>
              <w:spacing w:after="0"/>
              <w:rPr>
                <w:sz w:val="20"/>
                <w:szCs w:val="20"/>
                <w:color w:val="auto"/>
              </w:rPr>
            </w:pPr>
            <w:r>
              <w:rPr>
                <w:rFonts w:ascii="Arial" w:cs="Arial" w:eastAsia="Arial" w:hAnsi="Arial"/>
                <w:sz w:val="11"/>
                <w:szCs w:val="11"/>
                <w:b w:val="1"/>
                <w:bCs w:val="1"/>
                <w:color w:val="auto"/>
              </w:rPr>
              <w:t>Three Months Ended September 30, 2017</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gridSpan w:val="7"/>
          </w:tcPr>
          <w:p>
            <w:pPr>
              <w:jc w:val="center"/>
              <w:spacing w:after="0"/>
              <w:rPr>
                <w:sz w:val="20"/>
                <w:szCs w:val="20"/>
                <w:color w:val="auto"/>
              </w:rPr>
            </w:pPr>
            <w:r>
              <w:rPr>
                <w:rFonts w:ascii="Arial" w:cs="Arial" w:eastAsia="Arial" w:hAnsi="Arial"/>
                <w:sz w:val="11"/>
                <w:szCs w:val="11"/>
                <w:b w:val="1"/>
                <w:bCs w:val="1"/>
                <w:color w:val="auto"/>
                <w:w w:val="97"/>
              </w:rPr>
              <w:t>Three Months Ended September 30, 2016</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Combined</w:t>
            </w:r>
          </w:p>
        </w:tc>
        <w:tc>
          <w:tcPr>
            <w:tcW w:w="140" w:type="dxa"/>
            <w:vAlign w:val="bottom"/>
          </w:tcPr>
          <w:p>
            <w:pPr>
              <w:spacing w:after="0"/>
              <w:rPr>
                <w:sz w:val="21"/>
                <w:szCs w:val="21"/>
                <w:color w:val="auto"/>
              </w:rPr>
            </w:pPr>
          </w:p>
        </w:tc>
        <w:tc>
          <w:tcPr>
            <w:tcW w:w="760" w:type="dxa"/>
            <w:vAlign w:val="bottom"/>
          </w:tcPr>
          <w:p>
            <w:pPr>
              <w:jc w:val="right"/>
              <w:ind w:right="69"/>
              <w:spacing w:after="0"/>
              <w:rPr>
                <w:sz w:val="20"/>
                <w:szCs w:val="20"/>
                <w:color w:val="auto"/>
              </w:rPr>
            </w:pPr>
            <w:r>
              <w:rPr>
                <w:rFonts w:ascii="Arial" w:cs="Arial" w:eastAsia="Arial" w:hAnsi="Arial"/>
                <w:sz w:val="11"/>
                <w:szCs w:val="11"/>
                <w:b w:val="1"/>
                <w:bCs w:val="1"/>
                <w:color w:val="auto"/>
                <w:w w:val="99"/>
              </w:rPr>
              <w:t>Automotive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21"/>
                <w:szCs w:val="21"/>
                <w:color w:val="auto"/>
              </w:rPr>
            </w:pPr>
          </w:p>
        </w:tc>
        <w:tc>
          <w:tcPr>
            <w:tcW w:w="740" w:type="dxa"/>
            <w:vAlign w:val="bottom"/>
          </w:tcPr>
          <w:p>
            <w:pPr>
              <w:jc w:val="right"/>
              <w:ind w:right="109"/>
              <w:spacing w:after="0"/>
              <w:rPr>
                <w:sz w:val="20"/>
                <w:szCs w:val="20"/>
                <w:color w:val="auto"/>
              </w:rPr>
            </w:pPr>
            <w:r>
              <w:rPr>
                <w:rFonts w:ascii="Arial" w:cs="Arial" w:eastAsia="Arial" w:hAnsi="Arial"/>
                <w:sz w:val="11"/>
                <w:szCs w:val="11"/>
                <w:b w:val="1"/>
                <w:bCs w:val="1"/>
                <w:color w:val="auto"/>
              </w:rPr>
              <w:t>Combined</w:t>
            </w:r>
          </w:p>
        </w:tc>
        <w:tc>
          <w:tcPr>
            <w:tcW w:w="0" w:type="dxa"/>
            <w:vAlign w:val="bottom"/>
          </w:tcPr>
          <w:p>
            <w:pPr>
              <w:spacing w:after="0"/>
              <w:rPr>
                <w:sz w:val="1"/>
                <w:szCs w:val="1"/>
                <w:color w:val="auto"/>
              </w:rPr>
            </w:pPr>
          </w:p>
        </w:tc>
      </w:tr>
      <w:tr>
        <w:trPr>
          <w:trHeight w:val="2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sales and revenue</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Automotive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30,475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30,466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36,530</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36,530</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180"/>
              <w:spacing w:after="0"/>
              <w:rPr>
                <w:sz w:val="20"/>
                <w:szCs w:val="20"/>
                <w:color w:val="auto"/>
              </w:rPr>
            </w:pPr>
            <w:r>
              <w:rPr>
                <w:rFonts w:ascii="Arial" w:cs="Arial" w:eastAsia="Arial" w:hAnsi="Arial"/>
                <w:sz w:val="14"/>
                <w:szCs w:val="14"/>
                <w:color w:val="auto"/>
              </w:rPr>
              <w:t>GM Financial</w:t>
            </w:r>
          </w:p>
        </w:tc>
        <w:tc>
          <w:tcPr>
            <w:tcW w:w="14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3,161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3,157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2,360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2,359</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net sales and revenue</w:t>
            </w: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30,475</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3,161</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33,623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36,530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2,360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38,889</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Automotive cost of sales</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26,522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26,511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31,140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31,139</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100" w:type="dxa"/>
            <w:vAlign w:val="bottom"/>
          </w:tcPr>
          <w:p>
            <w:pPr>
              <w:ind w:left="180"/>
              <w:spacing w:after="0"/>
              <w:rPr>
                <w:sz w:val="20"/>
                <w:szCs w:val="20"/>
                <w:color w:val="auto"/>
              </w:rPr>
            </w:pPr>
            <w:r>
              <w:rPr>
                <w:rFonts w:ascii="Arial" w:cs="Arial" w:eastAsia="Arial" w:hAnsi="Arial"/>
                <w:sz w:val="14"/>
                <w:szCs w:val="14"/>
                <w:color w:val="auto"/>
              </w:rPr>
              <w:t>GM Financial interest, operating and other</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00" w:type="dxa"/>
            <w:vAlign w:val="bottom"/>
          </w:tcPr>
          <w:p>
            <w:pPr>
              <w:ind w:left="340"/>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2,892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2,892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2,202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2,202</w:t>
            </w: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Automotive selling, general and</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administrative expense</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2,304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184"/>
        </w:trPr>
        <w:tc>
          <w:tcPr>
            <w:tcW w:w="3100" w:type="dxa"/>
            <w:vAlign w:val="bottom"/>
          </w:tcPr>
          <w:p>
            <w:pPr>
              <w:ind w:left="180"/>
              <w:spacing w:after="0"/>
              <w:rPr>
                <w:sz w:val="20"/>
                <w:szCs w:val="20"/>
                <w:color w:val="auto"/>
              </w:rPr>
            </w:pPr>
            <w:r>
              <w:rPr>
                <w:rFonts w:ascii="Arial" w:cs="Arial" w:eastAsia="Arial" w:hAnsi="Arial"/>
                <w:sz w:val="14"/>
                <w:szCs w:val="14"/>
                <w:color w:val="auto"/>
              </w:rPr>
              <w:t>Total costs and expenses</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28,826</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2,892</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31,707</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33,540</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2,202</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35,741</w:t>
            </w:r>
          </w:p>
        </w:tc>
        <w:tc>
          <w:tcPr>
            <w:tcW w:w="0" w:type="dxa"/>
            <w:vAlign w:val="bottom"/>
          </w:tcPr>
          <w:p>
            <w:pPr>
              <w:spacing w:after="0"/>
              <w:rPr>
                <w:sz w:val="1"/>
                <w:szCs w:val="1"/>
                <w:color w:val="auto"/>
              </w:rPr>
            </w:pPr>
          </w:p>
        </w:tc>
      </w:tr>
      <w:tr>
        <w:trPr>
          <w:trHeight w:val="60"/>
        </w:trPr>
        <w:tc>
          <w:tcPr>
            <w:tcW w:w="3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income</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1,649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2,990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3,148</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Automotive interest expense</w:t>
            </w: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 and other non-operating</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net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Equity income</w:t>
            </w: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462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60"/>
        </w:trPr>
        <w:tc>
          <w:tcPr>
            <w:tcW w:w="3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2,120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3,416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3,609</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2,204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2,316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837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60"/>
        </w:trPr>
        <w:tc>
          <w:tcPr>
            <w:tcW w:w="3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2,707</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100" w:type="dxa"/>
            <w:vAlign w:val="bottom"/>
          </w:tcPr>
          <w:p>
            <w:pPr>
              <w:ind w:left="40"/>
              <w:spacing w:after="0"/>
              <w:rPr>
                <w:sz w:val="20"/>
                <w:szCs w:val="20"/>
                <w:color w:val="auto"/>
              </w:rPr>
            </w:pPr>
            <w:r>
              <w:rPr>
                <w:rFonts w:ascii="Arial" w:cs="Arial" w:eastAsia="Arial" w:hAnsi="Arial"/>
                <w:sz w:val="14"/>
                <w:szCs w:val="14"/>
                <w:color w:val="auto"/>
              </w:rPr>
              <w:t>Income (loss) from discontinued operations,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net of tax</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(3,112)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(3,196)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2,555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2,712</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100" w:type="dxa"/>
            <w:vAlign w:val="bottom"/>
          </w:tcPr>
          <w:p>
            <w:pPr>
              <w:ind w:left="40"/>
              <w:spacing w:after="0"/>
              <w:rPr>
                <w:sz w:val="20"/>
                <w:szCs w:val="20"/>
                <w:color w:val="auto"/>
              </w:rPr>
            </w:pPr>
            <w:r>
              <w:rPr>
                <w:rFonts w:ascii="Arial" w:cs="Arial" w:eastAsia="Arial" w:hAnsi="Arial"/>
                <w:sz w:val="14"/>
                <w:szCs w:val="14"/>
                <w:color w:val="auto"/>
              </w:rPr>
              <w:t>Net loss attributable to noncontrolling</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00" w:type="dxa"/>
            <w:vAlign w:val="bottom"/>
          </w:tcPr>
          <w:p>
            <w:pPr>
              <w:ind w:left="200"/>
              <w:spacing w:after="0"/>
              <w:rPr>
                <w:sz w:val="20"/>
                <w:szCs w:val="20"/>
                <w:color w:val="auto"/>
              </w:rPr>
            </w:pPr>
            <w:r>
              <w:rPr>
                <w:rFonts w:ascii="Arial" w:cs="Arial" w:eastAsia="Arial" w:hAnsi="Arial"/>
                <w:sz w:val="14"/>
                <w:szCs w:val="14"/>
                <w:color w:val="auto"/>
              </w:rPr>
              <w:t>interests</w:t>
            </w:r>
          </w:p>
        </w:tc>
        <w:tc>
          <w:tcPr>
            <w:tcW w:w="140" w:type="dxa"/>
            <w:vAlign w:val="bottom"/>
          </w:tcPr>
          <w:p>
            <w:pPr>
              <w:spacing w:after="0"/>
              <w:rPr>
                <w:sz w:val="15"/>
                <w:szCs w:val="15"/>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31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w:t>
            </w: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2,773</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common</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(3,195)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2,773</w:t>
            </w:r>
          </w:p>
        </w:tc>
        <w:tc>
          <w:tcPr>
            <w:tcW w:w="0" w:type="dxa"/>
            <w:vAlign w:val="bottom"/>
          </w:tcPr>
          <w:p>
            <w:pPr>
              <w:spacing w:after="0"/>
              <w:rPr>
                <w:sz w:val="1"/>
                <w:szCs w:val="1"/>
                <w:color w:val="auto"/>
              </w:rPr>
            </w:pPr>
          </w:p>
        </w:tc>
      </w:tr>
      <w:tr>
        <w:trPr>
          <w:trHeight w:val="599"/>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6"/>
          </w:tcPr>
          <w:p>
            <w:pPr>
              <w:ind w:left="40"/>
              <w:spacing w:after="0"/>
              <w:rPr>
                <w:sz w:val="20"/>
                <w:szCs w:val="20"/>
                <w:color w:val="auto"/>
              </w:rPr>
            </w:pPr>
            <w:r>
              <w:rPr>
                <w:rFonts w:ascii="Arial" w:cs="Arial" w:eastAsia="Arial" w:hAnsi="Arial"/>
                <w:sz w:val="11"/>
                <w:szCs w:val="11"/>
                <w:b w:val="1"/>
                <w:bCs w:val="1"/>
                <w:color w:val="auto"/>
              </w:rPr>
              <w:t>Nine Months Ended September 30, 2017</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gridSpan w:val="7"/>
          </w:tcPr>
          <w:p>
            <w:pPr>
              <w:jc w:val="center"/>
              <w:spacing w:after="0"/>
              <w:rPr>
                <w:sz w:val="20"/>
                <w:szCs w:val="20"/>
                <w:color w:val="auto"/>
              </w:rPr>
            </w:pPr>
            <w:r>
              <w:rPr>
                <w:rFonts w:ascii="Arial" w:cs="Arial" w:eastAsia="Arial" w:hAnsi="Arial"/>
                <w:sz w:val="11"/>
                <w:szCs w:val="11"/>
                <w:b w:val="1"/>
                <w:bCs w:val="1"/>
                <w:color w:val="auto"/>
                <w:w w:val="98"/>
              </w:rPr>
              <w:t>Nine Months Ended September 30, 2016</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21"/>
                <w:szCs w:val="21"/>
                <w:color w:val="auto"/>
              </w:rPr>
            </w:pPr>
          </w:p>
        </w:tc>
        <w:tc>
          <w:tcPr>
            <w:tcW w:w="102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Combined</w:t>
            </w:r>
          </w:p>
        </w:tc>
        <w:tc>
          <w:tcPr>
            <w:tcW w:w="140" w:type="dxa"/>
            <w:vAlign w:val="bottom"/>
          </w:tcPr>
          <w:p>
            <w:pPr>
              <w:spacing w:after="0"/>
              <w:rPr>
                <w:sz w:val="21"/>
                <w:szCs w:val="21"/>
                <w:color w:val="auto"/>
              </w:rPr>
            </w:pPr>
          </w:p>
        </w:tc>
        <w:tc>
          <w:tcPr>
            <w:tcW w:w="760" w:type="dxa"/>
            <w:vAlign w:val="bottom"/>
          </w:tcPr>
          <w:p>
            <w:pPr>
              <w:jc w:val="right"/>
              <w:ind w:right="69"/>
              <w:spacing w:after="0"/>
              <w:rPr>
                <w:sz w:val="20"/>
                <w:szCs w:val="20"/>
                <w:color w:val="auto"/>
              </w:rPr>
            </w:pPr>
            <w:r>
              <w:rPr>
                <w:rFonts w:ascii="Arial" w:cs="Arial" w:eastAsia="Arial" w:hAnsi="Arial"/>
                <w:sz w:val="11"/>
                <w:szCs w:val="11"/>
                <w:b w:val="1"/>
                <w:bCs w:val="1"/>
                <w:color w:val="auto"/>
                <w:w w:val="99"/>
              </w:rPr>
              <w:t>Automotive</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21"/>
                <w:szCs w:val="21"/>
                <w:color w:val="auto"/>
              </w:rPr>
            </w:pPr>
          </w:p>
        </w:tc>
        <w:tc>
          <w:tcPr>
            <w:tcW w:w="740" w:type="dxa"/>
            <w:vAlign w:val="bottom"/>
          </w:tcPr>
          <w:p>
            <w:pPr>
              <w:jc w:val="right"/>
              <w:ind w:right="109"/>
              <w:spacing w:after="0"/>
              <w:rPr>
                <w:sz w:val="20"/>
                <w:szCs w:val="20"/>
                <w:color w:val="auto"/>
              </w:rPr>
            </w:pPr>
            <w:r>
              <w:rPr>
                <w:rFonts w:ascii="Arial" w:cs="Arial" w:eastAsia="Arial" w:hAnsi="Arial"/>
                <w:sz w:val="11"/>
                <w:szCs w:val="11"/>
                <w:b w:val="1"/>
                <w:bCs w:val="1"/>
                <w:color w:val="auto"/>
              </w:rPr>
              <w:t>Combined</w:t>
            </w:r>
          </w:p>
        </w:tc>
        <w:tc>
          <w:tcPr>
            <w:tcW w:w="0" w:type="dxa"/>
            <w:vAlign w:val="bottom"/>
          </w:tcPr>
          <w:p>
            <w:pPr>
              <w:spacing w:after="0"/>
              <w:rPr>
                <w:sz w:val="1"/>
                <w:szCs w:val="1"/>
                <w:color w:val="auto"/>
              </w:rPr>
            </w:pPr>
          </w:p>
        </w:tc>
      </w:tr>
      <w:tr>
        <w:trPr>
          <w:trHeight w:val="22"/>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sales and revenue</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Automotive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99,126</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98,983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102,862</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102,862</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240" w:type="dxa"/>
            <w:vAlign w:val="bottom"/>
            <w:gridSpan w:val="2"/>
            <w:vMerge w:val="continue"/>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180"/>
              <w:spacing w:after="0"/>
              <w:rPr>
                <w:sz w:val="20"/>
                <w:szCs w:val="20"/>
                <w:color w:val="auto"/>
              </w:rPr>
            </w:pPr>
            <w:r>
              <w:rPr>
                <w:rFonts w:ascii="Arial" w:cs="Arial" w:eastAsia="Arial" w:hAnsi="Arial"/>
                <w:sz w:val="14"/>
                <w:szCs w:val="14"/>
                <w:color w:val="auto"/>
              </w:rPr>
              <w:t>GM Financial</w:t>
            </w:r>
          </w:p>
        </w:tc>
        <w:tc>
          <w:tcPr>
            <w:tcW w:w="14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8,899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8,890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6,429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6,426</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net sales and revenue</w:t>
            </w: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99,126</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8,899</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107,873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102,862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6,429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109,288</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9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Automotive cost of sales</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85,308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85,161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87,764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87,761</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100" w:type="dxa"/>
            <w:vAlign w:val="bottom"/>
          </w:tcPr>
          <w:p>
            <w:pPr>
              <w:ind w:left="180"/>
              <w:spacing w:after="0"/>
              <w:rPr>
                <w:sz w:val="20"/>
                <w:szCs w:val="20"/>
                <w:color w:val="auto"/>
              </w:rPr>
            </w:pPr>
            <w:r>
              <w:rPr>
                <w:rFonts w:ascii="Arial" w:cs="Arial" w:eastAsia="Arial" w:hAnsi="Arial"/>
                <w:sz w:val="14"/>
                <w:szCs w:val="14"/>
                <w:color w:val="auto"/>
              </w:rPr>
              <w:t>GM Financial interest, operating and other</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00" w:type="dxa"/>
            <w:vAlign w:val="bottom"/>
          </w:tcPr>
          <w:p>
            <w:pPr>
              <w:ind w:left="340"/>
              <w:spacing w:after="0"/>
              <w:rPr>
                <w:sz w:val="20"/>
                <w:szCs w:val="20"/>
                <w:color w:val="auto"/>
              </w:rPr>
            </w:pPr>
            <w:r>
              <w:rPr>
                <w:rFonts w:ascii="Arial" w:cs="Arial" w:eastAsia="Arial" w:hAnsi="Arial"/>
                <w:sz w:val="14"/>
                <w:szCs w:val="14"/>
                <w:color w:val="auto"/>
              </w:rPr>
              <w:t>expenses</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Arial" w:cs="Arial" w:eastAsia="Arial" w:hAnsi="Arial"/>
                <w:sz w:val="14"/>
                <w:szCs w:val="14"/>
                <w:color w:val="auto"/>
              </w:rPr>
              <w:t>8,133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8,133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5,938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5,938</w:t>
            </w: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Automotive selling, general and</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administrative expense</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7,141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7,378</w:t>
            </w:r>
          </w:p>
        </w:tc>
        <w:tc>
          <w:tcPr>
            <w:tcW w:w="0" w:type="dxa"/>
            <w:vAlign w:val="bottom"/>
          </w:tcPr>
          <w:p>
            <w:pPr>
              <w:spacing w:after="0"/>
              <w:rPr>
                <w:sz w:val="1"/>
                <w:szCs w:val="1"/>
                <w:color w:val="auto"/>
              </w:rPr>
            </w:pPr>
          </w:p>
        </w:tc>
      </w:tr>
      <w:tr>
        <w:trPr>
          <w:trHeight w:val="184"/>
        </w:trPr>
        <w:tc>
          <w:tcPr>
            <w:tcW w:w="3100" w:type="dxa"/>
            <w:vAlign w:val="bottom"/>
          </w:tcPr>
          <w:p>
            <w:pPr>
              <w:ind w:left="180"/>
              <w:spacing w:after="0"/>
              <w:rPr>
                <w:sz w:val="20"/>
                <w:szCs w:val="20"/>
                <w:color w:val="auto"/>
              </w:rPr>
            </w:pPr>
            <w:r>
              <w:rPr>
                <w:rFonts w:ascii="Arial" w:cs="Arial" w:eastAsia="Arial" w:hAnsi="Arial"/>
                <w:sz w:val="14"/>
                <w:szCs w:val="14"/>
                <w:color w:val="auto"/>
              </w:rPr>
              <w:t>Total costs and expenses</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92,449</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8,133</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100,435</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95,142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5,938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101,077</w:t>
            </w:r>
          </w:p>
        </w:tc>
        <w:tc>
          <w:tcPr>
            <w:tcW w:w="0" w:type="dxa"/>
            <w:vAlign w:val="bottom"/>
          </w:tcPr>
          <w:p>
            <w:pPr>
              <w:spacing w:after="0"/>
              <w:rPr>
                <w:sz w:val="1"/>
                <w:szCs w:val="1"/>
                <w:color w:val="auto"/>
              </w:rPr>
            </w:pPr>
          </w:p>
        </w:tc>
      </w:tr>
      <w:tr>
        <w:trPr>
          <w:trHeight w:val="60"/>
        </w:trPr>
        <w:tc>
          <w:tcPr>
            <w:tcW w:w="3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income</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6,677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766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7,438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7,720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8,211</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Automotive interest expense</w:t>
            </w: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430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 and other non-operating</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1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 net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Equity income</w:t>
            </w: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1,456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1,585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1,608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1,717</w:t>
            </w:r>
          </w:p>
        </w:tc>
        <w:tc>
          <w:tcPr>
            <w:tcW w:w="0" w:type="dxa"/>
            <w:vAlign w:val="bottom"/>
          </w:tcPr>
          <w:p>
            <w:pPr>
              <w:spacing w:after="0"/>
              <w:rPr>
                <w:sz w:val="1"/>
                <w:szCs w:val="1"/>
                <w:color w:val="auto"/>
              </w:rPr>
            </w:pPr>
          </w:p>
        </w:tc>
      </w:tr>
      <w:tr>
        <w:trPr>
          <w:trHeight w:val="60"/>
        </w:trPr>
        <w:tc>
          <w:tcPr>
            <w:tcW w:w="3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7,975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8,870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9,210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9,810</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3,380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3,637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2,310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restart"/>
          </w:tcPr>
          <w:p>
            <w:pPr>
              <w:jc w:val="right"/>
              <w:ind w:right="29"/>
              <w:spacing w:after="0"/>
              <w:rPr>
                <w:sz w:val="20"/>
                <w:szCs w:val="20"/>
                <w:color w:val="auto"/>
              </w:rPr>
            </w:pPr>
            <w:r>
              <w:rPr>
                <w:rFonts w:ascii="Arial" w:cs="Arial" w:eastAsia="Arial" w:hAnsi="Arial"/>
                <w:sz w:val="14"/>
                <w:szCs w:val="14"/>
                <w:color w:val="auto"/>
              </w:rPr>
              <w:t>126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2,436</w:t>
            </w:r>
          </w:p>
        </w:tc>
        <w:tc>
          <w:tcPr>
            <w:tcW w:w="0" w:type="dxa"/>
            <w:vAlign w:val="bottom"/>
          </w:tcPr>
          <w:p>
            <w:pPr>
              <w:spacing w:after="0"/>
              <w:rPr>
                <w:sz w:val="1"/>
                <w:szCs w:val="1"/>
                <w:color w:val="auto"/>
              </w:rPr>
            </w:pPr>
          </w:p>
        </w:tc>
      </w:tr>
      <w:tr>
        <w:trPr>
          <w:trHeight w:val="60"/>
        </w:trPr>
        <w:tc>
          <w:tcPr>
            <w:tcW w:w="3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continuing operations</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4,595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638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5,233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6,900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7,374</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100" w:type="dxa"/>
            <w:vAlign w:val="bottom"/>
          </w:tcPr>
          <w:p>
            <w:pPr>
              <w:ind w:left="40"/>
              <w:spacing w:after="0"/>
              <w:rPr>
                <w:sz w:val="20"/>
                <w:szCs w:val="20"/>
                <w:color w:val="auto"/>
              </w:rPr>
            </w:pPr>
            <w:r>
              <w:rPr>
                <w:rFonts w:ascii="Arial" w:cs="Arial" w:eastAsia="Arial" w:hAnsi="Arial"/>
                <w:sz w:val="14"/>
                <w:szCs w:val="14"/>
                <w:color w:val="auto"/>
              </w:rPr>
              <w:t>Income (loss) from discontinued operations,</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net of tax</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(3,766)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90"/>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14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829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6,917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7,493</w:t>
            </w:r>
          </w:p>
        </w:tc>
        <w:tc>
          <w:tcPr>
            <w:tcW w:w="0" w:type="dxa"/>
            <w:vAlign w:val="bottom"/>
          </w:tcPr>
          <w:p>
            <w:pPr>
              <w:spacing w:after="0"/>
              <w:rPr>
                <w:sz w:val="1"/>
                <w:szCs w:val="1"/>
                <w:color w:val="auto"/>
              </w:rPr>
            </w:pPr>
          </w:p>
        </w:tc>
      </w:tr>
      <w:tr>
        <w:trPr>
          <w:trHeight w:val="66"/>
        </w:trPr>
        <w:tc>
          <w:tcPr>
            <w:tcW w:w="3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3100" w:type="dxa"/>
            <w:vAlign w:val="bottom"/>
          </w:tcPr>
          <w:p>
            <w:pPr>
              <w:ind w:left="40"/>
              <w:spacing w:after="0"/>
              <w:rPr>
                <w:sz w:val="20"/>
                <w:szCs w:val="20"/>
                <w:color w:val="auto"/>
              </w:rPr>
            </w:pPr>
            <w:r>
              <w:rPr>
                <w:rFonts w:ascii="Arial" w:cs="Arial" w:eastAsia="Arial" w:hAnsi="Arial"/>
                <w:sz w:val="14"/>
                <w:szCs w:val="14"/>
                <w:color w:val="auto"/>
              </w:rPr>
              <w:t>Net (income) loss attributable to</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1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noncontrolling interests</w:t>
            </w: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37"/>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818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7,592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common</w:t>
            </w: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818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7,016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7,592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0" w:gutter="0" w:footer="0" w:header="0"/>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37" w:right="239" w:bottom="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basic and diluted earnings (loss) per share (in millions,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721"/>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741"/>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248"/>
        </w:trPr>
        <w:tc>
          <w:tcPr>
            <w:tcW w:w="5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September 30, 2017</w:t>
            </w:r>
          </w:p>
        </w:tc>
        <w:tc>
          <w:tcPr>
            <w:tcW w:w="140" w:type="dxa"/>
            <w:vAlign w:val="bottom"/>
          </w:tcPr>
          <w:p>
            <w:pPr>
              <w:spacing w:after="0"/>
              <w:rPr>
                <w:sz w:val="21"/>
                <w:szCs w:val="21"/>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September 30, 2016</w:t>
            </w:r>
          </w:p>
        </w:tc>
        <w:tc>
          <w:tcPr>
            <w:tcW w:w="160" w:type="dxa"/>
            <w:vAlign w:val="bottom"/>
          </w:tcPr>
          <w:p>
            <w:pPr>
              <w:spacing w:after="0"/>
              <w:rPr>
                <w:sz w:val="21"/>
                <w:szCs w:val="21"/>
                <w:color w:val="auto"/>
              </w:rPr>
            </w:pPr>
          </w:p>
        </w:tc>
        <w:tc>
          <w:tcPr>
            <w:tcW w:w="1320" w:type="dxa"/>
            <w:vAlign w:val="bottom"/>
            <w:gridSpan w:val="2"/>
          </w:tcPr>
          <w:p>
            <w:pPr>
              <w:ind w:left="20"/>
              <w:spacing w:after="0"/>
              <w:rPr>
                <w:sz w:val="20"/>
                <w:szCs w:val="20"/>
                <w:color w:val="auto"/>
              </w:rPr>
            </w:pPr>
            <w:r>
              <w:rPr>
                <w:rFonts w:ascii="Arial" w:cs="Arial" w:eastAsia="Arial" w:hAnsi="Arial"/>
                <w:sz w:val="11"/>
                <w:szCs w:val="11"/>
                <w:b w:val="1"/>
                <w:bCs w:val="1"/>
                <w:color w:val="auto"/>
              </w:rPr>
              <w:t>September 30, 2017</w:t>
            </w:r>
          </w:p>
        </w:tc>
        <w:tc>
          <w:tcPr>
            <w:tcW w:w="140" w:type="dxa"/>
            <w:vAlign w:val="bottom"/>
          </w:tcPr>
          <w:p>
            <w:pPr>
              <w:spacing w:after="0"/>
              <w:rPr>
                <w:sz w:val="21"/>
                <w:szCs w:val="21"/>
                <w:color w:val="auto"/>
              </w:rPr>
            </w:pPr>
          </w:p>
        </w:tc>
        <w:tc>
          <w:tcPr>
            <w:tcW w:w="1220" w:type="dxa"/>
            <w:vAlign w:val="bottom"/>
          </w:tcPr>
          <w:p>
            <w:pPr>
              <w:jc w:val="right"/>
              <w:ind w:right="101"/>
              <w:spacing w:after="0"/>
              <w:rPr>
                <w:sz w:val="20"/>
                <w:szCs w:val="20"/>
                <w:color w:val="auto"/>
              </w:rPr>
            </w:pPr>
            <w:r>
              <w:rPr>
                <w:rFonts w:ascii="Arial" w:cs="Arial" w:eastAsia="Arial" w:hAnsi="Arial"/>
                <w:sz w:val="11"/>
                <w:szCs w:val="11"/>
                <w:b w:val="1"/>
                <w:bCs w:val="1"/>
                <w:color w:val="auto"/>
                <w:w w:val="99"/>
              </w:rPr>
              <w:t>September 30, 2016</w:t>
            </w:r>
          </w:p>
        </w:tc>
        <w:tc>
          <w:tcPr>
            <w:tcW w:w="0" w:type="dxa"/>
            <w:vAlign w:val="bottom"/>
          </w:tcPr>
          <w:p>
            <w:pPr>
              <w:spacing w:after="0"/>
              <w:rPr>
                <w:sz w:val="1"/>
                <w:szCs w:val="1"/>
                <w:color w:val="auto"/>
              </w:rPr>
            </w:pPr>
          </w:p>
        </w:tc>
      </w:tr>
      <w:tr>
        <w:trPr>
          <w:trHeight w:val="22"/>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Basic earnings per share</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562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continuing operations(a)</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5,222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7,473</w:t>
            </w:r>
          </w:p>
        </w:tc>
        <w:tc>
          <w:tcPr>
            <w:tcW w:w="0" w:type="dxa"/>
            <w:vAlign w:val="bottom"/>
          </w:tcPr>
          <w:p>
            <w:pPr>
              <w:spacing w:after="0"/>
              <w:rPr>
                <w:sz w:val="1"/>
                <w:szCs w:val="1"/>
                <w:color w:val="auto"/>
              </w:rPr>
            </w:pPr>
          </w:p>
        </w:tc>
      </w:tr>
      <w:tr>
        <w:trPr>
          <w:trHeight w:val="264"/>
        </w:trPr>
        <w:tc>
          <w:tcPr>
            <w:tcW w:w="5620" w:type="dxa"/>
            <w:vAlign w:val="bottom"/>
          </w:tcPr>
          <w:p>
            <w:pPr>
              <w:ind w:left="180"/>
              <w:spacing w:after="0"/>
              <w:rPr>
                <w:sz w:val="20"/>
                <w:szCs w:val="20"/>
                <w:color w:val="auto"/>
              </w:rPr>
            </w:pPr>
            <w:r>
              <w:rPr>
                <w:rFonts w:ascii="Arial" w:cs="Arial" w:eastAsia="Arial" w:hAnsi="Arial"/>
                <w:sz w:val="14"/>
                <w:szCs w:val="14"/>
                <w:color w:val="auto"/>
              </w:rPr>
              <w:t>Less: cumulative dividends on GM Financial preferred stock</w:t>
            </w:r>
          </w:p>
        </w:tc>
        <w:tc>
          <w:tcPr>
            <w:tcW w:w="1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5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Income from continuing operations attributable to common stockholders</w:t>
            </w:r>
          </w:p>
        </w:tc>
        <w:tc>
          <w:tcPr>
            <w:tcW w:w="1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113</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2,768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5,220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7,473</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Income (loss) from discontinued operations, net of tax</w:t>
            </w: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7,592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1,483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264"/>
        </w:trPr>
        <w:tc>
          <w:tcPr>
            <w:tcW w:w="5620" w:type="dxa"/>
            <w:vAlign w:val="bottom"/>
          </w:tcPr>
          <w:p>
            <w:pPr>
              <w:ind w:left="180"/>
              <w:spacing w:after="0"/>
              <w:rPr>
                <w:sz w:val="20"/>
                <w:szCs w:val="20"/>
                <w:color w:val="auto"/>
              </w:rPr>
            </w:pPr>
            <w:r>
              <w:rPr>
                <w:rFonts w:ascii="Arial" w:cs="Arial" w:eastAsia="Arial" w:hAnsi="Arial"/>
                <w:sz w:val="14"/>
                <w:szCs w:val="14"/>
                <w:color w:val="auto"/>
              </w:rPr>
              <w:t>Basic earnings per common share –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3.52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 earnings (loss) per common share – 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64"/>
        </w:trPr>
        <w:tc>
          <w:tcPr>
            <w:tcW w:w="5620" w:type="dxa"/>
            <w:vAlign w:val="bottom"/>
          </w:tcPr>
          <w:p>
            <w:pPr>
              <w:ind w:left="180"/>
              <w:spacing w:after="0"/>
              <w:rPr>
                <w:sz w:val="20"/>
                <w:szCs w:val="20"/>
                <w:color w:val="auto"/>
              </w:rPr>
            </w:pPr>
            <w:r>
              <w:rPr>
                <w:rFonts w:ascii="Arial" w:cs="Arial" w:eastAsia="Arial" w:hAnsi="Arial"/>
                <w:sz w:val="14"/>
                <w:szCs w:val="14"/>
                <w:color w:val="auto"/>
              </w:rPr>
              <w:t>Basic earnings (loss) per common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0.87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4.90</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Diluted earnings per share</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ind w:left="180"/>
              <w:spacing w:after="0"/>
              <w:rPr>
                <w:sz w:val="20"/>
                <w:szCs w:val="20"/>
                <w:color w:val="auto"/>
              </w:rPr>
            </w:pPr>
            <w:r>
              <w:rPr>
                <w:rFonts w:ascii="Arial" w:cs="Arial" w:eastAsia="Arial" w:hAnsi="Arial"/>
                <w:sz w:val="14"/>
                <w:szCs w:val="14"/>
                <w:color w:val="auto"/>
              </w:rPr>
              <w:t>Income from continuing operations attributable to common stockholders – diluted(a)</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2,768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5,220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7,472</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(loss) from discontinued operations, net of tax –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64"/>
        </w:trPr>
        <w:tc>
          <w:tcPr>
            <w:tcW w:w="5620" w:type="dxa"/>
            <w:vAlign w:val="bottom"/>
          </w:tcPr>
          <w:p>
            <w:pPr>
              <w:ind w:left="180"/>
              <w:spacing w:after="0"/>
              <w:rPr>
                <w:sz w:val="20"/>
                <w:szCs w:val="20"/>
                <w:color w:val="auto"/>
              </w:rPr>
            </w:pPr>
            <w:r>
              <w:rPr>
                <w:rFonts w:ascii="Arial" w:cs="Arial" w:eastAsia="Arial" w:hAnsi="Arial"/>
                <w:sz w:val="14"/>
                <w:szCs w:val="14"/>
                <w:color w:val="auto"/>
              </w:rPr>
              <w:t>Net income (loss) attributable to common stockholders – 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(2,983)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2,773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1,285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7,591</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 – diluted</w:t>
            </w: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1,472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1,507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1,578</w:t>
            </w:r>
          </w:p>
        </w:tc>
        <w:tc>
          <w:tcPr>
            <w:tcW w:w="0" w:type="dxa"/>
            <w:vAlign w:val="bottom"/>
          </w:tcPr>
          <w:p>
            <w:pPr>
              <w:spacing w:after="0"/>
              <w:rPr>
                <w:sz w:val="1"/>
                <w:szCs w:val="1"/>
                <w:color w:val="auto"/>
              </w:rPr>
            </w:pPr>
          </w:p>
        </w:tc>
      </w:tr>
      <w:tr>
        <w:trPr>
          <w:trHeight w:val="264"/>
        </w:trPr>
        <w:tc>
          <w:tcPr>
            <w:tcW w:w="5620" w:type="dxa"/>
            <w:vAlign w:val="bottom"/>
          </w:tcPr>
          <w:p>
            <w:pPr>
              <w:ind w:left="180"/>
              <w:spacing w:after="0"/>
              <w:rPr>
                <w:sz w:val="20"/>
                <w:szCs w:val="20"/>
                <w:color w:val="auto"/>
              </w:rPr>
            </w:pPr>
            <w:r>
              <w:rPr>
                <w:rFonts w:ascii="Arial" w:cs="Arial" w:eastAsia="Arial" w:hAnsi="Arial"/>
                <w:sz w:val="14"/>
                <w:szCs w:val="14"/>
                <w:color w:val="auto"/>
              </w:rPr>
              <w:t>Diluted earnings per common share – 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 earnings (loss) per common share – 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58"/>
        </w:trPr>
        <w:tc>
          <w:tcPr>
            <w:tcW w:w="5620" w:type="dxa"/>
            <w:vAlign w:val="bottom"/>
          </w:tcPr>
          <w:p>
            <w:pPr>
              <w:ind w:left="180"/>
              <w:spacing w:after="0"/>
              <w:rPr>
                <w:sz w:val="20"/>
                <w:szCs w:val="20"/>
                <w:color w:val="auto"/>
              </w:rPr>
            </w:pPr>
            <w:r>
              <w:rPr>
                <w:rFonts w:ascii="Arial" w:cs="Arial" w:eastAsia="Arial" w:hAnsi="Arial"/>
                <w:sz w:val="14"/>
                <w:szCs w:val="14"/>
                <w:color w:val="auto"/>
              </w:rPr>
              <w:t>Diluted earnings (loss) per common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0.85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179"/>
        </w:trPr>
        <w:tc>
          <w:tcPr>
            <w:tcW w:w="5620" w:type="dxa"/>
            <w:vAlign w:val="bottom"/>
          </w:tcPr>
          <w:p>
            <w:pPr>
              <w:spacing w:after="0"/>
              <w:rPr>
                <w:sz w:val="20"/>
                <w:szCs w:val="20"/>
                <w:color w:val="auto"/>
              </w:rPr>
            </w:pPr>
            <w:r>
              <w:rPr>
                <w:rFonts w:ascii="Arial" w:cs="Arial" w:eastAsia="Arial" w:hAnsi="Arial"/>
                <w:sz w:val="14"/>
                <w:szCs w:val="14"/>
                <w:color w:val="auto"/>
              </w:rPr>
              <w:t>__________</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5620" w:type="dxa"/>
            <w:vAlign w:val="bottom"/>
          </w:tcPr>
          <w:p>
            <w:pPr>
              <w:spacing w:after="0"/>
              <w:rPr>
                <w:sz w:val="20"/>
                <w:szCs w:val="20"/>
                <w:color w:val="auto"/>
              </w:rPr>
            </w:pPr>
            <w:r>
              <w:rPr>
                <w:rFonts w:ascii="Arial" w:cs="Arial" w:eastAsia="Arial" w:hAnsi="Arial"/>
                <w:sz w:val="14"/>
                <w:szCs w:val="14"/>
                <w:color w:val="auto"/>
              </w:rPr>
              <w:t>(a)  Net of Net (income) loss attributable to noncontrolling interests.</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37" w:right="239" w:bottom="1440" w:gutter="0" w:footer="0" w:header="0"/>
        </w:sectPr>
      </w:pPr>
    </w:p>
    <w:bookmarkStart w:id="18" w:name="page19"/>
    <w:bookmarkEnd w:id="18"/>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Combining Balance Sheet Information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except per share amounts) (Unaudited)</w:t>
      </w:r>
    </w:p>
    <w:p>
      <w:pPr>
        <w:sectPr>
          <w:pgSz w:w="11900" w:h="16902"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70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Marketable securities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and notes receivable, net(a)</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receivables, net(b)</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Inventories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Current assets held for sale(c)(d)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assets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receivables, net(b)</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Equity in net assets of nonconsolidated affiliates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Goodwill and intangible assets,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Non-current assets held for sale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assets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Assets</w:t>
      </w:r>
    </w:p>
    <w:p>
      <w:pPr>
        <w:spacing w:after="0" w:line="121" w:lineRule="exact"/>
        <w:rPr>
          <w:sz w:val="20"/>
          <w:szCs w:val="20"/>
          <w:color w:val="auto"/>
        </w:rPr>
      </w:pPr>
    </w:p>
    <w:p>
      <w:pPr>
        <w:jc w:val="center"/>
        <w:ind w:left="700"/>
        <w:spacing w:after="0"/>
        <w:rPr>
          <w:sz w:val="20"/>
          <w:szCs w:val="20"/>
          <w:color w:val="auto"/>
        </w:rPr>
      </w:pPr>
      <w:r>
        <w:rPr>
          <w:rFonts w:ascii="Arial" w:cs="Arial" w:eastAsia="Arial" w:hAnsi="Arial"/>
          <w:sz w:val="13"/>
          <w:szCs w:val="13"/>
          <w:b w:val="1"/>
          <w:bCs w:val="1"/>
          <w:color w:val="auto"/>
        </w:rPr>
        <w:t>LIABILITIES AND EQUITY</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ind w:left="440"/>
              <w:spacing w:after="0"/>
              <w:rPr>
                <w:sz w:val="20"/>
                <w:szCs w:val="20"/>
                <w:color w:val="auto"/>
              </w:rPr>
            </w:pPr>
            <w:r>
              <w:rPr>
                <w:rFonts w:ascii="Arial" w:cs="Arial" w:eastAsia="Arial" w:hAnsi="Arial"/>
                <w:sz w:val="11"/>
                <w:szCs w:val="11"/>
                <w:b w:val="1"/>
                <w:bCs w:val="1"/>
                <w:color w:val="auto"/>
              </w:rPr>
              <w:t>September 30, 2017</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ind w:left="420"/>
              <w:spacing w:after="0"/>
              <w:rPr>
                <w:sz w:val="20"/>
                <w:szCs w:val="20"/>
                <w:color w:val="auto"/>
              </w:rPr>
            </w:pPr>
            <w:r>
              <w:rPr>
                <w:rFonts w:ascii="Arial" w:cs="Arial" w:eastAsia="Arial" w:hAnsi="Arial"/>
                <w:sz w:val="11"/>
                <w:szCs w:val="11"/>
                <w:b w:val="1"/>
                <w:bCs w:val="1"/>
                <w:color w:val="auto"/>
              </w:rPr>
              <w:t>December 31, 2016</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2"/>
        </w:trPr>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32"/>
        </w:trPr>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20"/>
              <w:spacing w:after="0"/>
              <w:rPr>
                <w:sz w:val="20"/>
                <w:szCs w:val="20"/>
                <w:color w:val="auto"/>
              </w:rPr>
            </w:pPr>
            <w:r>
              <w:rPr>
                <w:rFonts w:ascii="Arial" w:cs="Arial" w:eastAsia="Arial" w:hAnsi="Arial"/>
                <w:sz w:val="9"/>
                <w:szCs w:val="9"/>
                <w:b w:val="1"/>
                <w:bCs w:val="1"/>
                <w:color w:val="auto"/>
              </w:rPr>
              <w:t>Reclassifications /</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9"/>
                <w:szCs w:val="9"/>
                <w:b w:val="1"/>
                <w:bCs w:val="1"/>
                <w:color w:val="auto"/>
              </w:rPr>
              <w:t>Reclassifications /</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5"/>
        </w:trPr>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18"/>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b w:val="1"/>
                <w:bCs w:val="1"/>
                <w:color w:val="auto"/>
                <w:w w:val="99"/>
              </w:rPr>
              <w:t>GM Financial</w:t>
            </w: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9"/>
                <w:szCs w:val="9"/>
                <w:b w:val="1"/>
                <w:bCs w:val="1"/>
                <w:color w:val="auto"/>
              </w:rPr>
              <w:t>Eliminations</w:t>
            </w: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9"/>
                <w:szCs w:val="9"/>
                <w:b w:val="1"/>
                <w:bCs w:val="1"/>
                <w:color w:val="auto"/>
              </w:rPr>
              <w:t>Combined</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78"/>
              <w:spacing w:after="0"/>
              <w:rPr>
                <w:sz w:val="20"/>
                <w:szCs w:val="20"/>
                <w:color w:val="auto"/>
              </w:rPr>
            </w:pPr>
            <w:r>
              <w:rPr>
                <w:rFonts w:ascii="Arial" w:cs="Arial" w:eastAsia="Arial" w:hAnsi="Arial"/>
                <w:sz w:val="9"/>
                <w:szCs w:val="9"/>
                <w:b w:val="1"/>
                <w:bCs w:val="1"/>
                <w:color w:val="auto"/>
              </w:rPr>
              <w:t>Automotive</w:t>
            </w: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58"/>
              <w:spacing w:after="0"/>
              <w:rPr>
                <w:sz w:val="20"/>
                <w:szCs w:val="20"/>
                <w:color w:val="auto"/>
              </w:rPr>
            </w:pPr>
            <w:r>
              <w:rPr>
                <w:rFonts w:ascii="Arial" w:cs="Arial" w:eastAsia="Arial" w:hAnsi="Arial"/>
                <w:sz w:val="9"/>
                <w:szCs w:val="9"/>
                <w:b w:val="1"/>
                <w:bCs w:val="1"/>
                <w:color w:val="auto"/>
                <w:w w:val="96"/>
              </w:rPr>
              <w:t>GM Financial</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9"/>
                <w:szCs w:val="9"/>
                <w:b w:val="1"/>
                <w:bCs w:val="1"/>
                <w:color w:val="auto"/>
              </w:rPr>
              <w:t>Eliminations</w:t>
            </w: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158"/>
              <w:spacing w:after="0"/>
              <w:rPr>
                <w:sz w:val="20"/>
                <w:szCs w:val="20"/>
                <w:color w:val="auto"/>
              </w:rPr>
            </w:pPr>
            <w:r>
              <w:rPr>
                <w:rFonts w:ascii="Arial" w:cs="Arial" w:eastAsia="Arial" w:hAnsi="Arial"/>
                <w:sz w:val="9"/>
                <w:szCs w:val="9"/>
                <w:b w:val="1"/>
                <w:bCs w:val="1"/>
                <w:color w:val="auto"/>
              </w:rPr>
              <w:t>Combined</w:t>
            </w:r>
          </w:p>
        </w:tc>
      </w:tr>
      <w:tr>
        <w:trPr>
          <w:trHeight w:val="794"/>
        </w:trPr>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8,816</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3,976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12,792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9,759</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2,815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12,574</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8,454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8,454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11,841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11,841</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9,826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779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3"/>
                <w:szCs w:val="13"/>
                <w:color w:val="auto"/>
              </w:rPr>
              <w:t>(592)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10,013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8,568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801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8,700</w:t>
            </w:r>
          </w:p>
        </w:tc>
      </w:tr>
      <w:tr>
        <w:trPr>
          <w:trHeight w:val="270"/>
        </w:trPr>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19,779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19,399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16,474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16,127</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11,789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11,789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11,040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11,040</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1,632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1,632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1,110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1,110</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2,006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2,903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4,909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1,658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1,975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3,633</w:t>
            </w:r>
          </w:p>
        </w:tc>
      </w:tr>
      <w:tr>
        <w:trPr>
          <w:trHeight w:val="280"/>
        </w:trPr>
        <w:tc>
          <w:tcPr>
            <w:tcW w:w="140" w:type="dxa"/>
            <w:vAlign w:val="bottom"/>
          </w:tcPr>
          <w:p>
            <w:pPr>
              <w:spacing w:after="0"/>
              <w:rPr>
                <w:sz w:val="24"/>
                <w:szCs w:val="24"/>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7,581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7,630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4,591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6,883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11,178</w:t>
            </w:r>
          </w:p>
        </w:tc>
      </w:tr>
      <w:tr>
        <w:trPr>
          <w:trHeight w:val="241"/>
        </w:trPr>
        <w:tc>
          <w:tcPr>
            <w:tcW w:w="14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78"/>
              <w:spacing w:after="0"/>
              <w:rPr>
                <w:sz w:val="20"/>
                <w:szCs w:val="20"/>
                <w:color w:val="auto"/>
              </w:rPr>
            </w:pPr>
            <w:r>
              <w:rPr>
                <w:rFonts w:ascii="Arial" w:cs="Arial" w:eastAsia="Arial" w:hAnsi="Arial"/>
                <w:sz w:val="13"/>
                <w:szCs w:val="13"/>
                <w:color w:val="auto"/>
              </w:rPr>
              <w:t>42,572</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35,018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3"/>
                <w:szCs w:val="13"/>
                <w:color w:val="auto"/>
              </w:rPr>
              <w:t>(972)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76,618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48,567</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28,948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76,203</w:t>
            </w:r>
          </w:p>
        </w:tc>
      </w:tr>
      <w:tr>
        <w:trPr>
          <w:trHeight w:val="540"/>
        </w:trPr>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21,085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21,021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17,001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17,001</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7,701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1,119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8,820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8,052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944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8,996</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34,932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246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35,178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32,389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32,603</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4,483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1,371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5,854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4,783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1,366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6,149</w:t>
            </w:r>
          </w:p>
        </w:tc>
      </w:tr>
      <w:tr>
        <w:trPr>
          <w:trHeight w:val="270"/>
        </w:trPr>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41,775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41,775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34,342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34,342</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30,625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30,723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32,931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33,172</w:t>
            </w:r>
          </w:p>
        </w:tc>
      </w:tr>
      <w:tr>
        <w:trPr>
          <w:trHeight w:val="270"/>
        </w:trPr>
        <w:tc>
          <w:tcPr>
            <w:tcW w:w="140" w:type="dxa"/>
            <w:vAlign w:val="bottom"/>
          </w:tcPr>
          <w:p>
            <w:pPr>
              <w:spacing w:after="0"/>
              <w:rPr>
                <w:sz w:val="23"/>
                <w:szCs w:val="23"/>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4,083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922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5,005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3,038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811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3,849</w:t>
            </w:r>
          </w:p>
        </w:tc>
      </w:tr>
      <w:tr>
        <w:trPr>
          <w:trHeight w:val="280"/>
        </w:trPr>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4,508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4,508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5,295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4,080</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8"/>
              <w:spacing w:after="0"/>
              <w:rPr>
                <w:sz w:val="20"/>
                <w:szCs w:val="20"/>
                <w:color w:val="auto"/>
              </w:rPr>
            </w:pPr>
            <w:r>
              <w:rPr>
                <w:rFonts w:ascii="Arial" w:cs="Arial" w:eastAsia="Arial" w:hAnsi="Arial"/>
                <w:sz w:val="13"/>
                <w:szCs w:val="13"/>
                <w:color w:val="auto"/>
              </w:rPr>
              <w:t>9,375</w:t>
            </w:r>
          </w:p>
        </w:tc>
      </w:tr>
      <w:tr>
        <w:trPr>
          <w:trHeight w:val="250"/>
        </w:trPr>
        <w:tc>
          <w:tcPr>
            <w:tcW w:w="140" w:type="dxa"/>
            <w:vAlign w:val="bottom"/>
          </w:tcPr>
          <w:p>
            <w:pPr>
              <w:spacing w:after="0"/>
              <w:rPr>
                <w:sz w:val="21"/>
                <w:szCs w:val="21"/>
                <w:color w:val="auto"/>
              </w:rPr>
            </w:pPr>
          </w:p>
        </w:tc>
        <w:tc>
          <w:tcPr>
            <w:tcW w:w="700" w:type="dxa"/>
            <w:vAlign w:val="bottom"/>
          </w:tcPr>
          <w:p>
            <w:pPr>
              <w:jc w:val="right"/>
              <w:ind w:right="78"/>
              <w:spacing w:after="0"/>
              <w:rPr>
                <w:sz w:val="20"/>
                <w:szCs w:val="20"/>
                <w:color w:val="auto"/>
              </w:rPr>
            </w:pPr>
            <w:r>
              <w:rPr>
                <w:rFonts w:ascii="Arial" w:cs="Arial" w:eastAsia="Arial" w:hAnsi="Arial"/>
                <w:sz w:val="13"/>
                <w:szCs w:val="13"/>
                <w:color w:val="auto"/>
              </w:rPr>
              <w:t>81,824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71,124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58"/>
              <w:spacing w:after="0"/>
              <w:rPr>
                <w:sz w:val="20"/>
                <w:szCs w:val="20"/>
                <w:color w:val="auto"/>
              </w:rPr>
            </w:pPr>
            <w:r>
              <w:rPr>
                <w:rFonts w:ascii="Arial" w:cs="Arial" w:eastAsia="Arial" w:hAnsi="Arial"/>
                <w:sz w:val="13"/>
                <w:szCs w:val="13"/>
                <w:color w:val="auto"/>
              </w:rPr>
              <w:t>152,884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86,488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38"/>
              <w:spacing w:after="0"/>
              <w:rPr>
                <w:sz w:val="20"/>
                <w:szCs w:val="20"/>
                <w:color w:val="auto"/>
              </w:rPr>
            </w:pPr>
            <w:r>
              <w:rPr>
                <w:rFonts w:ascii="Arial" w:cs="Arial" w:eastAsia="Arial" w:hAnsi="Arial"/>
                <w:sz w:val="13"/>
                <w:szCs w:val="13"/>
                <w:color w:val="auto"/>
              </w:rPr>
              <w:t>58,999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720" w:type="dxa"/>
            <w:vAlign w:val="bottom"/>
          </w:tcPr>
          <w:p>
            <w:pPr>
              <w:jc w:val="right"/>
              <w:ind w:right="38"/>
              <w:spacing w:after="0"/>
              <w:rPr>
                <w:sz w:val="20"/>
                <w:szCs w:val="20"/>
                <w:color w:val="auto"/>
              </w:rPr>
            </w:pPr>
            <w:r>
              <w:rPr>
                <w:rFonts w:ascii="Arial" w:cs="Arial" w:eastAsia="Arial" w:hAnsi="Arial"/>
                <w:sz w:val="13"/>
                <w:szCs w:val="13"/>
                <w:color w:val="auto"/>
              </w:rPr>
              <w:t>145,487</w:t>
            </w: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3"/>
                <w:szCs w:val="13"/>
                <w:color w:val="auto"/>
              </w:rPr>
              <w:t>124,396</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106,142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3"/>
                <w:szCs w:val="13"/>
                <w:color w:val="auto"/>
              </w:rPr>
              <w:t>(1,036)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3"/>
                <w:szCs w:val="13"/>
                <w:color w:val="auto"/>
              </w:rPr>
              <w:t>229,502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135,055</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87,947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(1,312)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3"/>
                <w:szCs w:val="13"/>
                <w:color w:val="auto"/>
              </w:rPr>
              <w:t>221,690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-3446780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-3103880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-2760980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-2417445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-2074545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-1731645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-1388745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-1045845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-702310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-16510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75" w:lineRule="exact"/>
        <w:rPr>
          <w:sz w:val="20"/>
          <w:szCs w:val="20"/>
          <w:color w:val="auto"/>
        </w:rPr>
      </w:pPr>
    </w:p>
    <w:p>
      <w:pPr>
        <w:sectPr>
          <w:pgSz w:w="11900" w:h="16902" w:orient="portrait"/>
          <w:cols w:equalWidth="0" w:num="2">
            <w:col w:w="2860" w:space="680"/>
            <w:col w:w="7880"/>
          </w:cols>
          <w:pgMar w:left="240" w:top="337" w:right="239" w:bottom="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Accounts payable (principally trade)(a)</w:t>
      </w:r>
    </w:p>
    <w:p>
      <w:pPr>
        <w:spacing w:after="0" w:line="121" w:lineRule="exact"/>
        <w:rPr>
          <w:sz w:val="20"/>
          <w:szCs w:val="20"/>
          <w:color w:val="auto"/>
        </w:rPr>
      </w:pPr>
    </w:p>
    <w:p>
      <w:pPr>
        <w:ind w:left="340" w:hanging="161"/>
        <w:spacing w:after="0" w:line="433" w:lineRule="auto"/>
        <w:rPr>
          <w:sz w:val="20"/>
          <w:szCs w:val="20"/>
          <w:color w:val="auto"/>
        </w:rPr>
      </w:pPr>
      <w:r>
        <w:rPr>
          <w:rFonts w:ascii="Arial" w:cs="Arial" w:eastAsia="Arial" w:hAnsi="Arial"/>
          <w:sz w:val="13"/>
          <w:szCs w:val="13"/>
          <w:color w:val="auto"/>
        </w:rPr>
        <w:t>Short-term debt and current portion of long-term debt Automotive(b)</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liabilities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Current liabilities held for sale(c)</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liabilities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Automotive(b)</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Postretirement benefits other than 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Non-current liabilities held for sale</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liabilities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Commitments and contingencies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Equity</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Common stock, $0.01 par value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Preferred stock, $0.01 par value</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Additional paid-in capital(e)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Accumulated other comprehensive loss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Noncontrolling interests(e)</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Equity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 and Equity</w:t>
      </w: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23,151</w:t>
            </w:r>
          </w:p>
        </w:tc>
        <w:tc>
          <w:tcPr>
            <w:tcW w:w="12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706</w:t>
            </w:r>
          </w:p>
        </w:tc>
        <w:tc>
          <w:tcPr>
            <w:tcW w:w="120" w:type="dxa"/>
            <w:vAlign w:val="bottom"/>
          </w:tcPr>
          <w:p>
            <w:pPr>
              <w:spacing w:after="0"/>
              <w:rPr>
                <w:sz w:val="13"/>
                <w:szCs w:val="13"/>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(592)</w:t>
            </w:r>
          </w:p>
        </w:tc>
        <w:tc>
          <w:tcPr>
            <w:tcW w:w="120" w:type="dxa"/>
            <w:vAlign w:val="bottom"/>
          </w:tcPr>
          <w:p>
            <w:pPr>
              <w:spacing w:after="0"/>
              <w:rPr>
                <w:sz w:val="13"/>
                <w:szCs w:val="13"/>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23,265</w:t>
            </w:r>
          </w:p>
        </w:tc>
        <w:tc>
          <w:tcPr>
            <w:tcW w:w="1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23,305</w:t>
            </w:r>
          </w:p>
        </w:tc>
        <w:tc>
          <w:tcPr>
            <w:tcW w:w="120" w:type="dxa"/>
            <w:vAlign w:val="bottom"/>
          </w:tcPr>
          <w:p>
            <w:pPr>
              <w:spacing w:after="0"/>
              <w:rPr>
                <w:sz w:val="13"/>
                <w:szCs w:val="13"/>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13"/>
                <w:szCs w:val="13"/>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(668)</w:t>
            </w:r>
          </w:p>
        </w:tc>
        <w:tc>
          <w:tcPr>
            <w:tcW w:w="100" w:type="dxa"/>
            <w:vAlign w:val="bottom"/>
          </w:tcPr>
          <w:p>
            <w:pPr>
              <w:spacing w:after="0"/>
              <w:rPr>
                <w:sz w:val="13"/>
                <w:szCs w:val="13"/>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23,333</w:t>
            </w:r>
          </w:p>
        </w:tc>
      </w:tr>
      <w:tr>
        <w:trPr>
          <w:trHeight w:val="540"/>
        </w:trPr>
        <w:tc>
          <w:tcPr>
            <w:tcW w:w="1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1,507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1,127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1,407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(347)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1,060</w:t>
            </w:r>
          </w:p>
        </w:tc>
      </w:tr>
      <w:tr>
        <w:trPr>
          <w:trHeight w:val="270"/>
        </w:trPr>
        <w:tc>
          <w:tcPr>
            <w:tcW w:w="18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24,480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24,480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22,737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22,737</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23,453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3,150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26,603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23,219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2,675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25,893</w:t>
            </w:r>
          </w:p>
        </w:tc>
      </w:tr>
      <w:tr>
        <w:trPr>
          <w:trHeight w:val="280"/>
        </w:trPr>
        <w:tc>
          <w:tcPr>
            <w:tcW w:w="180" w:type="dxa"/>
            <w:vAlign w:val="bottom"/>
          </w:tcPr>
          <w:p>
            <w:pPr>
              <w:spacing w:after="0"/>
              <w:rPr>
                <w:sz w:val="24"/>
                <w:szCs w:val="2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6,374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6,374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7,092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5,362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12,158</w:t>
            </w:r>
          </w:p>
        </w:tc>
      </w:tr>
      <w:tr>
        <w:trPr>
          <w:trHeight w:val="241"/>
        </w:trPr>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48,111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34,710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(972)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81,849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55,023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31,470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85,181</w:t>
            </w:r>
          </w:p>
        </w:tc>
      </w:tr>
      <w:tr>
        <w:trPr>
          <w:trHeight w:val="810"/>
        </w:trPr>
        <w:tc>
          <w:tcPr>
            <w:tcW w:w="1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12,572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12,508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9,500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9,500</w:t>
            </w:r>
          </w:p>
        </w:tc>
      </w:tr>
      <w:tr>
        <w:trPr>
          <w:trHeight w:val="270"/>
        </w:trPr>
        <w:tc>
          <w:tcPr>
            <w:tcW w:w="18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54,558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54,558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41,826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41,826</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5,758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5,758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5,803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5,803</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14,116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14,119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15,261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15,264</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11,194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1,549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12,743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11,125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1,290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12,415</w:t>
            </w:r>
          </w:p>
        </w:tc>
      </w:tr>
      <w:tr>
        <w:trPr>
          <w:trHeight w:val="280"/>
        </w:trPr>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4,490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4,490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3,295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4,331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7,626</w:t>
            </w:r>
          </w:p>
        </w:tc>
      </w:tr>
      <w:tr>
        <w:trPr>
          <w:trHeight w:val="250"/>
        </w:trPr>
        <w:tc>
          <w:tcPr>
            <w:tcW w:w="18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43,640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60,600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104,176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44,984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47,450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92,434</w:t>
            </w:r>
          </w:p>
        </w:tc>
      </w:tr>
      <w:tr>
        <w:trPr>
          <w:trHeight w:val="241"/>
        </w:trPr>
        <w:tc>
          <w:tcPr>
            <w:tcW w:w="1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91,751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95,310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(1,036)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186,025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100,007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78,920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177,615</w:t>
            </w:r>
          </w:p>
        </w:tc>
      </w:tr>
      <w:tr>
        <w:trPr>
          <w:trHeight w:val="810"/>
        </w:trPr>
        <w:tc>
          <w:tcPr>
            <w:tcW w:w="18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w:t>
            </w:r>
          </w:p>
        </w:tc>
      </w:tr>
      <w:tr>
        <w:trPr>
          <w:trHeight w:val="270"/>
        </w:trPr>
        <w:tc>
          <w:tcPr>
            <w:tcW w:w="180" w:type="dxa"/>
            <w:vAlign w:val="bottom"/>
          </w:tcPr>
          <w:p>
            <w:pPr>
              <w:spacing w:after="0"/>
              <w:rPr>
                <w:sz w:val="23"/>
                <w:szCs w:val="23"/>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25,782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25,782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26,982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26,983</w:t>
            </w:r>
          </w:p>
        </w:tc>
      </w:tr>
      <w:tr>
        <w:trPr>
          <w:trHeight w:val="270"/>
        </w:trPr>
        <w:tc>
          <w:tcPr>
            <w:tcW w:w="18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13,472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10,758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24,230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15,903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10,265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26,168</w:t>
            </w:r>
          </w:p>
        </w:tc>
      </w:tr>
      <w:tr>
        <w:trPr>
          <w:trHeight w:val="280"/>
        </w:trPr>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(6,872)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(911)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(7,783)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(8,091)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(9,330)</w:t>
            </w:r>
          </w:p>
        </w:tc>
      </w:tr>
      <w:tr>
        <w:trPr>
          <w:trHeight w:val="241"/>
        </w:trPr>
        <w:tc>
          <w:tcPr>
            <w:tcW w:w="180" w:type="dxa"/>
            <w:vAlign w:val="bottom"/>
          </w:tcPr>
          <w:p>
            <w:pPr>
              <w:spacing w:after="0"/>
              <w:rPr>
                <w:sz w:val="20"/>
                <w:szCs w:val="20"/>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32,396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10,832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42,243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34,809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9,027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0"/>
                <w:szCs w:val="20"/>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43,836</w:t>
            </w:r>
          </w:p>
        </w:tc>
      </w:tr>
      <w:tr>
        <w:trPr>
          <w:trHeight w:val="280"/>
        </w:trPr>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1,234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239</w:t>
            </w:r>
          </w:p>
        </w:tc>
      </w:tr>
      <w:tr>
        <w:trPr>
          <w:trHeight w:val="250"/>
        </w:trPr>
        <w:tc>
          <w:tcPr>
            <w:tcW w:w="180" w:type="dxa"/>
            <w:vAlign w:val="bottom"/>
          </w:tcPr>
          <w:p>
            <w:pPr>
              <w:spacing w:after="0"/>
              <w:rPr>
                <w:sz w:val="21"/>
                <w:szCs w:val="21"/>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32,645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10,832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43,477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35,048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7"/>
              <w:spacing w:after="0"/>
              <w:rPr>
                <w:sz w:val="20"/>
                <w:szCs w:val="20"/>
                <w:color w:val="auto"/>
              </w:rPr>
            </w:pPr>
            <w:r>
              <w:rPr>
                <w:rFonts w:ascii="Arial" w:cs="Arial" w:eastAsia="Arial" w:hAnsi="Arial"/>
                <w:sz w:val="13"/>
                <w:szCs w:val="13"/>
                <w:color w:val="auto"/>
              </w:rPr>
              <w:t>9,027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44,075</w:t>
            </w:r>
          </w:p>
        </w:tc>
      </w:tr>
      <w:tr>
        <w:trPr>
          <w:trHeight w:val="237"/>
        </w:trPr>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124,396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106,142</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(1,036)</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229,502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135,055</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87,947</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(1,312)</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221,690</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-4819015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-4476115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-4133215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-3789680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-3446780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-3103880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-2760980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-2417445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-2074545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-1731645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-1388745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-1045845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-702310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-359410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9" w:lineRule="exact"/>
        <w:rPr>
          <w:sz w:val="20"/>
          <w:szCs w:val="20"/>
          <w:color w:val="auto"/>
        </w:rPr>
      </w:pPr>
    </w:p>
    <w:p>
      <w:pPr>
        <w:sectPr>
          <w:pgSz w:w="11900" w:h="16902" w:orient="portrait"/>
          <w:cols w:equalWidth="0" w:num="2">
            <w:col w:w="3120" w:space="420"/>
            <w:col w:w="7880"/>
          </w:cols>
          <w:pgMar w:left="240" w:top="337" w:right="239" w:bottom="0" w:gutter="0" w:footer="0" w:header="0"/>
          <w:type w:val="continuous"/>
        </w:sectPr>
      </w:pPr>
    </w:p>
    <w:p>
      <w:pPr>
        <w:ind w:left="340" w:right="20" w:hanging="332"/>
        <w:spacing w:after="0" w:line="23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Eliminations primarily include Automotive accounts receivable of $253 million offset by GM Financial accounts payable, GM Financial accounts receivable of $339 million offset by Automotive accounts payable at September 30, 2017 and Automotive accounts receivable of $322 million offset by GM Financial accounts payable, GM Financial accounts receivable of $347 million offset by Automotive accounts payable at December 31, 2016.</w:t>
      </w:r>
    </w:p>
    <w:p>
      <w:pPr>
        <w:ind w:left="340" w:hanging="332"/>
        <w:spacing w:after="0" w:line="230"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Eliminations include GM Financial loan receivable of $444 million and $347 million offset by an Automotive loan payable at September 30, 2017 and December 31, 2016.</w:t>
      </w:r>
    </w:p>
    <w:p>
      <w:pPr>
        <w:ind w:left="340" w:right="20" w:hanging="332"/>
        <w:spacing w:after="0" w:line="238" w:lineRule="auto"/>
        <w:tabs>
          <w:tab w:leader="none" w:pos="3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Eliminations include GM Financial assets held for sale of $217 million primarily related to wholesale and commercial lending receivables offset by Automotive liabilities held for sale at December 31, 2016, Automotive assets held for sale of $79 million primarily trade receivables offset by GM Financial liabilities held for sale at December 31, 2016.</w:t>
      </w:r>
    </w:p>
    <w:p>
      <w:pPr>
        <w:sectPr>
          <w:pgSz w:w="11900" w:h="16902" w:orient="portrait"/>
          <w:cols w:equalWidth="0" w:num="1">
            <w:col w:w="11420"/>
          </w:cols>
          <w:pgMar w:left="240" w:top="337" w:right="239" w:bottom="0" w:gutter="0" w:footer="0" w:header="0"/>
          <w:type w:val="continuous"/>
        </w:sectPr>
      </w:pPr>
    </w:p>
    <w:bookmarkStart w:id="19" w:name="page20"/>
    <w:bookmarkEnd w:id="19"/>
    <w:p>
      <w:pPr>
        <w:ind w:left="332" w:hanging="332"/>
        <w:spacing w:after="0"/>
        <w:tabs>
          <w:tab w:leader="none" w:pos="332" w:val="left"/>
        </w:tabs>
        <w:numPr>
          <w:ilvl w:val="0"/>
          <w:numId w:val="12"/>
        </w:numPr>
        <w:rPr>
          <w:rFonts w:ascii="Arial" w:cs="Arial" w:eastAsia="Arial" w:hAnsi="Arial"/>
          <w:sz w:val="11"/>
          <w:szCs w:val="11"/>
          <w:color w:val="auto"/>
        </w:rPr>
      </w:pPr>
      <w:r>
        <w:rPr>
          <w:rFonts w:ascii="Arial" w:cs="Arial" w:eastAsia="Arial" w:hAnsi="Arial"/>
          <w:sz w:val="11"/>
          <w:szCs w:val="11"/>
          <w:color w:val="auto"/>
        </w:rPr>
        <w:t>Automotive Current assets held for sale to be terminated per the terms of the Master Agreement to sell the European Business.</w:t>
      </w:r>
    </w:p>
    <w:p>
      <w:pPr>
        <w:ind w:left="332" w:hanging="332"/>
        <w:spacing w:after="0"/>
        <w:tabs>
          <w:tab w:leader="none" w:pos="332" w:val="left"/>
        </w:tabs>
        <w:numPr>
          <w:ilvl w:val="0"/>
          <w:numId w:val="12"/>
        </w:numPr>
        <w:rPr>
          <w:rFonts w:ascii="Arial" w:cs="Arial" w:eastAsia="Arial" w:hAnsi="Arial"/>
          <w:sz w:val="10"/>
          <w:szCs w:val="10"/>
          <w:color w:val="auto"/>
        </w:rPr>
      </w:pPr>
      <w:r>
        <w:rPr>
          <w:rFonts w:ascii="Arial" w:cs="Arial" w:eastAsia="Arial" w:hAnsi="Arial"/>
          <w:sz w:val="10"/>
          <w:szCs w:val="10"/>
          <w:color w:val="auto"/>
        </w:rPr>
        <w:t>Reclassification of GM Financial Cumulative Perpetual Preferred Stock, Series A. The preferred stock is classified as noncontrolling interests in our condensed consolidated balance sheet.</w:t>
      </w:r>
    </w:p>
    <w:p>
      <w:pPr>
        <w:spacing w:after="0" w:line="255" w:lineRule="exact"/>
        <w:rPr>
          <w:sz w:val="20"/>
          <w:szCs w:val="20"/>
          <w:color w:val="auto"/>
        </w:rPr>
      </w:pPr>
    </w:p>
    <w:p>
      <w:pPr>
        <w:ind w:left="5612"/>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11"/>
          </w:cols>
          <w:pgMar w:left="248" w:top="131" w:right="1440"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Combining Cash Flow Information</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 millions) (Unaudited)</w:t>
      </w:r>
    </w:p>
    <w:p>
      <w:pPr>
        <w:spacing w:after="0" w:line="276" w:lineRule="exact"/>
        <w:rPr>
          <w:sz w:val="20"/>
          <w:szCs w:val="20"/>
          <w:color w:val="auto"/>
        </w:rPr>
      </w:pPr>
    </w:p>
    <w:tbl>
      <w:tblPr>
        <w:tblLayout w:type="fixed"/>
        <w:tblInd w:w="3700" w:type="dxa"/>
        <w:tblCellMar>
          <w:top w:w="0" w:type="dxa"/>
          <w:left w:w="0" w:type="dxa"/>
          <w:bottom w:w="0" w:type="dxa"/>
          <w:right w:w="0" w:type="dxa"/>
        </w:tblCellMar>
      </w:tblPr>
      <w:tr>
        <w:trPr>
          <w:trHeight w:val="125"/>
        </w:trPr>
        <w:tc>
          <w:tcPr>
            <w:tcW w:w="78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gridSpan w:val="2"/>
          </w:tcPr>
          <w:p>
            <w:pPr>
              <w:ind w:left="340"/>
              <w:spacing w:after="0"/>
              <w:rPr>
                <w:sz w:val="20"/>
                <w:szCs w:val="20"/>
                <w:color w:val="auto"/>
              </w:rPr>
            </w:pPr>
            <w:r>
              <w:rPr>
                <w:rFonts w:ascii="Arial" w:cs="Arial" w:eastAsia="Arial" w:hAnsi="Arial"/>
                <w:sz w:val="9"/>
                <w:szCs w:val="9"/>
                <w:b w:val="1"/>
                <w:bCs w:val="1"/>
                <w:color w:val="auto"/>
              </w:rPr>
              <w:t>Nine Months Ended September 30, 2017</w:t>
            </w:r>
          </w:p>
        </w:tc>
        <w:tc>
          <w:tcPr>
            <w:tcW w:w="8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2"/>
          </w:tcPr>
          <w:p>
            <w:pPr>
              <w:ind w:left="200"/>
              <w:spacing w:after="0"/>
              <w:rPr>
                <w:sz w:val="20"/>
                <w:szCs w:val="20"/>
                <w:color w:val="auto"/>
              </w:rPr>
            </w:pPr>
            <w:r>
              <w:rPr>
                <w:rFonts w:ascii="Arial" w:cs="Arial" w:eastAsia="Arial" w:hAnsi="Arial"/>
                <w:sz w:val="9"/>
                <w:szCs w:val="9"/>
                <w:b w:val="1"/>
                <w:bCs w:val="1"/>
                <w:color w:val="auto"/>
              </w:rPr>
              <w:t>Nine Months Ended September 30, 2016</w:t>
            </w:r>
          </w:p>
        </w:tc>
        <w:tc>
          <w:tcPr>
            <w:tcW w:w="820" w:type="dxa"/>
            <w:vAlign w:val="bottom"/>
            <w:tcBorders>
              <w:bottom w:val="single" w:sz="8" w:color="auto"/>
            </w:tcBorders>
          </w:tcPr>
          <w:p>
            <w:pPr>
              <w:spacing w:after="0"/>
              <w:rPr>
                <w:sz w:val="10"/>
                <w:szCs w:val="10"/>
                <w:color w:val="auto"/>
              </w:rPr>
            </w:pPr>
          </w:p>
        </w:tc>
      </w:tr>
      <w:tr>
        <w:trPr>
          <w:trHeight w:val="256"/>
        </w:trPr>
        <w:tc>
          <w:tcPr>
            <w:tcW w:w="780" w:type="dxa"/>
            <w:vAlign w:val="bottom"/>
          </w:tcPr>
          <w:p>
            <w:pPr>
              <w:ind w:left="140"/>
              <w:spacing w:after="0"/>
              <w:rPr>
                <w:sz w:val="20"/>
                <w:szCs w:val="20"/>
                <w:color w:val="auto"/>
              </w:rPr>
            </w:pPr>
            <w:r>
              <w:rPr>
                <w:rFonts w:ascii="Arial" w:cs="Arial" w:eastAsia="Arial" w:hAnsi="Arial"/>
                <w:sz w:val="9"/>
                <w:szCs w:val="9"/>
                <w:b w:val="1"/>
                <w:bCs w:val="1"/>
                <w:color w:val="auto"/>
              </w:rPr>
              <w:t>Automotive</w:t>
            </w:r>
          </w:p>
        </w:tc>
        <w:tc>
          <w:tcPr>
            <w:tcW w:w="820" w:type="dxa"/>
            <w:vAlign w:val="bottom"/>
          </w:tcPr>
          <w:p>
            <w:pPr>
              <w:ind w:left="160"/>
              <w:spacing w:after="0"/>
              <w:rPr>
                <w:sz w:val="20"/>
                <w:szCs w:val="20"/>
                <w:color w:val="auto"/>
              </w:rPr>
            </w:pPr>
            <w:r>
              <w:rPr>
                <w:rFonts w:ascii="Arial" w:cs="Arial" w:eastAsia="Arial" w:hAnsi="Arial"/>
                <w:sz w:val="9"/>
                <w:szCs w:val="9"/>
                <w:b w:val="1"/>
                <w:bCs w:val="1"/>
                <w:color w:val="auto"/>
              </w:rPr>
              <w:t>GM Financial</w:t>
            </w:r>
          </w:p>
        </w:tc>
        <w:tc>
          <w:tcPr>
            <w:tcW w:w="1500" w:type="dxa"/>
            <w:vAlign w:val="bottom"/>
          </w:tcPr>
          <w:p>
            <w:pPr>
              <w:ind w:left="80"/>
              <w:spacing w:after="0"/>
              <w:rPr>
                <w:sz w:val="20"/>
                <w:szCs w:val="20"/>
                <w:color w:val="auto"/>
              </w:rPr>
            </w:pPr>
            <w:r>
              <w:rPr>
                <w:rFonts w:ascii="Arial" w:cs="Arial" w:eastAsia="Arial" w:hAnsi="Arial"/>
                <w:sz w:val="9"/>
                <w:szCs w:val="9"/>
                <w:b w:val="1"/>
                <w:bCs w:val="1"/>
                <w:color w:val="auto"/>
              </w:rPr>
              <w:t>Reclassification/Eliminations</w:t>
            </w:r>
          </w:p>
        </w:tc>
        <w:tc>
          <w:tcPr>
            <w:tcW w:w="940" w:type="dxa"/>
            <w:vAlign w:val="bottom"/>
            <w:gridSpan w:val="2"/>
          </w:tcPr>
          <w:p>
            <w:pPr>
              <w:ind w:left="180"/>
              <w:spacing w:after="0"/>
              <w:rPr>
                <w:sz w:val="20"/>
                <w:szCs w:val="20"/>
                <w:color w:val="auto"/>
              </w:rPr>
            </w:pPr>
            <w:r>
              <w:rPr>
                <w:rFonts w:ascii="Arial" w:cs="Arial" w:eastAsia="Arial" w:hAnsi="Arial"/>
                <w:sz w:val="9"/>
                <w:szCs w:val="9"/>
                <w:b w:val="1"/>
                <w:bCs w:val="1"/>
                <w:color w:val="auto"/>
              </w:rPr>
              <w:t>Combined</w:t>
            </w:r>
          </w:p>
        </w:tc>
        <w:tc>
          <w:tcPr>
            <w:tcW w:w="800" w:type="dxa"/>
            <w:vAlign w:val="bottom"/>
          </w:tcPr>
          <w:p>
            <w:pPr>
              <w:ind w:left="160"/>
              <w:spacing w:after="0"/>
              <w:rPr>
                <w:sz w:val="20"/>
                <w:szCs w:val="20"/>
                <w:color w:val="auto"/>
              </w:rPr>
            </w:pPr>
            <w:r>
              <w:rPr>
                <w:rFonts w:ascii="Arial" w:cs="Arial" w:eastAsia="Arial" w:hAnsi="Arial"/>
                <w:sz w:val="9"/>
                <w:szCs w:val="9"/>
                <w:b w:val="1"/>
                <w:bCs w:val="1"/>
                <w:color w:val="auto"/>
              </w:rPr>
              <w:t>Automotive</w:t>
            </w:r>
          </w:p>
        </w:tc>
        <w:tc>
          <w:tcPr>
            <w:tcW w:w="880" w:type="dxa"/>
            <w:vAlign w:val="bottom"/>
          </w:tcPr>
          <w:p>
            <w:pPr>
              <w:ind w:left="140"/>
              <w:spacing w:after="0"/>
              <w:rPr>
                <w:sz w:val="20"/>
                <w:szCs w:val="20"/>
                <w:color w:val="auto"/>
              </w:rPr>
            </w:pPr>
            <w:r>
              <w:rPr>
                <w:rFonts w:ascii="Arial" w:cs="Arial" w:eastAsia="Arial" w:hAnsi="Arial"/>
                <w:sz w:val="9"/>
                <w:szCs w:val="9"/>
                <w:b w:val="1"/>
                <w:bCs w:val="1"/>
                <w:color w:val="auto"/>
              </w:rPr>
              <w:t>GM Financial</w:t>
            </w:r>
          </w:p>
        </w:tc>
        <w:tc>
          <w:tcPr>
            <w:tcW w:w="1180" w:type="dxa"/>
            <w:vAlign w:val="bottom"/>
          </w:tcPr>
          <w:p>
            <w:pPr>
              <w:ind w:left="160"/>
              <w:spacing w:after="0"/>
              <w:rPr>
                <w:sz w:val="20"/>
                <w:szCs w:val="20"/>
                <w:color w:val="auto"/>
              </w:rPr>
            </w:pPr>
            <w:r>
              <w:rPr>
                <w:rFonts w:ascii="Arial" w:cs="Arial" w:eastAsia="Arial" w:hAnsi="Arial"/>
                <w:sz w:val="9"/>
                <w:szCs w:val="9"/>
                <w:b w:val="1"/>
                <w:bCs w:val="1"/>
                <w:color w:val="auto"/>
              </w:rPr>
              <w:t>Reclassification</w:t>
            </w:r>
          </w:p>
        </w:tc>
        <w:tc>
          <w:tcPr>
            <w:tcW w:w="820" w:type="dxa"/>
            <w:vAlign w:val="bottom"/>
          </w:tcPr>
          <w:p>
            <w:pPr>
              <w:ind w:left="160"/>
              <w:spacing w:after="0"/>
              <w:rPr>
                <w:sz w:val="20"/>
                <w:szCs w:val="20"/>
                <w:color w:val="auto"/>
              </w:rPr>
            </w:pPr>
            <w:r>
              <w:rPr>
                <w:rFonts w:ascii="Arial" w:cs="Arial" w:eastAsia="Arial" w:hAnsi="Arial"/>
                <w:sz w:val="9"/>
                <w:szCs w:val="9"/>
                <w:b w:val="1"/>
                <w:bCs w:val="1"/>
                <w:color w:val="auto"/>
              </w:rPr>
              <w:t>Combined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9525</wp:posOffset>
            </wp:positionV>
            <wp:extent cx="49053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37" w:right="239" w:bottom="620" w:gutter="0" w:footer="0" w:header="0"/>
        </w:sectPr>
      </w:pPr>
    </w:p>
    <w:p>
      <w:pPr>
        <w:spacing w:after="0" w:line="150" w:lineRule="exact"/>
        <w:rPr>
          <w:sz w:val="20"/>
          <w:szCs w:val="20"/>
          <w:color w:val="auto"/>
        </w:rPr>
      </w:pPr>
    </w:p>
    <w:p>
      <w:pPr>
        <w:ind w:left="180"/>
        <w:spacing w:after="0"/>
        <w:rPr>
          <w:sz w:val="20"/>
          <w:szCs w:val="20"/>
          <w:color w:val="auto"/>
        </w:rPr>
      </w:pPr>
      <w:r>
        <w:rPr>
          <w:rFonts w:ascii="Arial" w:cs="Arial" w:eastAsia="Arial" w:hAnsi="Arial"/>
          <w:sz w:val="13"/>
          <w:szCs w:val="13"/>
          <w:color w:val="auto"/>
        </w:rPr>
        <w:t>Income from continuing operations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Depreciation, amortization and impairment charges</w:t>
      </w:r>
    </w:p>
    <w:p>
      <w:pPr>
        <w:spacing w:after="0" w:line="121" w:lineRule="exact"/>
        <w:rPr>
          <w:sz w:val="20"/>
          <w:szCs w:val="20"/>
          <w:color w:val="auto"/>
        </w:rPr>
      </w:pPr>
    </w:p>
    <w:p>
      <w:pPr>
        <w:ind w:left="340" w:hanging="161"/>
        <w:spacing w:after="0" w:line="230" w:lineRule="auto"/>
        <w:rPr>
          <w:sz w:val="20"/>
          <w:szCs w:val="20"/>
          <w:color w:val="auto"/>
        </w:rPr>
      </w:pPr>
      <w:r>
        <w:rPr>
          <w:rFonts w:ascii="Arial" w:cs="Arial" w:eastAsia="Arial" w:hAnsi="Arial"/>
          <w:sz w:val="13"/>
          <w:szCs w:val="13"/>
          <w:color w:val="auto"/>
        </w:rPr>
        <w:t>Foreign currency remeasurement and transaction (gains) losses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Undistributed earnings of nonconsolidated affiliates, net</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 contributions and OPEB payments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 and OPEB income,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Provision for deferred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Change in other operating assets and liabilities(a)</w:t>
      </w:r>
    </w:p>
    <w:p>
      <w:pPr>
        <w:spacing w:after="0" w:line="121" w:lineRule="exact"/>
        <w:rPr>
          <w:sz w:val="20"/>
          <w:szCs w:val="20"/>
          <w:color w:val="auto"/>
        </w:rPr>
      </w:pPr>
    </w:p>
    <w:p>
      <w:pPr>
        <w:ind w:left="340" w:right="200" w:hanging="161"/>
        <w:spacing w:after="0" w:line="230" w:lineRule="auto"/>
        <w:rPr>
          <w:sz w:val="20"/>
          <w:szCs w:val="20"/>
          <w:color w:val="auto"/>
        </w:rPr>
      </w:pPr>
      <w:r>
        <w:rPr>
          <w:rFonts w:ascii="Arial" w:cs="Arial" w:eastAsia="Arial" w:hAnsi="Arial"/>
          <w:sz w:val="13"/>
          <w:szCs w:val="13"/>
          <w:color w:val="auto"/>
        </w:rPr>
        <w:t>Net cash provided by operating activities – continuing operations</w:t>
      </w:r>
    </w:p>
    <w:p>
      <w:pPr>
        <w:spacing w:after="0" w:line="38" w:lineRule="exact"/>
        <w:rPr>
          <w:sz w:val="20"/>
          <w:szCs w:val="20"/>
          <w:color w:val="auto"/>
        </w:rPr>
      </w:pPr>
    </w:p>
    <w:p>
      <w:pPr>
        <w:ind w:left="340" w:right="60" w:hanging="161"/>
        <w:spacing w:after="0" w:line="230" w:lineRule="auto"/>
        <w:rPr>
          <w:sz w:val="20"/>
          <w:szCs w:val="20"/>
          <w:color w:val="auto"/>
        </w:rPr>
      </w:pPr>
      <w:r>
        <w:rPr>
          <w:rFonts w:ascii="Arial" w:cs="Arial" w:eastAsia="Arial" w:hAnsi="Arial"/>
          <w:sz w:val="13"/>
          <w:szCs w:val="13"/>
          <w:color w:val="auto"/>
        </w:rPr>
        <w:t>Net cash provided by operating activities – discontinued operations</w:t>
      </w:r>
    </w:p>
    <w:p>
      <w:pPr>
        <w:spacing w:after="0" w:line="22" w:lineRule="exact"/>
        <w:rPr>
          <w:sz w:val="20"/>
          <w:szCs w:val="20"/>
          <w:color w:val="auto"/>
        </w:rPr>
      </w:pPr>
    </w:p>
    <w:p>
      <w:pPr>
        <w:ind w:left="40" w:right="840"/>
        <w:spacing w:after="0" w:line="483" w:lineRule="auto"/>
        <w:rPr>
          <w:sz w:val="20"/>
          <w:szCs w:val="20"/>
          <w:color w:val="auto"/>
        </w:rPr>
      </w:pPr>
      <w:r>
        <w:rPr>
          <w:rFonts w:ascii="Arial" w:cs="Arial" w:eastAsia="Arial" w:hAnsi="Arial"/>
          <w:sz w:val="12"/>
          <w:szCs w:val="12"/>
          <w:b w:val="1"/>
          <w:bCs w:val="1"/>
          <w:color w:val="auto"/>
        </w:rPr>
        <w:t>Net cash provided by operating activities Cash flows from investing activities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4,595</w:t>
            </w:r>
          </w:p>
        </w:tc>
        <w:tc>
          <w:tcPr>
            <w:tcW w:w="100" w:type="dxa"/>
            <w:vAlign w:val="bottom"/>
          </w:tcPr>
          <w:p>
            <w:pPr>
              <w:spacing w:after="0"/>
              <w:rPr>
                <w:sz w:val="13"/>
                <w:szCs w:val="13"/>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638</w:t>
            </w:r>
          </w:p>
        </w:tc>
        <w:tc>
          <w:tcPr>
            <w:tcW w:w="120" w:type="dxa"/>
            <w:vAlign w:val="bottom"/>
          </w:tcPr>
          <w:p>
            <w:pPr>
              <w:spacing w:after="0"/>
              <w:rPr>
                <w:sz w:val="13"/>
                <w:szCs w:val="13"/>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5,233</w:t>
            </w:r>
          </w:p>
        </w:tc>
        <w:tc>
          <w:tcPr>
            <w:tcW w:w="100" w:type="dxa"/>
            <w:vAlign w:val="bottom"/>
          </w:tcPr>
          <w:p>
            <w:pPr>
              <w:spacing w:after="0"/>
              <w:rPr>
                <w:sz w:val="13"/>
                <w:szCs w:val="13"/>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6,900</w:t>
            </w: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474</w:t>
            </w:r>
          </w:p>
        </w:tc>
        <w:tc>
          <w:tcPr>
            <w:tcW w:w="100" w:type="dxa"/>
            <w:vAlign w:val="bottom"/>
          </w:tcPr>
          <w:p>
            <w:pPr>
              <w:spacing w:after="0"/>
              <w:rPr>
                <w:sz w:val="13"/>
                <w:szCs w:val="13"/>
                <w:color w:val="auto"/>
              </w:rPr>
            </w:pPr>
          </w:p>
        </w:tc>
        <w:tc>
          <w:tcPr>
            <w:tcW w:w="34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7,374</w:t>
            </w:r>
          </w:p>
        </w:tc>
      </w:tr>
      <w:tr>
        <w:trPr>
          <w:trHeight w:val="270"/>
        </w:trPr>
        <w:tc>
          <w:tcPr>
            <w:tcW w:w="200" w:type="dxa"/>
            <w:vAlign w:val="bottom"/>
          </w:tcPr>
          <w:p>
            <w:pPr>
              <w:spacing w:after="0"/>
              <w:rPr>
                <w:sz w:val="23"/>
                <w:szCs w:val="2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4,327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4,757</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9,084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3,835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3,290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7,125</w:t>
            </w:r>
          </w:p>
        </w:tc>
      </w:tr>
      <w:tr>
        <w:trPr>
          <w:trHeight w:val="324"/>
        </w:trPr>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140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143</w:t>
            </w:r>
          </w:p>
        </w:tc>
      </w:tr>
      <w:tr>
        <w:trPr>
          <w:trHeight w:val="270"/>
        </w:trPr>
        <w:tc>
          <w:tcPr>
            <w:tcW w:w="200" w:type="dxa"/>
            <w:vAlign w:val="bottom"/>
          </w:tcPr>
          <w:p>
            <w:pPr>
              <w:spacing w:after="0"/>
              <w:rPr>
                <w:sz w:val="23"/>
                <w:szCs w:val="2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400</w:t>
            </w:r>
          </w:p>
        </w:tc>
      </w:tr>
      <w:tr>
        <w:trPr>
          <w:trHeight w:val="270"/>
        </w:trPr>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(3,097)</w:t>
            </w:r>
          </w:p>
        </w:tc>
      </w:tr>
      <w:tr>
        <w:trPr>
          <w:trHeight w:val="270"/>
        </w:trPr>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(587)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(587)</w:t>
            </w:r>
          </w:p>
        </w:tc>
      </w:tr>
      <w:tr>
        <w:trPr>
          <w:trHeight w:val="270"/>
        </w:trPr>
        <w:tc>
          <w:tcPr>
            <w:tcW w:w="200" w:type="dxa"/>
            <w:vAlign w:val="bottom"/>
          </w:tcPr>
          <w:p>
            <w:pPr>
              <w:spacing w:after="0"/>
              <w:rPr>
                <w:sz w:val="23"/>
                <w:szCs w:val="2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3,295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222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3,517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2,148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3"/>
                <w:szCs w:val="23"/>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2,194</w:t>
            </w:r>
          </w:p>
        </w:tc>
      </w:tr>
      <w:tr>
        <w:trPr>
          <w:trHeight w:val="280"/>
        </w:trPr>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(3,675)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(702)</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(1,684)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(6,061)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(1,078)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(1,271)</w:t>
            </w:r>
          </w:p>
        </w:tc>
      </w:tr>
      <w:tr>
        <w:trPr>
          <w:trHeight w:val="295"/>
        </w:trPr>
        <w:tc>
          <w:tcPr>
            <w:tcW w:w="20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7,265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4,795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(1,684)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10,376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9,787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3,572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12,281</w:t>
            </w:r>
          </w:p>
        </w:tc>
      </w:tr>
      <w:tr>
        <w:trPr>
          <w:trHeight w:val="334"/>
        </w:trPr>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243</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308</w:t>
            </w:r>
          </w:p>
        </w:tc>
      </w:tr>
      <w:tr>
        <w:trPr>
          <w:trHeight w:val="241"/>
        </w:trPr>
        <w:tc>
          <w:tcPr>
            <w:tcW w:w="200" w:type="dxa"/>
            <w:vAlign w:val="bottom"/>
          </w:tcPr>
          <w:p>
            <w:pPr>
              <w:spacing w:after="0"/>
              <w:rPr>
                <w:sz w:val="20"/>
                <w:szCs w:val="20"/>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7,280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ind w:right="37"/>
              <w:spacing w:after="0"/>
              <w:rPr>
                <w:sz w:val="20"/>
                <w:szCs w:val="20"/>
                <w:color w:val="auto"/>
              </w:rPr>
            </w:pPr>
            <w:r>
              <w:rPr>
                <w:rFonts w:ascii="Arial" w:cs="Arial" w:eastAsia="Arial" w:hAnsi="Arial"/>
                <w:sz w:val="13"/>
                <w:szCs w:val="13"/>
                <w:color w:val="auto"/>
              </w:rPr>
              <w:t>5,038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(1,878)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10,440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10,081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3,858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12,589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-1635760</wp:posOffset>
            </wp:positionV>
            <wp:extent cx="724662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-1258570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-915670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-572135</wp:posOffset>
            </wp:positionV>
            <wp:extent cx="7246620" cy="205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-160655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181610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3340" w:space="360"/>
            <w:col w:w="7720"/>
          </w:cols>
          <w:pgMar w:left="240" w:top="337" w:right="239" w:bottom="620" w:gutter="0" w:footer="0" w:header="0"/>
          <w:type w:val="continuous"/>
        </w:sectPr>
      </w:pPr>
    </w:p>
    <w:p>
      <w:pPr>
        <w:ind w:left="180"/>
        <w:spacing w:after="0"/>
        <w:rPr>
          <w:sz w:val="20"/>
          <w:szCs w:val="20"/>
          <w:color w:val="auto"/>
        </w:rPr>
      </w:pPr>
      <w:r>
        <w:rPr>
          <w:rFonts w:ascii="Arial" w:cs="Arial" w:eastAsia="Arial" w:hAnsi="Arial"/>
          <w:sz w:val="13"/>
          <w:szCs w:val="13"/>
          <w:color w:val="auto"/>
        </w:rPr>
        <w:t>Expenditures for property</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acquisitions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Available-for-sale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Trading marketable securities, liquidations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Acquisition of companies/investments, net of cash acquired</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of finance receivables, net(a)</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Principal collections and recoveries on finance receivables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Purchases of leased vehicles,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Proceeds from termination of leased vehicles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investing activities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Net cash (used in) investing activities – continuing operations</w:t>
      </w:r>
    </w:p>
    <w:p>
      <w:pPr>
        <w:spacing w:after="0" w:line="132" w:lineRule="exact"/>
        <w:rPr>
          <w:sz w:val="20"/>
          <w:szCs w:val="20"/>
          <w:color w:val="auto"/>
        </w:rPr>
      </w:pPr>
    </w:p>
    <w:p>
      <w:pPr>
        <w:ind w:left="340" w:right="480" w:hanging="161"/>
        <w:spacing w:after="0" w:line="230" w:lineRule="auto"/>
        <w:rPr>
          <w:sz w:val="20"/>
          <w:szCs w:val="20"/>
          <w:color w:val="auto"/>
        </w:rPr>
      </w:pPr>
      <w:r>
        <w:rPr>
          <w:rFonts w:ascii="Arial" w:cs="Arial" w:eastAsia="Arial" w:hAnsi="Arial"/>
          <w:sz w:val="13"/>
          <w:szCs w:val="13"/>
          <w:color w:val="auto"/>
        </w:rPr>
        <w:t>Net cash (used in) investing activities – discontinued operations</w:t>
      </w:r>
    </w:p>
    <w:p>
      <w:pPr>
        <w:spacing w:after="0" w:line="22" w:lineRule="exact"/>
        <w:rPr>
          <w:sz w:val="20"/>
          <w:szCs w:val="20"/>
          <w:color w:val="auto"/>
        </w:rPr>
      </w:pPr>
    </w:p>
    <w:p>
      <w:pPr>
        <w:ind w:left="40" w:right="1300"/>
        <w:spacing w:after="0" w:line="483" w:lineRule="auto"/>
        <w:rPr>
          <w:sz w:val="20"/>
          <w:szCs w:val="20"/>
          <w:color w:val="auto"/>
        </w:rPr>
      </w:pPr>
      <w:r>
        <w:rPr>
          <w:rFonts w:ascii="Arial" w:cs="Arial" w:eastAsia="Arial" w:hAnsi="Arial"/>
          <w:sz w:val="12"/>
          <w:szCs w:val="12"/>
          <w:b w:val="1"/>
          <w:bCs w:val="1"/>
          <w:color w:val="auto"/>
        </w:rPr>
        <w:t>Net cash (used in) investing activities Cash flows from financing activities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780" w:type="dxa"/>
            <w:vAlign w:val="bottom"/>
          </w:tcPr>
          <w:p>
            <w:pPr>
              <w:jc w:val="right"/>
              <w:spacing w:after="0"/>
              <w:rPr>
                <w:sz w:val="20"/>
                <w:szCs w:val="20"/>
                <w:color w:val="auto"/>
              </w:rPr>
            </w:pPr>
            <w:r>
              <w:rPr>
                <w:rFonts w:ascii="Arial" w:cs="Arial" w:eastAsia="Arial" w:hAnsi="Arial"/>
                <w:sz w:val="13"/>
                <w:szCs w:val="13"/>
                <w:color w:val="auto"/>
              </w:rPr>
              <w:t>(6,287)</w:t>
            </w: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(6,353)</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(6,044)</w:t>
            </w: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(6,102)</w:t>
            </w:r>
          </w:p>
        </w:tc>
      </w:tr>
      <w:tr>
        <w:trPr>
          <w:trHeight w:val="270"/>
        </w:trPr>
        <w:tc>
          <w:tcPr>
            <w:tcW w:w="780" w:type="dxa"/>
            <w:vAlign w:val="bottom"/>
          </w:tcPr>
          <w:p>
            <w:pPr>
              <w:jc w:val="right"/>
              <w:spacing w:after="0"/>
              <w:rPr>
                <w:sz w:val="20"/>
                <w:szCs w:val="20"/>
                <w:color w:val="auto"/>
              </w:rPr>
            </w:pPr>
            <w:r>
              <w:rPr>
                <w:rFonts w:ascii="Arial" w:cs="Arial" w:eastAsia="Arial" w:hAnsi="Arial"/>
                <w:sz w:val="13"/>
                <w:szCs w:val="13"/>
                <w:color w:val="auto"/>
              </w:rPr>
              <w:t>(4,499)</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(4,499)</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(8,613)</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(8,613)</w:t>
            </w:r>
          </w:p>
        </w:tc>
      </w:tr>
      <w:tr>
        <w:trPr>
          <w:trHeight w:val="270"/>
        </w:trPr>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(249)</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(249)</w:t>
            </w:r>
          </w:p>
        </w:tc>
      </w:tr>
      <w:tr>
        <w:trPr>
          <w:trHeight w:val="270"/>
        </w:trPr>
        <w:tc>
          <w:tcPr>
            <w:tcW w:w="780" w:type="dxa"/>
            <w:vAlign w:val="bottom"/>
          </w:tcPr>
          <w:p>
            <w:pPr>
              <w:jc w:val="right"/>
              <w:ind w:right="37"/>
              <w:spacing w:after="0"/>
              <w:rPr>
                <w:sz w:val="20"/>
                <w:szCs w:val="20"/>
                <w:color w:val="auto"/>
              </w:rPr>
            </w:pPr>
            <w:r>
              <w:rPr>
                <w:rFonts w:ascii="Arial" w:cs="Arial" w:eastAsia="Arial" w:hAnsi="Arial"/>
                <w:sz w:val="13"/>
                <w:szCs w:val="13"/>
                <w:color w:val="auto"/>
              </w:rPr>
              <w:t>7,901</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7,901</w:t>
            </w:r>
          </w:p>
        </w:tc>
        <w:tc>
          <w:tcPr>
            <w:tcW w:w="10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8,090</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8,090</w:t>
            </w:r>
          </w:p>
        </w:tc>
      </w:tr>
      <w:tr>
        <w:trPr>
          <w:trHeight w:val="270"/>
        </w:trPr>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846</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846</w:t>
            </w:r>
          </w:p>
        </w:tc>
      </w:tr>
      <w:tr>
        <w:trPr>
          <w:trHeight w:val="270"/>
        </w:trPr>
        <w:tc>
          <w:tcPr>
            <w:tcW w:w="7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(802)</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(802)</w:t>
            </w:r>
          </w:p>
        </w:tc>
      </w:tr>
      <w:tr>
        <w:trPr>
          <w:trHeight w:val="270"/>
        </w:trPr>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(16,824)</w:t>
            </w:r>
          </w:p>
        </w:tc>
        <w:tc>
          <w:tcPr>
            <w:tcW w:w="120" w:type="dxa"/>
            <w:vAlign w:val="bottom"/>
          </w:tcPr>
          <w:p>
            <w:pPr>
              <w:spacing w:after="0"/>
              <w:rPr>
                <w:sz w:val="23"/>
                <w:szCs w:val="23"/>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1,690</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(15,134)</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(11,467)</w:t>
            </w:r>
          </w:p>
        </w:tc>
        <w:tc>
          <w:tcPr>
            <w:tcW w:w="100" w:type="dxa"/>
            <w:vAlign w:val="bottom"/>
          </w:tcPr>
          <w:p>
            <w:pPr>
              <w:spacing w:after="0"/>
              <w:rPr>
                <w:sz w:val="23"/>
                <w:szCs w:val="23"/>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1,078</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(10,389)</w:t>
            </w:r>
          </w:p>
        </w:tc>
      </w:tr>
      <w:tr>
        <w:trPr>
          <w:trHeight w:val="270"/>
        </w:trPr>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9,410</w:t>
            </w:r>
          </w:p>
        </w:tc>
        <w:tc>
          <w:tcPr>
            <w:tcW w:w="120" w:type="dxa"/>
            <w:vAlign w:val="bottom"/>
          </w:tcPr>
          <w:p>
            <w:pPr>
              <w:spacing w:after="0"/>
              <w:rPr>
                <w:sz w:val="23"/>
                <w:szCs w:val="23"/>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23"/>
                <w:szCs w:val="23"/>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9,363</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7,368</w:t>
            </w:r>
          </w:p>
        </w:tc>
        <w:tc>
          <w:tcPr>
            <w:tcW w:w="1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7,368</w:t>
            </w:r>
          </w:p>
        </w:tc>
      </w:tr>
      <w:tr>
        <w:trPr>
          <w:trHeight w:val="270"/>
        </w:trPr>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(14,809)</w:t>
            </w:r>
          </w:p>
        </w:tc>
        <w:tc>
          <w:tcPr>
            <w:tcW w:w="1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(14,809)</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(14,959)</w:t>
            </w:r>
          </w:p>
        </w:tc>
        <w:tc>
          <w:tcPr>
            <w:tcW w:w="1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(14,959)</w:t>
            </w:r>
          </w:p>
        </w:tc>
      </w:tr>
      <w:tr>
        <w:trPr>
          <w:trHeight w:val="270"/>
        </w:trPr>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4,649</w:t>
            </w:r>
          </w:p>
        </w:tc>
        <w:tc>
          <w:tcPr>
            <w:tcW w:w="120" w:type="dxa"/>
            <w:vAlign w:val="bottom"/>
          </w:tcPr>
          <w:p>
            <w:pPr>
              <w:spacing w:after="0"/>
              <w:rPr>
                <w:sz w:val="23"/>
                <w:szCs w:val="23"/>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4,649</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1,799</w:t>
            </w:r>
          </w:p>
        </w:tc>
        <w:tc>
          <w:tcPr>
            <w:tcW w:w="10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1,799</w:t>
            </w:r>
          </w:p>
        </w:tc>
      </w:tr>
      <w:tr>
        <w:trPr>
          <w:trHeight w:val="280"/>
        </w:trPr>
        <w:tc>
          <w:tcPr>
            <w:tcW w:w="780" w:type="dxa"/>
            <w:vAlign w:val="bottom"/>
          </w:tcPr>
          <w:p>
            <w:pPr>
              <w:jc w:val="right"/>
              <w:ind w:right="37"/>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161</w:t>
            </w:r>
          </w:p>
        </w:tc>
        <w:tc>
          <w:tcPr>
            <w:tcW w:w="12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24"/>
                <w:szCs w:val="2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200</w:t>
            </w:r>
          </w:p>
        </w:tc>
      </w:tr>
      <w:tr>
        <w:trPr>
          <w:trHeight w:val="241"/>
        </w:trPr>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(2,793)</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(17,639)</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1,643</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(18,789)</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(6,611)</w:t>
            </w:r>
          </w:p>
        </w:tc>
        <w:tc>
          <w:tcPr>
            <w:tcW w:w="120" w:type="dxa"/>
            <w:vAlign w:val="bottom"/>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(17,278)</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1,078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(22,811)</w:t>
            </w:r>
          </w:p>
        </w:tc>
      </w:tr>
      <w:tr>
        <w:trPr>
          <w:trHeight w:val="334"/>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(3,613)</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(468)</w:t>
            </w:r>
          </w:p>
        </w:tc>
        <w:tc>
          <w:tcPr>
            <w:tcW w:w="120" w:type="dxa"/>
            <w:vAlign w:val="bottom"/>
          </w:tcPr>
          <w:p>
            <w:pPr>
              <w:spacing w:after="0"/>
              <w:rPr>
                <w:sz w:val="24"/>
                <w:szCs w:val="24"/>
                <w:color w:val="auto"/>
              </w:rPr>
            </w:pPr>
          </w:p>
        </w:tc>
        <w:tc>
          <w:tcPr>
            <w:tcW w:w="12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(3,972)</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(780)</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(680)</w:t>
            </w:r>
          </w:p>
        </w:tc>
        <w:tc>
          <w:tcPr>
            <w:tcW w:w="100" w:type="dxa"/>
            <w:vAlign w:val="bottom"/>
          </w:tcPr>
          <w:p>
            <w:pPr>
              <w:spacing w:after="0"/>
              <w:rPr>
                <w:sz w:val="24"/>
                <w:szCs w:val="24"/>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272</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(1,188)</w:t>
            </w:r>
          </w:p>
        </w:tc>
      </w:tr>
      <w:tr>
        <w:trPr>
          <w:trHeight w:val="241"/>
        </w:trPr>
        <w:tc>
          <w:tcPr>
            <w:tcW w:w="780" w:type="dxa"/>
            <w:vAlign w:val="bottom"/>
          </w:tcPr>
          <w:p>
            <w:pPr>
              <w:jc w:val="right"/>
              <w:spacing w:after="0"/>
              <w:rPr>
                <w:sz w:val="20"/>
                <w:szCs w:val="20"/>
                <w:color w:val="auto"/>
              </w:rPr>
            </w:pPr>
            <w:r>
              <w:rPr>
                <w:rFonts w:ascii="Arial" w:cs="Arial" w:eastAsia="Arial" w:hAnsi="Arial"/>
                <w:sz w:val="13"/>
                <w:szCs w:val="13"/>
                <w:color w:val="auto"/>
              </w:rPr>
              <w:t>(6,406)</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(18,107)</w:t>
            </w:r>
          </w:p>
        </w:tc>
        <w:tc>
          <w:tcPr>
            <w:tcW w:w="120" w:type="dxa"/>
            <w:vAlign w:val="bottom"/>
          </w:tcPr>
          <w:p>
            <w:pPr>
              <w:spacing w:after="0"/>
              <w:rPr>
                <w:sz w:val="20"/>
                <w:szCs w:val="20"/>
                <w:color w:val="auto"/>
              </w:rPr>
            </w:pPr>
          </w:p>
        </w:tc>
        <w:tc>
          <w:tcPr>
            <w:tcW w:w="1280" w:type="dxa"/>
            <w:vAlign w:val="bottom"/>
          </w:tcPr>
          <w:p>
            <w:pPr>
              <w:jc w:val="right"/>
              <w:ind w:right="77"/>
              <w:spacing w:after="0"/>
              <w:rPr>
                <w:sz w:val="20"/>
                <w:szCs w:val="20"/>
                <w:color w:val="auto"/>
              </w:rPr>
            </w:pPr>
            <w:r>
              <w:rPr>
                <w:rFonts w:ascii="Arial" w:cs="Arial" w:eastAsia="Arial" w:hAnsi="Arial"/>
                <w:sz w:val="13"/>
                <w:szCs w:val="13"/>
                <w:color w:val="auto"/>
              </w:rPr>
              <w:t>1,752</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(22,761)</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(7,391)</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(17,958)</w:t>
            </w:r>
          </w:p>
        </w:tc>
        <w:tc>
          <w:tcPr>
            <w:tcW w:w="100" w:type="dxa"/>
            <w:vAlign w:val="bottom"/>
          </w:tcPr>
          <w:p>
            <w:pPr>
              <w:spacing w:after="0"/>
              <w:rPr>
                <w:sz w:val="20"/>
                <w:szCs w:val="20"/>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1,350</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(23,999)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-2081530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-1738630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-1395730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-1052830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-709295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-366395</wp:posOffset>
            </wp:positionV>
            <wp:extent cx="7246620" cy="205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10160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3580" w:space="120"/>
            <w:col w:w="7720"/>
          </w:cols>
          <w:pgMar w:left="240" w:top="337" w:right="239" w:bottom="620" w:gutter="0" w:footer="0" w:header="0"/>
          <w:type w:val="continuous"/>
        </w:sectPr>
      </w:pPr>
    </w:p>
    <w:p>
      <w:pPr>
        <w:ind w:left="180"/>
        <w:spacing w:after="0"/>
        <w:rPr>
          <w:sz w:val="20"/>
          <w:szCs w:val="20"/>
          <w:color w:val="auto"/>
        </w:rPr>
      </w:pPr>
      <w:r>
        <w:rPr>
          <w:rFonts w:ascii="Arial" w:cs="Arial" w:eastAsia="Arial" w:hAnsi="Arial"/>
          <w:sz w:val="13"/>
          <w:szCs w:val="13"/>
          <w:color w:val="auto"/>
        </w:rPr>
        <w:t>Net increase (decrease) in short-term debt</w:t>
      </w:r>
    </w:p>
    <w:p>
      <w:pPr>
        <w:spacing w:after="0" w:line="121" w:lineRule="exact"/>
        <w:rPr>
          <w:sz w:val="20"/>
          <w:szCs w:val="20"/>
          <w:color w:val="auto"/>
        </w:rPr>
      </w:pPr>
    </w:p>
    <w:p>
      <w:pPr>
        <w:ind w:left="340" w:right="220" w:hanging="161"/>
        <w:spacing w:after="0" w:line="230" w:lineRule="auto"/>
        <w:rPr>
          <w:sz w:val="20"/>
          <w:szCs w:val="20"/>
          <w:color w:val="auto"/>
        </w:rPr>
      </w:pPr>
      <w:r>
        <w:rPr>
          <w:rFonts w:ascii="Arial" w:cs="Arial" w:eastAsia="Arial" w:hAnsi="Arial"/>
          <w:sz w:val="13"/>
          <w:szCs w:val="13"/>
          <w:color w:val="auto"/>
        </w:rPr>
        <w:t>Proceeds from issuance of debt (original maturities greater than three months)</w:t>
      </w:r>
    </w:p>
    <w:p>
      <w:pPr>
        <w:spacing w:after="0" w:line="38" w:lineRule="exact"/>
        <w:rPr>
          <w:sz w:val="20"/>
          <w:szCs w:val="20"/>
          <w:color w:val="auto"/>
        </w:rPr>
      </w:pPr>
    </w:p>
    <w:p>
      <w:pPr>
        <w:ind w:left="340" w:right="380" w:hanging="161"/>
        <w:spacing w:after="0" w:line="230" w:lineRule="auto"/>
        <w:rPr>
          <w:sz w:val="20"/>
          <w:szCs w:val="20"/>
          <w:color w:val="auto"/>
        </w:rPr>
      </w:pPr>
      <w:r>
        <w:rPr>
          <w:rFonts w:ascii="Arial" w:cs="Arial" w:eastAsia="Arial" w:hAnsi="Arial"/>
          <w:sz w:val="13"/>
          <w:szCs w:val="13"/>
          <w:color w:val="auto"/>
        </w:rPr>
        <w:t>Payments on debt (original maturities greater than three months)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Payments to purchase common stock</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Proceeds from issuance of GM Financial preferred stock</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Dividends paid</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financing activities</w:t>
      </w:r>
    </w:p>
    <w:p>
      <w:pPr>
        <w:spacing w:after="0" w:line="121" w:lineRule="exact"/>
        <w:rPr>
          <w:sz w:val="20"/>
          <w:szCs w:val="20"/>
          <w:color w:val="auto"/>
        </w:rPr>
      </w:pPr>
    </w:p>
    <w:p>
      <w:pPr>
        <w:ind w:left="340" w:hanging="161"/>
        <w:spacing w:after="0" w:line="230" w:lineRule="auto"/>
        <w:rPr>
          <w:sz w:val="20"/>
          <w:szCs w:val="20"/>
          <w:color w:val="auto"/>
        </w:rPr>
      </w:pPr>
      <w:r>
        <w:rPr>
          <w:rFonts w:ascii="Arial" w:cs="Arial" w:eastAsia="Arial" w:hAnsi="Arial"/>
          <w:sz w:val="13"/>
          <w:szCs w:val="13"/>
          <w:color w:val="auto"/>
        </w:rPr>
        <w:t>Net cash provided by (used in) financing activities – continuing operations</w:t>
      </w:r>
    </w:p>
    <w:p>
      <w:pPr>
        <w:spacing w:after="0" w:line="38" w:lineRule="exact"/>
        <w:rPr>
          <w:sz w:val="20"/>
          <w:szCs w:val="20"/>
          <w:color w:val="auto"/>
        </w:rPr>
      </w:pPr>
    </w:p>
    <w:p>
      <w:pPr>
        <w:ind w:left="340" w:right="620" w:hanging="161"/>
        <w:spacing w:after="0" w:line="230" w:lineRule="auto"/>
        <w:rPr>
          <w:sz w:val="20"/>
          <w:szCs w:val="20"/>
          <w:color w:val="auto"/>
        </w:rPr>
      </w:pPr>
      <w:r>
        <w:rPr>
          <w:rFonts w:ascii="Arial" w:cs="Arial" w:eastAsia="Arial" w:hAnsi="Arial"/>
          <w:sz w:val="13"/>
          <w:szCs w:val="13"/>
          <w:color w:val="auto"/>
        </w:rPr>
        <w:t>Net cash provided by (used in) financing activities – discontinued operations</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cash provided by (used in) financing activities</w:t>
      </w:r>
    </w:p>
    <w:p>
      <w:pPr>
        <w:spacing w:after="0" w:line="56" w:lineRule="exact"/>
        <w:rPr>
          <w:sz w:val="20"/>
          <w:szCs w:val="20"/>
          <w:color w:val="auto"/>
        </w:rPr>
      </w:pPr>
    </w:p>
    <w:p>
      <w:pPr>
        <w:ind w:left="340" w:right="200" w:hanging="161"/>
        <w:spacing w:after="0" w:line="230" w:lineRule="auto"/>
        <w:rPr>
          <w:sz w:val="20"/>
          <w:szCs w:val="20"/>
          <w:color w:val="auto"/>
        </w:rPr>
      </w:pPr>
      <w:r>
        <w:rPr>
          <w:rFonts w:ascii="Arial" w:cs="Arial" w:eastAsia="Arial" w:hAnsi="Arial"/>
          <w:sz w:val="13"/>
          <w:szCs w:val="13"/>
          <w:color w:val="auto"/>
        </w:rPr>
        <w:t>Effect of exchange rate changes on cash, cash equivalents and restricted cash</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Net transactions with Automotive/GM Financial</w:t>
      </w:r>
    </w:p>
    <w:p>
      <w:pPr>
        <w:spacing w:after="0" w:line="121" w:lineRule="exact"/>
        <w:rPr>
          <w:sz w:val="20"/>
          <w:szCs w:val="20"/>
          <w:color w:val="auto"/>
        </w:rPr>
      </w:pPr>
    </w:p>
    <w:p>
      <w:pPr>
        <w:ind w:left="340" w:right="460" w:hanging="161"/>
        <w:spacing w:after="0" w:line="230" w:lineRule="auto"/>
        <w:rPr>
          <w:sz w:val="20"/>
          <w:szCs w:val="20"/>
          <w:color w:val="auto"/>
        </w:rPr>
      </w:pPr>
      <w:r>
        <w:rPr>
          <w:rFonts w:ascii="Arial" w:cs="Arial" w:eastAsia="Arial" w:hAnsi="Arial"/>
          <w:sz w:val="13"/>
          <w:szCs w:val="13"/>
          <w:color w:val="auto"/>
        </w:rPr>
        <w:t>Net increase (decrease) in cash, cash equivalents and restricted cash</w:t>
      </w:r>
    </w:p>
    <w:p>
      <w:pPr>
        <w:spacing w:after="0" w:line="38" w:lineRule="exact"/>
        <w:rPr>
          <w:sz w:val="20"/>
          <w:szCs w:val="20"/>
          <w:color w:val="auto"/>
        </w:rPr>
      </w:pPr>
    </w:p>
    <w:p>
      <w:pPr>
        <w:ind w:left="200" w:right="360" w:hanging="161"/>
        <w:spacing w:after="0" w:line="230" w:lineRule="auto"/>
        <w:rPr>
          <w:sz w:val="20"/>
          <w:szCs w:val="20"/>
          <w:color w:val="auto"/>
        </w:rPr>
      </w:pPr>
      <w:r>
        <w:rPr>
          <w:rFonts w:ascii="Arial" w:cs="Arial" w:eastAsia="Arial" w:hAnsi="Arial"/>
          <w:sz w:val="13"/>
          <w:szCs w:val="13"/>
          <w:color w:val="auto"/>
        </w:rPr>
        <w:t>Cash, cash equivalents and restricted cash at beginning of period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Cash, cash equivalents and restricted cash at end of period</w:t>
      </w:r>
    </w:p>
    <w:p>
      <w:pPr>
        <w:spacing w:after="0" w:line="148" w:lineRule="exact"/>
        <w:rPr>
          <w:sz w:val="20"/>
          <w:szCs w:val="20"/>
          <w:color w:val="auto"/>
        </w:rPr>
      </w:pPr>
    </w:p>
    <w:p>
      <w:pPr>
        <w:ind w:left="200" w:right="500" w:hanging="161"/>
        <w:spacing w:after="0" w:line="230" w:lineRule="auto"/>
        <w:rPr>
          <w:sz w:val="20"/>
          <w:szCs w:val="20"/>
          <w:color w:val="auto"/>
        </w:rPr>
      </w:pPr>
      <w:r>
        <w:rPr>
          <w:rFonts w:ascii="Arial" w:cs="Arial" w:eastAsia="Arial" w:hAnsi="Arial"/>
          <w:sz w:val="13"/>
          <w:szCs w:val="13"/>
          <w:color w:val="auto"/>
        </w:rPr>
        <w:t>Cash, cash equivalents and restricted cash – continuing operations at end of period</w:t>
      </w:r>
    </w:p>
    <w:p>
      <w:pPr>
        <w:spacing w:after="0" w:line="38" w:lineRule="exact"/>
        <w:rPr>
          <w:sz w:val="20"/>
          <w:szCs w:val="20"/>
          <w:color w:val="auto"/>
        </w:rPr>
      </w:pPr>
    </w:p>
    <w:p>
      <w:pPr>
        <w:ind w:left="200" w:right="380" w:hanging="161"/>
        <w:spacing w:after="0" w:line="230" w:lineRule="auto"/>
        <w:rPr>
          <w:sz w:val="20"/>
          <w:szCs w:val="20"/>
          <w:color w:val="auto"/>
        </w:rPr>
      </w:pPr>
      <w:r>
        <w:rPr>
          <w:rFonts w:ascii="Arial" w:cs="Arial" w:eastAsia="Arial" w:hAnsi="Arial"/>
          <w:sz w:val="13"/>
          <w:szCs w:val="13"/>
          <w:color w:val="auto"/>
        </w:rPr>
        <w:t>Cash, cash equivalents and restricted cash – discontinued operations at end of period</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(305)</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(301)</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(289)</w:t>
            </w:r>
          </w:p>
        </w:tc>
      </w:tr>
      <w:tr>
        <w:trPr>
          <w:trHeight w:val="324"/>
        </w:trPr>
        <w:tc>
          <w:tcPr>
            <w:tcW w:w="20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3,691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39,357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43,048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2,235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28,363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30,598</w:t>
            </w:r>
          </w:p>
        </w:tc>
      </w:tr>
      <w:tr>
        <w:trPr>
          <w:trHeight w:val="324"/>
        </w:trPr>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(754)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4"/>
              </w:rPr>
              <w:t>(25,280)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(26,034)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(14,870)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(15,294)</w:t>
            </w:r>
          </w:p>
        </w:tc>
      </w:tr>
      <w:tr>
        <w:trPr>
          <w:trHeight w:val="270"/>
        </w:trPr>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(2,994)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(2,994)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(1,501)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(1,501)</w:t>
            </w:r>
          </w:p>
        </w:tc>
      </w:tr>
      <w:tr>
        <w:trPr>
          <w:trHeight w:val="270"/>
        </w:trPr>
        <w:tc>
          <w:tcPr>
            <w:tcW w:w="200" w:type="dxa"/>
            <w:vAlign w:val="bottom"/>
          </w:tcPr>
          <w:p>
            <w:pPr>
              <w:spacing w:after="0"/>
              <w:rPr>
                <w:sz w:val="23"/>
                <w:szCs w:val="2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(1,782)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3"/>
                <w:szCs w:val="2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(1,782)</w:t>
            </w:r>
          </w:p>
        </w:tc>
      </w:tr>
      <w:tr>
        <w:trPr>
          <w:trHeight w:val="280"/>
        </w:trPr>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(172)</w:t>
            </w:r>
          </w:p>
        </w:tc>
      </w:tr>
      <w:tr>
        <w:trPr>
          <w:trHeight w:val="295"/>
        </w:trPr>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14,626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12,659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13,080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11,560</w:t>
            </w:r>
          </w:p>
        </w:tc>
      </w:tr>
      <w:tr>
        <w:trPr>
          <w:trHeight w:val="469"/>
        </w:trPr>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585</w:t>
            </w:r>
          </w:p>
        </w:tc>
      </w:tr>
      <w:tr>
        <w:trPr>
          <w:trHeight w:val="241"/>
        </w:trPr>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14,689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jc w:val="right"/>
              <w:ind w:right="77"/>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12,679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13,680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0"/>
                <w:szCs w:val="20"/>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12,145</w:t>
            </w:r>
          </w:p>
        </w:tc>
      </w:tr>
      <w:tr>
        <w:trPr>
          <w:trHeight w:val="324"/>
        </w:trPr>
        <w:tc>
          <w:tcPr>
            <w:tcW w:w="20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112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52</w:t>
            </w:r>
          </w:p>
        </w:tc>
      </w:tr>
      <w:tr>
        <w:trPr>
          <w:trHeight w:val="280"/>
        </w:trPr>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r>
      <w:tr>
        <w:trPr>
          <w:trHeight w:val="295"/>
        </w:trPr>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1,732</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720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1,105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787</w:t>
            </w:r>
          </w:p>
        </w:tc>
      </w:tr>
      <w:tr>
        <w:trPr>
          <w:trHeight w:val="334"/>
        </w:trPr>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9,858</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5,302</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15,160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12,390</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4,942</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17,332</w:t>
            </w:r>
          </w:p>
        </w:tc>
      </w:tr>
      <w:tr>
        <w:trPr>
          <w:trHeight w:val="237"/>
        </w:trPr>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8,846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7,034</w:t>
            </w:r>
          </w:p>
        </w:tc>
        <w:tc>
          <w:tcPr>
            <w:tcW w:w="120" w:type="dxa"/>
            <w:vAlign w:val="bottom"/>
          </w:tcPr>
          <w:p>
            <w:pPr>
              <w:spacing w:after="0"/>
              <w:rPr>
                <w:sz w:val="20"/>
                <w:szCs w:val="20"/>
                <w:color w:val="auto"/>
              </w:rPr>
            </w:pPr>
          </w:p>
        </w:tc>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15,880</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13,495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4,624</w:t>
            </w:r>
          </w:p>
        </w:tc>
        <w:tc>
          <w:tcPr>
            <w:tcW w:w="100" w:type="dxa"/>
            <w:vAlign w:val="bottom"/>
          </w:tcPr>
          <w:p>
            <w:pPr>
              <w:spacing w:after="0"/>
              <w:rPr>
                <w:sz w:val="20"/>
                <w:szCs w:val="20"/>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18,119</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268"/>
        </w:trPr>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8,846</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6,469</w:t>
            </w:r>
          </w:p>
        </w:tc>
        <w:tc>
          <w:tcPr>
            <w:tcW w:w="120" w:type="dxa"/>
            <w:vAlign w:val="bottom"/>
          </w:tcPr>
          <w:p>
            <w:pPr>
              <w:spacing w:after="0"/>
              <w:rPr>
                <w:sz w:val="23"/>
                <w:szCs w:val="23"/>
                <w:color w:val="auto"/>
              </w:rPr>
            </w:pPr>
          </w:p>
        </w:tc>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15,315</w:t>
            </w:r>
          </w:p>
        </w:tc>
        <w:tc>
          <w:tcPr>
            <w:tcW w:w="100" w:type="dxa"/>
            <w:vAlign w:val="bottom"/>
          </w:tcPr>
          <w:p>
            <w:pPr>
              <w:spacing w:after="0"/>
              <w:rPr>
                <w:sz w:val="23"/>
                <w:szCs w:val="23"/>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13,493</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3,899</w:t>
            </w:r>
          </w:p>
        </w:tc>
        <w:tc>
          <w:tcPr>
            <w:tcW w:w="100" w:type="dxa"/>
            <w:vAlign w:val="bottom"/>
          </w:tcPr>
          <w:p>
            <w:pPr>
              <w:spacing w:after="0"/>
              <w:rPr>
                <w:sz w:val="23"/>
                <w:szCs w:val="23"/>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17,392</w:t>
            </w:r>
          </w:p>
        </w:tc>
      </w:tr>
      <w:tr>
        <w:trPr>
          <w:trHeight w:val="324"/>
        </w:trPr>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565</w:t>
            </w:r>
          </w:p>
        </w:tc>
        <w:tc>
          <w:tcPr>
            <w:tcW w:w="120" w:type="dxa"/>
            <w:vAlign w:val="bottom"/>
          </w:tcPr>
          <w:p>
            <w:pPr>
              <w:spacing w:after="0"/>
              <w:rPr>
                <w:sz w:val="24"/>
                <w:szCs w:val="24"/>
                <w:color w:val="auto"/>
              </w:rPr>
            </w:pPr>
          </w:p>
        </w:tc>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24"/>
                <w:szCs w:val="24"/>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725</w:t>
            </w:r>
          </w:p>
        </w:tc>
        <w:tc>
          <w:tcPr>
            <w:tcW w:w="100" w:type="dxa"/>
            <w:vAlign w:val="bottom"/>
          </w:tcPr>
          <w:p>
            <w:pPr>
              <w:spacing w:after="0"/>
              <w:rPr>
                <w:sz w:val="24"/>
                <w:szCs w:val="24"/>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-2343785</wp:posOffset>
            </wp:positionH>
            <wp:positionV relativeFrom="paragraph">
              <wp:posOffset>-3128010</wp:posOffset>
            </wp:positionV>
            <wp:extent cx="724662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-2716530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-2372995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-2030095</wp:posOffset>
            </wp:positionV>
            <wp:extent cx="724662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-1532890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-1155700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-777875</wp:posOffset>
            </wp:positionV>
            <wp:extent cx="7246620" cy="2057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-2343785</wp:posOffset>
            </wp:positionH>
            <wp:positionV relativeFrom="paragraph">
              <wp:posOffset>-400685</wp:posOffset>
            </wp:positionV>
            <wp:extent cx="724662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3660" w:space="40"/>
            <w:col w:w="7720"/>
          </w:cols>
          <w:pgMar w:left="240" w:top="337" w:right="239" w:bottom="620" w:gutter="0" w:footer="0" w:header="0"/>
          <w:type w:val="continuous"/>
        </w:sectPr>
      </w:pPr>
    </w:p>
    <w:p>
      <w:pPr>
        <w:spacing w:after="0"/>
        <w:rPr>
          <w:sz w:val="20"/>
          <w:szCs w:val="20"/>
          <w:color w:val="auto"/>
        </w:rPr>
      </w:pPr>
      <w:r>
        <w:rPr>
          <w:rFonts w:ascii="Arial" w:cs="Arial" w:eastAsia="Arial" w:hAnsi="Arial"/>
          <w:sz w:val="11"/>
          <w:szCs w:val="11"/>
          <w:color w:val="auto"/>
        </w:rPr>
        <w:t>_________</w:t>
      </w:r>
    </w:p>
    <w:p>
      <w:pPr>
        <w:ind w:left="340" w:right="20" w:hanging="332"/>
        <w:spacing w:after="0" w:line="238" w:lineRule="auto"/>
        <w:tabs>
          <w:tab w:leader="none" w:pos="3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Reclassifications of $1.4 billion and $1.1 billion in the nine months ended September 30, 2017 and 2016 for purchases/collections of wholesale finance receivables resulting from vehicles sold by GM to dealers that have arranged their inventory floor plan financing through GM Financial.</w:t>
      </w:r>
    </w:p>
    <w:p>
      <w:pPr>
        <w:sectPr>
          <w:pgSz w:w="11900" w:h="16838" w:orient="portrait"/>
          <w:cols w:equalWidth="0" w:num="1">
            <w:col w:w="11420"/>
          </w:cols>
          <w:pgMar w:left="240" w:top="337" w:right="239" w:bottom="620" w:gutter="0" w:footer="0" w:header="0"/>
          <w:type w:val="continuous"/>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sectPr>
      <w:pgSz w:w="11900" w:h="16838" w:orient="portrait"/>
      <w:cols w:equalWidth="0" w:num="1">
        <w:col w:w="11420"/>
      </w:cols>
      <w:pgMar w:left="240" w:top="337" w:right="239" w:bottom="6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4"/>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2019-12-29T03:48:27Z</dcterms:created>
  <dcterms:modified xsi:type="dcterms:W3CDTF">2019-12-29T03:48:27Z</dcterms:modified>
</cp:coreProperties>
</file>