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November 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27-0383222</w:t>
      </w:r>
    </w:p>
    <w:p>
      <w:pPr>
        <w:spacing w:after="0" w:line="55" w:lineRule="exact"/>
        <w:rPr>
          <w:sz w:val="24"/>
          <w:szCs w:val="24"/>
          <w:color w:val="auto"/>
        </w:rPr>
      </w:pPr>
    </w:p>
    <w:p>
      <w:pPr>
        <w:sectPr>
          <w:pgSz w:w="11900" w:h="16838" w:orient="portrait"/>
          <w:cols w:equalWidth="0" w:num="3">
            <w:col w:w="4620" w:space="720"/>
            <w:col w:w="3120" w:space="720"/>
            <w:col w:w="1820"/>
          </w:cols>
          <w:pgMar w:left="240" w:top="230" w:right="65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40" w:space="720"/>
            <w:col w:w="1940"/>
          </w:cols>
          <w:pgMar w:left="240" w:top="230"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230"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230"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p>
      <w:pPr>
        <w:spacing w:after="0"/>
        <w:tabs>
          <w:tab w:leader="none" w:pos="1020" w:val="left"/>
        </w:tabs>
        <w:rPr>
          <w:rFonts w:ascii="Arial" w:cs="Arial" w:eastAsia="Arial" w:hAnsi="Arial"/>
          <w:sz w:val="16"/>
          <w:szCs w:val="16"/>
          <w:b w:val="1"/>
          <w:bCs w:val="1"/>
          <w:u w:val="single" w:color="auto"/>
          <w:color w:val="0000EE"/>
        </w:rPr>
      </w:pPr>
      <w:hyperlink w:anchor="page3">
        <w:r>
          <w:rPr>
            <w:rFonts w:ascii="Arial" w:cs="Arial" w:eastAsia="Arial" w:hAnsi="Arial"/>
            <w:sz w:val="18"/>
            <w:szCs w:val="18"/>
            <w:b w:val="1"/>
            <w:bCs w:val="1"/>
            <w:u w:val="single" w:color="auto"/>
            <w:color w:val="0000EE"/>
          </w:rPr>
          <w:t>ITEM 8.01</w:t>
        </w:r>
      </w:hyperlink>
      <w:r>
        <w:rPr>
          <w:rFonts w:ascii="Arial" w:cs="Arial" w:eastAsia="Arial" w:hAnsi="Arial"/>
          <w:sz w:val="18"/>
          <w:szCs w:val="18"/>
          <w:b w:val="1"/>
          <w:bCs w:val="1"/>
          <w:u w:val="single" w:color="auto"/>
          <w:color w:val="0000EE"/>
        </w:rPr>
        <w:tab/>
      </w:r>
      <w:hyperlink w:anchor="page3">
        <w:r>
          <w:rPr>
            <w:rFonts w:ascii="Arial" w:cs="Arial" w:eastAsia="Arial" w:hAnsi="Arial"/>
            <w:sz w:val="16"/>
            <w:szCs w:val="16"/>
            <w:b w:val="1"/>
            <w:bCs w:val="1"/>
            <w:u w:val="single" w:color="auto"/>
            <w:color w:val="0000EE"/>
          </w:rPr>
          <w:t>Other Events</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Sales Release and Charts Dated November 3, 2009</w:t>
        </w:r>
      </w:hyperlink>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On November 3, 2009 General Motors Company (GM) issued a news release announcing October sales. The release and charts are attached as Exhibit 99.1.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This Form 8-K corrects certain information contained in the original November 3, 2009 news release. The following corrections were made:</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page three under the heading “Buick key facts”, the phrase that Lucerne had highest sales month of 2009 with sales of 4,324 was deleted.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page three under the heading “GMC key facts”, Terrain total sales were up 63 percent and not 85 percent as originally disclosed.</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page three under the heading “GMC key facts”, total sales for new Buick and GMC models were up 20 percent and not 33 percent as originally disclosed.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page four under the heading “Management Discussion of October Sales Results”, U.S. October 2009 SAAR was changed to 10.8 million from 10.6 million. Also, the October 2009 SAAR improvement was changed to 14 percent from 13 percent.</w:t>
      </w:r>
    </w:p>
    <w:p>
      <w:pPr>
        <w:spacing w:after="0" w:line="50"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page five under the heading “Management Discussion of October Sales Results – Auto Industry”, the phrase that industry estimated October SAAR of 10.7 million could be the highest monthly SAAR since November 2008 (excluding Cash for Clunkers) was deleted.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8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r>
      <w:tr>
        <w:trPr>
          <w:trHeight w:val="372"/>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72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35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4"/>
              </w:rPr>
              <w:t>Method of Filing</w:t>
            </w:r>
          </w:p>
        </w:tc>
        <w:tc>
          <w:tcPr>
            <w:tcW w:w="80" w:type="dxa"/>
            <w:vAlign w:val="bottom"/>
          </w:tcPr>
          <w:p>
            <w:pPr>
              <w:spacing w:after="0"/>
              <w:rPr>
                <w:sz w:val="24"/>
                <w:szCs w:val="24"/>
                <w:color w:val="auto"/>
              </w:rPr>
            </w:pPr>
          </w:p>
        </w:tc>
      </w:tr>
      <w:tr>
        <w:trPr>
          <w:trHeight w:val="316"/>
        </w:trPr>
        <w:tc>
          <w:tcPr>
            <w:tcW w:w="5340" w:type="dxa"/>
            <w:vAlign w:val="bottom"/>
            <w:gridSpan w:val="4"/>
          </w:tcPr>
          <w:p>
            <w:pPr>
              <w:spacing w:after="0"/>
              <w:rPr>
                <w:sz w:val="20"/>
                <w:szCs w:val="20"/>
                <w:color w:val="auto"/>
              </w:rPr>
            </w:pPr>
            <w:r>
              <w:rPr>
                <w:rFonts w:ascii="Arial" w:cs="Arial" w:eastAsia="Arial" w:hAnsi="Arial"/>
                <w:sz w:val="18"/>
                <w:szCs w:val="18"/>
                <w:color w:val="auto"/>
              </w:rPr>
              <w:t>Exhibit 99.1   Sales Release and Charts Dated November 3, 2009</w:t>
            </w:r>
          </w:p>
        </w:tc>
        <w:tc>
          <w:tcPr>
            <w:tcW w:w="740" w:type="dxa"/>
            <w:vAlign w:val="bottom"/>
          </w:tcPr>
          <w:p>
            <w:pPr>
              <w:spacing w:after="0"/>
              <w:rPr>
                <w:sz w:val="24"/>
                <w:szCs w:val="24"/>
                <w:color w:val="auto"/>
              </w:rPr>
            </w:pPr>
          </w:p>
        </w:tc>
        <w:tc>
          <w:tcPr>
            <w:tcW w:w="5100" w:type="dxa"/>
            <w:vAlign w:val="bottom"/>
            <w:gridSpan w:val="3"/>
          </w:tcPr>
          <w:p>
            <w:pPr>
              <w:ind w:left="3720"/>
              <w:spacing w:after="0"/>
              <w:rPr>
                <w:sz w:val="20"/>
                <w:szCs w:val="20"/>
                <w:color w:val="auto"/>
              </w:rPr>
            </w:pPr>
            <w:r>
              <w:rPr>
                <w:rFonts w:ascii="Arial" w:cs="Arial" w:eastAsia="Arial" w:hAnsi="Arial"/>
                <w:sz w:val="18"/>
                <w:szCs w:val="18"/>
                <w:color w:val="auto"/>
                <w:w w:val="88"/>
              </w:rPr>
              <w:t>Attached as Exhibit</w:t>
            </w:r>
          </w:p>
        </w:tc>
      </w:tr>
    </w:tbl>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(Company)</w:t>
      </w:r>
    </w:p>
    <w:p>
      <w:pPr>
        <w:spacing w:after="0" w:line="368"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Arial" w:cs="Arial" w:eastAsia="Arial" w:hAnsi="Arial"/>
          <w:sz w:val="18"/>
          <w:szCs w:val="18"/>
          <w:color w:val="auto"/>
        </w:rPr>
        <w:t>Date: November 9,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29"/>
          <w:szCs w:val="29"/>
          <w:color w:val="auto"/>
          <w:vertAlign w:val="superscript"/>
        </w:rPr>
        <w:t>S</w:t>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N</w:t>
      </w:r>
      <w:r>
        <w:rPr>
          <w:rFonts w:ascii="Arial" w:cs="Arial" w:eastAsia="Arial" w:hAnsi="Arial"/>
          <w:sz w:val="22"/>
          <w:szCs w:val="22"/>
          <w:color w:val="auto"/>
          <w:vertAlign w:val="superscript"/>
        </w:rPr>
        <w:t>ICK</w:t>
      </w:r>
      <w:r>
        <w:rPr>
          <w:rFonts w:ascii="Arial" w:cs="Arial" w:eastAsia="Arial" w:hAnsi="Arial"/>
          <w:sz w:val="14"/>
          <w:szCs w:val="14"/>
          <w:color w:val="auto"/>
        </w:rPr>
        <w:t xml:space="preserve"> S. C</w:t>
      </w:r>
      <w:r>
        <w:rPr>
          <w:rFonts w:ascii="Arial" w:cs="Arial" w:eastAsia="Arial" w:hAnsi="Arial"/>
          <w:sz w:val="22"/>
          <w:szCs w:val="22"/>
          <w:color w:val="auto"/>
          <w:vertAlign w:val="superscript"/>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6300"/>
        <w:spacing w:after="0" w:line="221" w:lineRule="auto"/>
        <w:rPr>
          <w:sz w:val="20"/>
          <w:szCs w:val="20"/>
          <w:color w:val="auto"/>
        </w:rPr>
      </w:pPr>
      <w:r>
        <w:rPr>
          <w:rFonts w:ascii="Arial" w:cs="Arial" w:eastAsia="Arial" w:hAnsi="Arial"/>
          <w:sz w:val="14"/>
          <w:szCs w:val="14"/>
          <w:b w:val="1"/>
          <w:bCs w:val="1"/>
          <w:color w:val="auto"/>
        </w:rPr>
        <w:t>Nick S. Cyprus</w:t>
      </w:r>
    </w:p>
    <w:p>
      <w:pPr>
        <w:jc w:val="center"/>
        <w:ind w:left="6300"/>
        <w:spacing w:after="0"/>
        <w:rPr>
          <w:sz w:val="20"/>
          <w:szCs w:val="20"/>
          <w:color w:val="auto"/>
        </w:rPr>
      </w:pPr>
      <w:r>
        <w:rPr>
          <w:rFonts w:ascii="Arial" w:cs="Arial" w:eastAsia="Arial" w:hAnsi="Arial"/>
          <w:sz w:val="14"/>
          <w:szCs w:val="14"/>
          <w:b w:val="1"/>
          <w:bCs w:val="1"/>
          <w:color w:val="auto"/>
        </w:rPr>
        <w:t>Vice President, Controller and Chief Accounting Officer</w:t>
      </w:r>
    </w:p>
    <w:p>
      <w:pPr>
        <w:sectPr>
          <w:pgSz w:w="11900" w:h="16838" w:orient="portrait"/>
          <w:cols w:equalWidth="0" w:num="1">
            <w:col w:w="10960"/>
          </w:cols>
          <w:pgMar w:left="240" w:top="459" w:right="6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186690</wp:posOffset>
            </wp:positionV>
            <wp:extent cx="3249930" cy="943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4993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Release: 1:45 p.m. 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 2009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Chevrolet, Buick, GMC and Cadillac Drive First GM Sales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 in 21 Months</w:t>
      </w:r>
    </w:p>
    <w:p>
      <w:pPr>
        <w:spacing w:after="0" w:line="159" w:lineRule="exact"/>
        <w:rPr>
          <w:sz w:val="20"/>
          <w:szCs w:val="20"/>
          <w:color w:val="auto"/>
        </w:rPr>
      </w:pPr>
    </w:p>
    <w:p>
      <w:pPr>
        <w:jc w:val="both"/>
        <w:ind w:right="40"/>
        <w:spacing w:after="0" w:line="310" w:lineRule="auto"/>
        <w:rPr>
          <w:sz w:val="20"/>
          <w:szCs w:val="20"/>
          <w:color w:val="auto"/>
        </w:rPr>
      </w:pPr>
      <w:r>
        <w:rPr>
          <w:rFonts w:ascii="Arial" w:cs="Arial" w:eastAsia="Arial" w:hAnsi="Arial"/>
          <w:sz w:val="16"/>
          <w:szCs w:val="16"/>
          <w:b w:val="1"/>
          <w:bCs w:val="1"/>
          <w:color w:val="auto"/>
        </w:rPr>
        <w:t xml:space="preserve">DETROIT – </w:t>
      </w:r>
      <w:r>
        <w:rPr>
          <w:rFonts w:ascii="Arial" w:cs="Arial" w:eastAsia="Arial" w:hAnsi="Arial"/>
          <w:sz w:val="16"/>
          <w:szCs w:val="16"/>
          <w:color w:val="auto"/>
        </w:rPr>
        <w:t>A strong performance by GM’s four core brands – Chevrolet, Buick, GMC, and Cadillac – resulted in GM U.S. October sales of 177,603 vehicles,</w:t>
      </w:r>
      <w:r>
        <w:rPr>
          <w:rFonts w:ascii="Arial" w:cs="Arial" w:eastAsia="Arial" w:hAnsi="Arial"/>
          <w:sz w:val="16"/>
          <w:szCs w:val="16"/>
          <w:b w:val="1"/>
          <w:bCs w:val="1"/>
          <w:color w:val="auto"/>
        </w:rPr>
        <w:t xml:space="preserve"> </w:t>
      </w:r>
      <w:r>
        <w:rPr>
          <w:rFonts w:ascii="Arial" w:cs="Arial" w:eastAsia="Arial" w:hAnsi="Arial"/>
          <w:sz w:val="16"/>
          <w:szCs w:val="16"/>
          <w:color w:val="auto"/>
        </w:rPr>
        <w:t>up 4 percent from last October, the company’s first year-over-year gain since January 2008. Total sales increased 13 percent when compared with September. The four brands accounted for about 95 percent of GM’s retail sales, an increase of 10 percentage points compared to the prior year.</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“We’re very pleased with consumer acceptance to our newest cars, crossovers and trucks,” said Susan Docherty, GM vice president, U.S. Sales. “While we have more work to do, we are making progress and will continue our focus on delivering vehicles and a sales and service experience that brings consumers to Chevrolet, Buick, GMC and Cadillac – and keeps them coming back.”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quick facts:</w:t>
      </w:r>
    </w:p>
    <w:p>
      <w:pPr>
        <w:spacing w:after="0" w:line="21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Total GM sales increased 4 percent compared with October, 2008; retail sales were up 15 percent for the same period.</w:t>
      </w:r>
    </w:p>
    <w:p>
      <w:pPr>
        <w:spacing w:after="0" w:line="211"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Year-over-year total sales increase is the first since January, 2008.</w:t>
      </w:r>
    </w:p>
    <w:p>
      <w:pPr>
        <w:spacing w:after="0" w:line="211"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GM gains market share for the third straight month – estimated at 21 percent of the total light vehicle market.</w:t>
      </w:r>
    </w:p>
    <w:p>
      <w:pPr>
        <w:spacing w:after="0" w:line="211"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Chevrolet, Buick, GMC and Cadillac retail sales represented 95 percent of October retail sales vs. 85 percent in October, 2008.</w:t>
      </w:r>
    </w:p>
    <w:p>
      <w:pPr>
        <w:spacing w:after="0" w:line="211"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Combined Buick/GMC retail sales were up 33 percent compared with last year, driving Buick-Pontiac-GMC retail sales up 12 percent.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Chevrolet Retail Sales Up 31 Percent</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Strong retail sales of Chevrolet’s launch vehicles – Camaro, Equinox, and Traverse – led to a year-over-year increase in total sales of 9 percent, and a 31 percent increase in retail sales for the same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Chevrolet key facts:</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Malibu </w:t>
      </w:r>
      <w:r>
        <w:rPr>
          <w:rFonts w:ascii="Arial" w:cs="Arial" w:eastAsia="Arial" w:hAnsi="Arial"/>
          <w:sz w:val="18"/>
          <w:szCs w:val="18"/>
          <w:color w:val="auto"/>
        </w:rPr>
        <w:t>retail sales for Malibu were up 84 percent compared to a year ago.</w:t>
      </w:r>
    </w:p>
    <w:p>
      <w:pPr>
        <w:spacing w:after="0" w:line="211" w:lineRule="exact"/>
        <w:rPr>
          <w:rFonts w:ascii="Arial" w:cs="Arial" w:eastAsia="Arial" w:hAnsi="Arial"/>
          <w:sz w:val="18"/>
          <w:szCs w:val="18"/>
          <w:color w:val="auto"/>
        </w:rPr>
      </w:pPr>
    </w:p>
    <w:p>
      <w:pPr>
        <w:ind w:left="460" w:right="240" w:hanging="452"/>
        <w:spacing w:after="0" w:line="27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Camaro </w:t>
      </w:r>
      <w:r>
        <w:rPr>
          <w:rFonts w:ascii="Arial" w:cs="Arial" w:eastAsia="Arial" w:hAnsi="Arial"/>
          <w:sz w:val="18"/>
          <w:szCs w:val="18"/>
          <w:color w:val="auto"/>
        </w:rPr>
        <w:t>continues to distance itself from competition, selling nearly 8,000 vehicles during the month and we anticipate we will hold the top spot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sports car segment.</w:t>
      </w:r>
    </w:p>
    <w:p>
      <w:pPr>
        <w:spacing w:after="0" w:line="16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Corvette </w:t>
      </w:r>
      <w:r>
        <w:rPr>
          <w:rFonts w:ascii="Arial" w:cs="Arial" w:eastAsia="Arial" w:hAnsi="Arial"/>
          <w:sz w:val="18"/>
          <w:szCs w:val="18"/>
          <w:color w:val="auto"/>
        </w:rPr>
        <w:t>retains the number one position in the luxury sports car segment with nearly 28 percent of the market.</w:t>
      </w:r>
    </w:p>
    <w:p>
      <w:pPr>
        <w:spacing w:after="0" w:line="211" w:lineRule="exact"/>
        <w:rPr>
          <w:rFonts w:ascii="Arial" w:cs="Arial" w:eastAsia="Arial" w:hAnsi="Arial"/>
          <w:sz w:val="18"/>
          <w:szCs w:val="18"/>
          <w:color w:val="auto"/>
        </w:rPr>
      </w:pPr>
    </w:p>
    <w:p>
      <w:pPr>
        <w:ind w:left="460" w:hanging="452"/>
        <w:spacing w:after="0" w:line="27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Equinox </w:t>
      </w:r>
      <w:r>
        <w:rPr>
          <w:rFonts w:ascii="Arial" w:cs="Arial" w:eastAsia="Arial" w:hAnsi="Arial"/>
          <w:sz w:val="18"/>
          <w:szCs w:val="18"/>
          <w:color w:val="auto"/>
        </w:rPr>
        <w:t>share in compact crossover segment is growing, having more than doubled in a year to 10 percent – the highest since August, 2007; added a third</w:t>
      </w:r>
      <w:r>
        <w:rPr>
          <w:rFonts w:ascii="Arial" w:cs="Arial" w:eastAsia="Arial" w:hAnsi="Arial"/>
          <w:sz w:val="18"/>
          <w:szCs w:val="18"/>
          <w:b w:val="1"/>
          <w:bCs w:val="1"/>
          <w:color w:val="auto"/>
        </w:rPr>
        <w:t xml:space="preserve"> </w:t>
      </w:r>
      <w:r>
        <w:rPr>
          <w:rFonts w:ascii="Arial" w:cs="Arial" w:eastAsia="Arial" w:hAnsi="Arial"/>
          <w:sz w:val="18"/>
          <w:szCs w:val="18"/>
          <w:color w:val="auto"/>
        </w:rPr>
        <w:t>shift to keep up with demand.</w:t>
      </w:r>
    </w:p>
    <w:p>
      <w:pPr>
        <w:spacing w:after="0" w:line="16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Silverado </w:t>
      </w:r>
      <w:r>
        <w:rPr>
          <w:rFonts w:ascii="Arial" w:cs="Arial" w:eastAsia="Arial" w:hAnsi="Arial"/>
          <w:sz w:val="18"/>
          <w:szCs w:val="18"/>
          <w:color w:val="auto"/>
        </w:rPr>
        <w:t>total sales of 31,800 were driven by the strength of Chevrolet’s “Truck Month” promotion.</w:t>
      </w:r>
    </w:p>
    <w:p>
      <w:pPr>
        <w:spacing w:after="0" w:line="17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“Chevrolet had a solid sales month in October supported by our 2009 launch products Camaro, Equinox and Traverse,” said Brent Dewar, vice president, global Chevrolet. “Our broad lineup appeals to a range of consumers, whether it’s the modern sports car, Camaro, appealing to performance enthusiasts or the Equinox and Traverse delivering what today’s families care about: safety, styling and efficiency.”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Buick – GMC Total Sales Up 20 Percent</w:t>
      </w:r>
    </w:p>
    <w:p>
      <w:pPr>
        <w:spacing w:after="0" w:line="17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Buick car and Crossover sales showed improvement in October vs. a year ago, led by the all-new LaCrosse and Enclave. Sales of the all-new GMC Terrain and GMC’s “Truck Month” promotion helped lift GMC total sales 20 percent, and retail sales 35 percent for the month, compared with last year.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340"/>
          </w:cols>
          <w:pgMar w:left="240" w:top="280"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Buick key facts:</w:t>
      </w:r>
    </w:p>
    <w:p>
      <w:pPr>
        <w:spacing w:after="0" w:line="21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Buick had its best total sales month for 2009 (9,053) and best since October ‘08, up 19 percent.</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LaCrosse </w:t>
      </w:r>
      <w:r>
        <w:rPr>
          <w:rFonts w:ascii="Arial" w:cs="Arial" w:eastAsia="Arial" w:hAnsi="Arial"/>
          <w:sz w:val="16"/>
          <w:szCs w:val="16"/>
          <w:color w:val="auto"/>
        </w:rPr>
        <w:t>had strongest month since launch, up 36 percent compared with September 2009, and up 103 percent compared to October 2008.</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Enclave </w:t>
      </w:r>
      <w:r>
        <w:rPr>
          <w:rFonts w:ascii="Arial" w:cs="Arial" w:eastAsia="Arial" w:hAnsi="Arial"/>
          <w:sz w:val="18"/>
          <w:szCs w:val="18"/>
          <w:color w:val="auto"/>
        </w:rPr>
        <w:t>total sales up year-over-year 38 percent.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GMC key facts:</w:t>
      </w:r>
    </w:p>
    <w:p>
      <w:pPr>
        <w:spacing w:after="0" w:line="21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GMC total sales were up 20 percent vs. October 2008, the highest monthly sales in 2009.</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Terrain </w:t>
      </w:r>
      <w:r>
        <w:rPr>
          <w:rFonts w:ascii="Arial" w:cs="Arial" w:eastAsia="Arial" w:hAnsi="Arial"/>
          <w:sz w:val="16"/>
          <w:szCs w:val="16"/>
          <w:color w:val="auto"/>
        </w:rPr>
        <w:t>total sales were up 63 percent over combined Pontiac Torrent/GMC Envoy October 2008 total sales and up 124 percent from September 2009.</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Sierra </w:t>
      </w:r>
      <w:r>
        <w:rPr>
          <w:rFonts w:ascii="Arial" w:cs="Arial" w:eastAsia="Arial" w:hAnsi="Arial"/>
          <w:sz w:val="18"/>
          <w:szCs w:val="18"/>
          <w:color w:val="auto"/>
        </w:rPr>
        <w:t>reported its highest total sales month of 2009, up 6 percent vs. October 2008.</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Yukon/Yukon XL </w:t>
      </w:r>
      <w:r>
        <w:rPr>
          <w:rFonts w:ascii="Arial" w:cs="Arial" w:eastAsia="Arial" w:hAnsi="Arial"/>
          <w:sz w:val="18"/>
          <w:szCs w:val="18"/>
          <w:color w:val="auto"/>
        </w:rPr>
        <w:t>combined total sales were the highest since September 2008 (5,425), up 72 percent vs. October 2008.</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Acadia </w:t>
      </w:r>
      <w:r>
        <w:rPr>
          <w:rFonts w:ascii="Arial" w:cs="Arial" w:eastAsia="Arial" w:hAnsi="Arial"/>
          <w:sz w:val="18"/>
          <w:szCs w:val="18"/>
          <w:color w:val="auto"/>
        </w:rPr>
        <w:t>total sales were up 7 percent year-over-year, while retail sales increased 30 percent compared to October 2008.</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like the momentum we’ve seen in the sales of new Buick and GMC models,” said Susan Docherty, Buick-GMC general manager, and GM Vice President of U.S. Sales. “In October, Buick and GMC both had their best sales months of 2009, and in fact, total sales for these two brands were up 20 percent over October 2008 for the combined total of Buick, Pontiac and GMC.”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Cadillac Total Sales Up 22 Percent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Led by the performance of the all-new SRX, Cadillac sales increased by 22 percent compared to a year ago, and were up 2 percent vs. September.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340"/>
          </w:cols>
          <w:pgMar w:left="240" w:top="274"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Cadillac key facts:</w:t>
      </w:r>
    </w:p>
    <w:p>
      <w:pPr>
        <w:spacing w:after="0" w:line="212" w:lineRule="exact"/>
        <w:rPr>
          <w:sz w:val="20"/>
          <w:szCs w:val="20"/>
          <w:color w:val="auto"/>
        </w:rPr>
      </w:pPr>
    </w:p>
    <w:p>
      <w:pPr>
        <w:ind w:left="460" w:right="20" w:hanging="452"/>
        <w:spacing w:after="0" w:line="27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SRX: </w:t>
      </w:r>
      <w:r>
        <w:rPr>
          <w:rFonts w:ascii="Arial" w:cs="Arial" w:eastAsia="Arial" w:hAnsi="Arial"/>
          <w:sz w:val="18"/>
          <w:szCs w:val="18"/>
          <w:color w:val="auto"/>
        </w:rPr>
        <w:t>total sales were 280 percent higher than October 2008 and were up 21 percent compared to September—the second best performance of the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in history.</w:t>
      </w:r>
    </w:p>
    <w:p>
      <w:pPr>
        <w:spacing w:after="0" w:line="16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SRX: </w:t>
      </w:r>
      <w:r>
        <w:rPr>
          <w:rFonts w:ascii="Arial" w:cs="Arial" w:eastAsia="Arial" w:hAnsi="Arial"/>
          <w:sz w:val="18"/>
          <w:szCs w:val="18"/>
          <w:color w:val="auto"/>
        </w:rPr>
        <w:t>days supply is 34 days, based on month-end inventory.</w:t>
      </w:r>
    </w:p>
    <w:p>
      <w:pPr>
        <w:spacing w:after="0" w:line="211" w:lineRule="exact"/>
        <w:rPr>
          <w:rFonts w:ascii="Arial" w:cs="Arial" w:eastAsia="Arial" w:hAnsi="Arial"/>
          <w:sz w:val="18"/>
          <w:szCs w:val="18"/>
          <w:color w:val="auto"/>
        </w:rPr>
      </w:pPr>
    </w:p>
    <w:p>
      <w:pPr>
        <w:ind w:left="460" w:hanging="452"/>
        <w:spacing w:after="0" w:line="27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Escalade: </w:t>
      </w:r>
      <w:r>
        <w:rPr>
          <w:rFonts w:ascii="Arial" w:cs="Arial" w:eastAsia="Arial" w:hAnsi="Arial"/>
          <w:sz w:val="18"/>
          <w:szCs w:val="18"/>
          <w:color w:val="auto"/>
        </w:rPr>
        <w:t>Year-over-year total sales were 37 percent higher and market share continues to outperform competitors, including the Mercedes GL and Lexus</w:t>
      </w:r>
      <w:r>
        <w:rPr>
          <w:rFonts w:ascii="Arial" w:cs="Arial" w:eastAsia="Arial" w:hAnsi="Arial"/>
          <w:sz w:val="18"/>
          <w:szCs w:val="18"/>
          <w:b w:val="1"/>
          <w:bCs w:val="1"/>
          <w:color w:val="auto"/>
        </w:rPr>
        <w:t xml:space="preserve"> </w:t>
      </w:r>
      <w:r>
        <w:rPr>
          <w:rFonts w:ascii="Arial" w:cs="Arial" w:eastAsia="Arial" w:hAnsi="Arial"/>
          <w:sz w:val="18"/>
          <w:szCs w:val="18"/>
          <w:color w:val="auto"/>
        </w:rPr>
        <w:t>LX 570.</w:t>
      </w:r>
    </w:p>
    <w:p>
      <w:pPr>
        <w:spacing w:after="0" w:line="12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interest customers are showing in the new SRX is exciting – we are seeing Lexus, BMW and Mercedes customers trading their vehicles for the SRX,” said Bryan Nesbitt, Cadillac General Manager.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brands Sold 15,089 Vehicles in October</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Total combined sales for Saturn, Pontiac, Saab and HUMMER were 15,089 for the month. As a percent of total GM sales, these brands represented 9 percent of sales, compared with 15 percent in October 2008.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Discussion of October Sales Results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U.S. October 2009 SAAR of 10.8 million is a 14-percent improvement compared to last month, but is the second-lowest SAAR for October since the early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1980s. The U.S. economy and auto industry are showing signs of recovery: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Economy</w:t>
      </w:r>
    </w:p>
    <w:p>
      <w:pPr>
        <w:spacing w:after="0" w:line="212" w:lineRule="exact"/>
        <w:rPr>
          <w:sz w:val="20"/>
          <w:szCs w:val="20"/>
          <w:color w:val="auto"/>
        </w:rPr>
      </w:pPr>
    </w:p>
    <w:p>
      <w:pPr>
        <w:ind w:left="460" w:right="30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Normalization of credit spread, which is down to approximately 20 to 30 basis points – is helping make more credit available to consumers. However, consumer credit is still contracting – reflecting both weak credit demand and cautious bank lending.</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Consumer confidence has softened a bit in October, but remains much improved from the trough in March.</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sector is increasing output due to depleted current inventories.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Job losses continue to slow, however employment levels continue to be a concern.</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Housing starts and home resale prices are beginning to stabilize.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300"/>
          </w:cols>
          <w:pgMar w:left="240" w:top="27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 Industry</w:t>
      </w:r>
    </w:p>
    <w:p>
      <w:pPr>
        <w:spacing w:after="0" w:line="21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appears that the bulk of the “Cash-for-Clunkers” pull-ahead occurred by the end of September.</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Industry inventory levels are anticipated to increase moderately into Q4 to support modestly rising industry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 Reports October Production; Fourth Quarter Production at 620,000 Vehicles</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October, GM produced 228,000 vehicles (92,000 cars and 136,000 trucks). This is down 90,000 vehicles, or 28 percent compared with October 2008, when GM North America produced 318,000 vehicles (151,000 cars and 167,000 trucks). (Production totals include joint venture production of 15,000 vehicles in October 2009 and 11,000 vehicles in October 2008)</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GM third quarter production was 531,000 vehicles (205,000 cars and 326,000 trucks), which was down 42 percent compared to the same quarter in 2008. GM North America built 915,000 vehicles (436,000 cars and 479,000 trucks) in the third quarter of 2008. However, third quarter production was substantially higher than production volumes for Q1 and Q2 2009 of 371,000 (up 43 percent) and 395,000 (up 34 percent), respectively.</w:t>
      </w:r>
    </w:p>
    <w:p>
      <w:pPr>
        <w:spacing w:after="0" w:line="10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GM’s 2009 fourth quarter forecast at 620,000 vehicles (239,000 cars and 381,000 trucks), which is down about 24 percent from a year ago. GM North America built 815,000 vehicles (365,000 cars and 450,000 trucks) in the fourth quarter of 2008. However, Q4 2009 production volumes represent a 17 percent increase compared to Q3 2009.</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October month-end, inventories of vehicles for U.S. dealers increased to 444,000 (172,000 cars and 272,000 trucks) compared to September, 2009 (157,000 cars and 267,000 trucks), an increase of 5 percent. Compared to month-end inventories for October 2008 (336,000 cars and 464,000 trucks), inventories decreased by 356,000 (164.000 cars and 192,000 trucks), or 45 percent.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280" w:right="239" w:bottom="1440" w:gutter="0" w:footer="0" w:header="0"/>
        </w:sectPr>
      </w:pPr>
    </w:p>
    <w:bookmarkStart w:id="9" w:name="page10"/>
    <w:bookmarkEnd w:id="9"/>
    <w:p>
      <w:pPr>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About General Motors: </w:t>
      </w:r>
      <w:r>
        <w:rPr>
          <w:rFonts w:ascii="Arial" w:cs="Arial" w:eastAsia="Arial" w:hAnsi="Arial"/>
          <w:sz w:val="16"/>
          <w:szCs w:val="16"/>
          <w:color w:val="auto"/>
        </w:rPr>
        <w:t>General Motors, one of the world’s largest automakers, traces its roots back to 1908. With its global headquarters in Detroit, GM</w:t>
      </w:r>
      <w:r>
        <w:rPr>
          <w:rFonts w:ascii="Arial" w:cs="Arial" w:eastAsia="Arial" w:hAnsi="Arial"/>
          <w:sz w:val="16"/>
          <w:szCs w:val="16"/>
          <w:b w:val="1"/>
          <w:bCs w:val="1"/>
          <w:color w:val="auto"/>
        </w:rPr>
        <w:t xml:space="preserve"> </w:t>
      </w:r>
      <w:r>
        <w:rPr>
          <w:rFonts w:ascii="Arial" w:cs="Arial" w:eastAsia="Arial" w:hAnsi="Arial"/>
          <w:sz w:val="16"/>
          <w:szCs w:val="16"/>
          <w:color w:val="auto"/>
        </w:rPr>
        <w:t>employs 209,000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the United Kingdom, Canada, Russia and Germany.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www.gm.com.</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tom.e.henderson@gm.com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313-667-2702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 cell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John McDonald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john.m.mcdonald@gm.com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313-667-3714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313-418-2139 cell</w:t>
      </w:r>
    </w:p>
    <w:p>
      <w:pPr>
        <w:sectPr>
          <w:pgSz w:w="11900" w:h="16838" w:orient="portrait"/>
          <w:cols w:equalWidth="0" w:num="1">
            <w:col w:w="11340"/>
          </w:cols>
          <w:pgMar w:left="240" w:top="274"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dealers in the United States reported the following deliveries: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5740" w:type="dxa"/>
            <w:vAlign w:val="bottom"/>
            <w:tcBorders>
              <w:top w:val="single" w:sz="8" w:color="auto"/>
              <w:left w:val="single" w:sz="8" w:color="auto"/>
              <w:right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vMerge w:val="restart"/>
          </w:tcPr>
          <w:p>
            <w:pPr>
              <w:jc w:val="right"/>
              <w:ind w:right="376"/>
              <w:spacing w:after="0"/>
              <w:rPr>
                <w:sz w:val="20"/>
                <w:szCs w:val="20"/>
                <w:color w:val="auto"/>
              </w:rPr>
            </w:pPr>
            <w:r>
              <w:rPr>
                <w:rFonts w:ascii="Arial" w:cs="Arial" w:eastAsia="Arial" w:hAnsi="Arial"/>
                <w:sz w:val="14"/>
                <w:szCs w:val="14"/>
                <w:color w:val="auto"/>
              </w:rPr>
              <w:t>October</w:t>
            </w:r>
          </w:p>
        </w:tc>
        <w:tc>
          <w:tcPr>
            <w:tcW w:w="780" w:type="dxa"/>
            <w:vAlign w:val="bottom"/>
            <w:tcBorders>
              <w:top w:val="single" w:sz="8" w:color="auto"/>
              <w:right w:val="single" w:sz="8" w:color="auto"/>
            </w:tcBorders>
          </w:tcPr>
          <w:p>
            <w:pPr>
              <w:spacing w:after="0"/>
              <w:rPr>
                <w:sz w:val="13"/>
                <w:szCs w:val="13"/>
                <w:color w:val="auto"/>
              </w:rPr>
            </w:pPr>
          </w:p>
        </w:tc>
        <w:tc>
          <w:tcPr>
            <w:tcW w:w="20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(Calendar Year-to-Date)</w:t>
            </w:r>
          </w:p>
        </w:tc>
        <w:tc>
          <w:tcPr>
            <w:tcW w:w="6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5740" w:type="dxa"/>
            <w:vAlign w:val="bottom"/>
            <w:tcBorders>
              <w:left w:val="single" w:sz="8" w:color="auto"/>
              <w:right w:val="single" w:sz="8" w:color="auto"/>
            </w:tcBorders>
            <w:vMerge w:val="restart"/>
          </w:tcPr>
          <w:p>
            <w:pPr>
              <w:ind w:left="120"/>
              <w:spacing w:after="0" w:line="156" w:lineRule="exact"/>
              <w:rPr>
                <w:sz w:val="20"/>
                <w:szCs w:val="20"/>
                <w:color w:val="auto"/>
              </w:rPr>
            </w:pPr>
            <w:r>
              <w:rPr>
                <w:rFonts w:ascii="Arial" w:cs="Arial" w:eastAsia="Arial" w:hAnsi="Arial"/>
                <w:sz w:val="14"/>
                <w:szCs w:val="14"/>
                <w:color w:val="auto"/>
              </w:rPr>
              <w:t>*S/D Curr: 28</w:t>
            </w:r>
          </w:p>
        </w:tc>
        <w:tc>
          <w:tcPr>
            <w:tcW w:w="88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2020" w:type="dxa"/>
            <w:vAlign w:val="bottom"/>
            <w:gridSpan w:val="2"/>
            <w:vMerge w:val="restart"/>
          </w:tcPr>
          <w:p>
            <w:pPr>
              <w:jc w:val="right"/>
              <w:ind w:right="114"/>
              <w:spacing w:after="0" w:line="156" w:lineRule="exact"/>
              <w:rPr>
                <w:sz w:val="20"/>
                <w:szCs w:val="20"/>
                <w:color w:val="auto"/>
              </w:rPr>
            </w:pPr>
            <w:r>
              <w:rPr>
                <w:rFonts w:ascii="Arial" w:cs="Arial" w:eastAsia="Arial" w:hAnsi="Arial"/>
                <w:sz w:val="14"/>
                <w:szCs w:val="14"/>
                <w:color w:val="auto"/>
              </w:rPr>
              <w:t>January - October</w:t>
            </w:r>
          </w:p>
        </w:tc>
        <w:tc>
          <w:tcPr>
            <w:tcW w:w="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7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tcBorders>
            <w:gridSpan w:val="2"/>
            <w:vMerge w:val="continue"/>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574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jc w:val="right"/>
              <w:ind w:right="16"/>
              <w:spacing w:after="0" w:line="115" w:lineRule="exact"/>
              <w:rPr>
                <w:sz w:val="20"/>
                <w:szCs w:val="20"/>
                <w:color w:val="auto"/>
              </w:rPr>
            </w:pPr>
            <w:r>
              <w:rPr>
                <w:rFonts w:ascii="Arial" w:cs="Arial" w:eastAsia="Arial" w:hAnsi="Arial"/>
                <w:sz w:val="12"/>
                <w:szCs w:val="12"/>
                <w:color w:val="auto"/>
              </w:rPr>
              <w:t>% Chg</w:t>
            </w:r>
          </w:p>
        </w:tc>
        <w:tc>
          <w:tcPr>
            <w:tcW w:w="780" w:type="dxa"/>
            <w:vAlign w:val="bottom"/>
            <w:tcBorders>
              <w:right w:val="single" w:sz="8" w:color="auto"/>
            </w:tcBorders>
          </w:tcPr>
          <w:p>
            <w:pPr>
              <w:jc w:val="right"/>
              <w:spacing w:after="0" w:line="115" w:lineRule="exact"/>
              <w:rPr>
                <w:sz w:val="20"/>
                <w:szCs w:val="20"/>
                <w:color w:val="auto"/>
              </w:rPr>
            </w:pPr>
            <w:r>
              <w:rPr>
                <w:rFonts w:ascii="Arial" w:cs="Arial" w:eastAsia="Arial" w:hAnsi="Arial"/>
                <w:sz w:val="12"/>
                <w:szCs w:val="12"/>
                <w:color w:val="auto"/>
              </w:rPr>
              <w:t>% Chg per</w:t>
            </w: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0" w:type="dxa"/>
            <w:vAlign w:val="bottom"/>
            <w:tcBorders>
              <w:right w:val="single" w:sz="8" w:color="auto"/>
            </w:tcBorders>
          </w:tcPr>
          <w:p>
            <w:pPr>
              <w:jc w:val="right"/>
              <w:ind w:right="56"/>
              <w:spacing w:after="0" w:line="115" w:lineRule="exact"/>
              <w:rPr>
                <w:sz w:val="20"/>
                <w:szCs w:val="20"/>
                <w:color w:val="auto"/>
              </w:rPr>
            </w:pPr>
            <w:r>
              <w:rPr>
                <w:rFonts w:ascii="Arial" w:cs="Arial" w:eastAsia="Arial" w:hAnsi="Arial"/>
                <w:sz w:val="12"/>
                <w:szCs w:val="12"/>
                <w:color w:val="auto"/>
              </w:rPr>
              <w:t>% Chg</w:t>
            </w:r>
          </w:p>
        </w:tc>
        <w:tc>
          <w:tcPr>
            <w:tcW w:w="0" w:type="dxa"/>
            <w:vAlign w:val="bottom"/>
          </w:tcPr>
          <w:p>
            <w:pPr>
              <w:spacing w:after="0"/>
              <w:rPr>
                <w:sz w:val="1"/>
                <w:szCs w:val="1"/>
                <w:color w:val="auto"/>
              </w:rPr>
            </w:pPr>
          </w:p>
        </w:tc>
      </w:tr>
      <w:tr>
        <w:trPr>
          <w:trHeight w:val="159"/>
        </w:trPr>
        <w:tc>
          <w:tcPr>
            <w:tcW w:w="5740" w:type="dxa"/>
            <w:vAlign w:val="bottom"/>
            <w:tcBorders>
              <w:bottom w:val="single" w:sz="8" w:color="auto"/>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*S/D Prev: 27</w:t>
            </w:r>
          </w:p>
        </w:tc>
        <w:tc>
          <w:tcPr>
            <w:tcW w:w="880" w:type="dxa"/>
            <w:vAlign w:val="bottom"/>
            <w:tcBorders>
              <w:bottom w:val="single" w:sz="8" w:color="auto"/>
            </w:tcBorders>
          </w:tcPr>
          <w:p>
            <w:pPr>
              <w:jc w:val="right"/>
              <w:ind w:right="34"/>
              <w:spacing w:after="0" w:line="159" w:lineRule="exact"/>
              <w:rPr>
                <w:sz w:val="20"/>
                <w:szCs w:val="20"/>
                <w:color w:val="auto"/>
              </w:rPr>
            </w:pPr>
            <w:r>
              <w:rPr>
                <w:rFonts w:ascii="Arial" w:cs="Arial" w:eastAsia="Arial" w:hAnsi="Arial"/>
                <w:sz w:val="14"/>
                <w:szCs w:val="14"/>
                <w:color w:val="auto"/>
              </w:rPr>
              <w:t>2009</w:t>
            </w:r>
          </w:p>
        </w:tc>
        <w:tc>
          <w:tcPr>
            <w:tcW w:w="78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rPr>
              <w:t>Volume</w:t>
            </w:r>
          </w:p>
        </w:tc>
        <w:tc>
          <w:tcPr>
            <w:tcW w:w="78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S/D</w:t>
            </w:r>
          </w:p>
        </w:tc>
        <w:tc>
          <w:tcPr>
            <w:tcW w:w="102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2009</w:t>
            </w:r>
          </w:p>
        </w:tc>
        <w:tc>
          <w:tcPr>
            <w:tcW w:w="1000" w:type="dxa"/>
            <w:vAlign w:val="bottom"/>
            <w:tcBorders>
              <w:bottom w:val="single" w:sz="8" w:color="auto"/>
            </w:tcBorders>
          </w:tcPr>
          <w:p>
            <w:pPr>
              <w:jc w:val="right"/>
              <w:ind w:right="94"/>
              <w:spacing w:after="0" w:line="159" w:lineRule="exact"/>
              <w:rPr>
                <w:sz w:val="20"/>
                <w:szCs w:val="20"/>
                <w:color w:val="auto"/>
              </w:rPr>
            </w:pPr>
            <w:r>
              <w:rPr>
                <w:rFonts w:ascii="Arial" w:cs="Arial" w:eastAsia="Arial" w:hAnsi="Arial"/>
                <w:sz w:val="14"/>
                <w:szCs w:val="14"/>
                <w:color w:val="auto"/>
              </w:rPr>
              <w:t>2008</w:t>
            </w:r>
          </w:p>
        </w:tc>
        <w:tc>
          <w:tcPr>
            <w:tcW w:w="600" w:type="dxa"/>
            <w:vAlign w:val="bottom"/>
            <w:tcBorders>
              <w:bottom w:val="single" w:sz="8" w:color="auto"/>
              <w:right w:val="single" w:sz="8" w:color="auto"/>
            </w:tcBorders>
          </w:tcPr>
          <w:p>
            <w:pPr>
              <w:jc w:val="right"/>
              <w:ind w:right="56"/>
              <w:spacing w:after="0" w:line="159"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210"/>
        </w:trPr>
        <w:tc>
          <w:tcPr>
            <w:tcW w:w="574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Vehicle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177,603</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170,585</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1,724,554</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2,603,828</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Core Brand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162,514</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145,605</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11.6</w:t>
            </w:r>
          </w:p>
        </w:tc>
        <w:tc>
          <w:tcPr>
            <w:tcW w:w="7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7.6</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1,482,310</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w w:val="99"/>
              </w:rPr>
              <w:t>2,154,564</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574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Non-Core Brand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15,089</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24,980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-39.6</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-41.8</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242,244</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449,264</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Light Vehicle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176,632</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168,719</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7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1,713,535</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w w:val="99"/>
              </w:rPr>
              <w:t>2,581,385</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574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Car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63,935</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73,466</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-13.0</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-16.1</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736,817</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1,111,189</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Light Truck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112,697</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95,253</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18.3</w:t>
            </w:r>
          </w:p>
        </w:tc>
        <w:tc>
          <w:tcPr>
            <w:tcW w:w="7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14.1</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976,718</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w w:val="99"/>
              </w:rPr>
              <w:t>1,470,196</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5740" w:type="dxa"/>
            <w:vAlign w:val="bottom"/>
            <w:tcBorders>
              <w:left w:val="single" w:sz="8" w:color="CCEEFF"/>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Truck Total **</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113,668</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97,119</w:t>
            </w: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17.0</w:t>
            </w:r>
          </w:p>
        </w:tc>
        <w:tc>
          <w:tcPr>
            <w:tcW w:w="78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12.9</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987,737</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1,492,639</w:t>
            </w:r>
          </w:p>
        </w:tc>
        <w:tc>
          <w:tcPr>
            <w:tcW w:w="600" w:type="dxa"/>
            <w:vAlign w:val="bottom"/>
            <w:tcBorders>
              <w:bottom w:val="single" w:sz="8" w:color="auto"/>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5"/>
        </w:trPr>
        <w:tc>
          <w:tcPr>
            <w:tcW w:w="5740" w:type="dxa"/>
            <w:vAlign w:val="bottom"/>
          </w:tcPr>
          <w:p>
            <w:pPr>
              <w:spacing w:after="0"/>
              <w:rPr>
                <w:sz w:val="20"/>
                <w:szCs w:val="20"/>
                <w:color w:val="auto"/>
              </w:rPr>
            </w:pPr>
            <w:r>
              <w:rPr>
                <w:rFonts w:ascii="Arial" w:cs="Arial" w:eastAsia="Arial" w:hAnsi="Arial"/>
                <w:sz w:val="18"/>
                <w:szCs w:val="18"/>
                <w:color w:val="auto"/>
              </w:rPr>
              <w:t>GM Vehicle Deliveries by Marketing Division</w:t>
            </w: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57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5740" w:type="dxa"/>
            <w:vAlign w:val="bottom"/>
            <w:tcBorders>
              <w:left w:val="single" w:sz="8" w:color="auto"/>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jc w:val="right"/>
              <w:ind w:right="16"/>
              <w:spacing w:after="0" w:line="115" w:lineRule="exact"/>
              <w:rPr>
                <w:sz w:val="20"/>
                <w:szCs w:val="20"/>
                <w:color w:val="auto"/>
              </w:rPr>
            </w:pPr>
            <w:r>
              <w:rPr>
                <w:rFonts w:ascii="Arial" w:cs="Arial" w:eastAsia="Arial" w:hAnsi="Arial"/>
                <w:sz w:val="12"/>
                <w:szCs w:val="12"/>
                <w:color w:val="auto"/>
              </w:rPr>
              <w:t>% Chg</w:t>
            </w:r>
          </w:p>
        </w:tc>
        <w:tc>
          <w:tcPr>
            <w:tcW w:w="780" w:type="dxa"/>
            <w:vAlign w:val="bottom"/>
            <w:tcBorders>
              <w:right w:val="single" w:sz="8" w:color="auto"/>
            </w:tcBorders>
          </w:tcPr>
          <w:p>
            <w:pPr>
              <w:jc w:val="right"/>
              <w:spacing w:after="0" w:line="115" w:lineRule="exact"/>
              <w:rPr>
                <w:sz w:val="20"/>
                <w:szCs w:val="20"/>
                <w:color w:val="auto"/>
              </w:rPr>
            </w:pPr>
            <w:r>
              <w:rPr>
                <w:rFonts w:ascii="Arial" w:cs="Arial" w:eastAsia="Arial" w:hAnsi="Arial"/>
                <w:sz w:val="12"/>
                <w:szCs w:val="12"/>
                <w:color w:val="auto"/>
              </w:rPr>
              <w:t>% Chg per</w:t>
            </w: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0" w:type="dxa"/>
            <w:vAlign w:val="bottom"/>
            <w:tcBorders>
              <w:right w:val="single" w:sz="8" w:color="auto"/>
            </w:tcBorders>
          </w:tcPr>
          <w:p>
            <w:pPr>
              <w:jc w:val="right"/>
              <w:ind w:right="56"/>
              <w:spacing w:after="0" w:line="115" w:lineRule="exact"/>
              <w:rPr>
                <w:sz w:val="20"/>
                <w:szCs w:val="20"/>
                <w:color w:val="auto"/>
              </w:rPr>
            </w:pPr>
            <w:r>
              <w:rPr>
                <w:rFonts w:ascii="Arial" w:cs="Arial" w:eastAsia="Arial" w:hAnsi="Arial"/>
                <w:sz w:val="12"/>
                <w:szCs w:val="12"/>
                <w:color w:val="auto"/>
              </w:rPr>
              <w:t>% Chg</w:t>
            </w:r>
          </w:p>
        </w:tc>
        <w:tc>
          <w:tcPr>
            <w:tcW w:w="0" w:type="dxa"/>
            <w:vAlign w:val="bottom"/>
          </w:tcPr>
          <w:p>
            <w:pPr>
              <w:spacing w:after="0"/>
              <w:rPr>
                <w:sz w:val="1"/>
                <w:szCs w:val="1"/>
                <w:color w:val="auto"/>
              </w:rPr>
            </w:pPr>
          </w:p>
        </w:tc>
      </w:tr>
      <w:tr>
        <w:trPr>
          <w:trHeight w:val="181"/>
        </w:trPr>
        <w:tc>
          <w:tcPr>
            <w:tcW w:w="574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jc w:val="right"/>
              <w:ind w:right="34"/>
              <w:spacing w:after="0" w:line="156" w:lineRule="exact"/>
              <w:rPr>
                <w:sz w:val="20"/>
                <w:szCs w:val="20"/>
                <w:color w:val="auto"/>
              </w:rPr>
            </w:pPr>
            <w:r>
              <w:rPr>
                <w:rFonts w:ascii="Arial" w:cs="Arial" w:eastAsia="Arial" w:hAnsi="Arial"/>
                <w:sz w:val="14"/>
                <w:szCs w:val="14"/>
                <w:color w:val="auto"/>
              </w:rPr>
              <w:t>2009</w:t>
            </w:r>
          </w:p>
        </w:tc>
        <w:tc>
          <w:tcPr>
            <w:tcW w:w="780" w:type="dxa"/>
            <w:vAlign w:val="bottom"/>
            <w:tcBorders>
              <w:bottom w:val="single" w:sz="8" w:color="auto"/>
            </w:tcBorders>
          </w:tcPr>
          <w:p>
            <w:pPr>
              <w:jc w:val="right"/>
              <w:ind w:right="15"/>
              <w:spacing w:after="0" w:line="156"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jc w:val="right"/>
              <w:ind w:right="16"/>
              <w:spacing w:after="0" w:line="156" w:lineRule="exact"/>
              <w:rPr>
                <w:sz w:val="20"/>
                <w:szCs w:val="20"/>
                <w:color w:val="auto"/>
              </w:rPr>
            </w:pPr>
            <w:r>
              <w:rPr>
                <w:rFonts w:ascii="Arial" w:cs="Arial" w:eastAsia="Arial" w:hAnsi="Arial"/>
                <w:sz w:val="14"/>
                <w:szCs w:val="14"/>
                <w:color w:val="auto"/>
              </w:rPr>
              <w:t>Volume</w:t>
            </w:r>
          </w:p>
        </w:tc>
        <w:tc>
          <w:tcPr>
            <w:tcW w:w="780" w:type="dxa"/>
            <w:vAlign w:val="bottom"/>
            <w:tcBorders>
              <w:bottom w:val="single" w:sz="8" w:color="auto"/>
              <w:right w:val="single" w:sz="8" w:color="auto"/>
            </w:tcBorders>
          </w:tcPr>
          <w:p>
            <w:pPr>
              <w:jc w:val="right"/>
              <w:spacing w:after="0" w:line="156" w:lineRule="exact"/>
              <w:rPr>
                <w:sz w:val="20"/>
                <w:szCs w:val="20"/>
                <w:color w:val="auto"/>
              </w:rPr>
            </w:pPr>
            <w:r>
              <w:rPr>
                <w:rFonts w:ascii="Arial" w:cs="Arial" w:eastAsia="Arial" w:hAnsi="Arial"/>
                <w:sz w:val="14"/>
                <w:szCs w:val="14"/>
                <w:color w:val="auto"/>
              </w:rPr>
              <w:t>S/D</w:t>
            </w:r>
          </w:p>
        </w:tc>
        <w:tc>
          <w:tcPr>
            <w:tcW w:w="1020" w:type="dxa"/>
            <w:vAlign w:val="bottom"/>
            <w:tcBorders>
              <w:bottom w:val="single" w:sz="8" w:color="auto"/>
            </w:tcBorders>
          </w:tcPr>
          <w:p>
            <w:pPr>
              <w:jc w:val="right"/>
              <w:ind w:right="15"/>
              <w:spacing w:after="0" w:line="156" w:lineRule="exact"/>
              <w:rPr>
                <w:sz w:val="20"/>
                <w:szCs w:val="20"/>
                <w:color w:val="auto"/>
              </w:rPr>
            </w:pPr>
            <w:r>
              <w:rPr>
                <w:rFonts w:ascii="Arial" w:cs="Arial" w:eastAsia="Arial" w:hAnsi="Arial"/>
                <w:sz w:val="14"/>
                <w:szCs w:val="14"/>
                <w:color w:val="auto"/>
              </w:rPr>
              <w:t>2009</w:t>
            </w:r>
          </w:p>
        </w:tc>
        <w:tc>
          <w:tcPr>
            <w:tcW w:w="1000" w:type="dxa"/>
            <w:vAlign w:val="bottom"/>
            <w:tcBorders>
              <w:bottom w:val="single" w:sz="8" w:color="auto"/>
            </w:tcBorders>
          </w:tcPr>
          <w:p>
            <w:pPr>
              <w:jc w:val="right"/>
              <w:ind w:right="94"/>
              <w:spacing w:after="0" w:line="156" w:lineRule="exact"/>
              <w:rPr>
                <w:sz w:val="20"/>
                <w:szCs w:val="20"/>
                <w:color w:val="auto"/>
              </w:rPr>
            </w:pPr>
            <w:r>
              <w:rPr>
                <w:rFonts w:ascii="Arial" w:cs="Arial" w:eastAsia="Arial" w:hAnsi="Arial"/>
                <w:sz w:val="14"/>
                <w:szCs w:val="14"/>
                <w:color w:val="auto"/>
              </w:rPr>
              <w:t>2008</w:t>
            </w:r>
          </w:p>
        </w:tc>
        <w:tc>
          <w:tcPr>
            <w:tcW w:w="600" w:type="dxa"/>
            <w:vAlign w:val="bottom"/>
            <w:tcBorders>
              <w:bottom w:val="single" w:sz="8" w:color="auto"/>
              <w:right w:val="single" w:sz="8" w:color="auto"/>
            </w:tcBorders>
          </w:tcPr>
          <w:p>
            <w:pPr>
              <w:jc w:val="right"/>
              <w:ind w:right="56"/>
              <w:spacing w:after="0" w:line="156"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193"/>
        </w:trPr>
        <w:tc>
          <w:tcPr>
            <w:tcW w:w="5740" w:type="dxa"/>
            <w:vAlign w:val="bottom"/>
            <w:tcBorders>
              <w:top w:val="single" w:sz="8" w:color="auto"/>
              <w:left w:val="single" w:sz="8" w:color="CCEEFF"/>
              <w:right w:val="single" w:sz="8" w:color="auto"/>
            </w:tcBorders>
            <w:shd w:val="clear" w:color="auto" w:fill="CCEEFF"/>
          </w:tcPr>
          <w:p>
            <w:pPr>
              <w:ind w:left="120"/>
              <w:spacing w:after="0" w:line="193" w:lineRule="exact"/>
              <w:rPr>
                <w:sz w:val="20"/>
                <w:szCs w:val="20"/>
                <w:color w:val="auto"/>
              </w:rPr>
            </w:pPr>
            <w:r>
              <w:rPr>
                <w:rFonts w:ascii="Arial" w:cs="Arial" w:eastAsia="Arial" w:hAnsi="Arial"/>
                <w:sz w:val="18"/>
                <w:szCs w:val="18"/>
                <w:color w:val="auto"/>
              </w:rPr>
              <w:t>Buick Total</w:t>
            </w:r>
          </w:p>
        </w:tc>
        <w:tc>
          <w:tcPr>
            <w:tcW w:w="880" w:type="dxa"/>
            <w:vAlign w:val="bottom"/>
            <w:tcBorders>
              <w:top w:val="single" w:sz="8" w:color="CCEEFF"/>
            </w:tcBorders>
            <w:shd w:val="clear" w:color="auto" w:fill="CCEEFF"/>
          </w:tcPr>
          <w:p>
            <w:pPr>
              <w:jc w:val="right"/>
              <w:ind w:right="34"/>
              <w:spacing w:after="0" w:line="193" w:lineRule="exact"/>
              <w:rPr>
                <w:sz w:val="20"/>
                <w:szCs w:val="20"/>
                <w:color w:val="auto"/>
              </w:rPr>
            </w:pPr>
            <w:r>
              <w:rPr>
                <w:rFonts w:ascii="Arial" w:cs="Arial" w:eastAsia="Arial" w:hAnsi="Arial"/>
                <w:sz w:val="18"/>
                <w:szCs w:val="18"/>
                <w:color w:val="auto"/>
              </w:rPr>
              <w:t>9,053</w:t>
            </w:r>
          </w:p>
        </w:tc>
        <w:tc>
          <w:tcPr>
            <w:tcW w:w="780" w:type="dxa"/>
            <w:vAlign w:val="bottom"/>
            <w:tcBorders>
              <w:top w:val="single" w:sz="8" w:color="CCEEFF"/>
            </w:tcBorders>
            <w:shd w:val="clear" w:color="auto" w:fill="CCEEFF"/>
          </w:tcPr>
          <w:p>
            <w:pPr>
              <w:jc w:val="right"/>
              <w:ind w:right="15"/>
              <w:spacing w:after="0" w:line="193" w:lineRule="exact"/>
              <w:rPr>
                <w:sz w:val="20"/>
                <w:szCs w:val="20"/>
                <w:color w:val="auto"/>
              </w:rPr>
            </w:pPr>
            <w:r>
              <w:rPr>
                <w:rFonts w:ascii="Arial" w:cs="Arial" w:eastAsia="Arial" w:hAnsi="Arial"/>
                <w:sz w:val="18"/>
                <w:szCs w:val="18"/>
                <w:color w:val="auto"/>
              </w:rPr>
              <w:t>7,642</w:t>
            </w:r>
          </w:p>
        </w:tc>
        <w:tc>
          <w:tcPr>
            <w:tcW w:w="640" w:type="dxa"/>
            <w:vAlign w:val="bottom"/>
            <w:tcBorders>
              <w:top w:val="single" w:sz="8" w:color="CCEEFF"/>
            </w:tcBorders>
            <w:shd w:val="clear" w:color="auto" w:fill="CCEEFF"/>
          </w:tcPr>
          <w:p>
            <w:pPr>
              <w:jc w:val="right"/>
              <w:ind w:right="16"/>
              <w:spacing w:after="0" w:line="193" w:lineRule="exact"/>
              <w:rPr>
                <w:sz w:val="20"/>
                <w:szCs w:val="20"/>
                <w:color w:val="auto"/>
              </w:rPr>
            </w:pPr>
            <w:r>
              <w:rPr>
                <w:rFonts w:ascii="Arial" w:cs="Arial" w:eastAsia="Arial" w:hAnsi="Arial"/>
                <w:sz w:val="18"/>
                <w:szCs w:val="18"/>
                <w:color w:val="auto"/>
              </w:rPr>
              <w:t>18.5</w:t>
            </w:r>
          </w:p>
        </w:tc>
        <w:tc>
          <w:tcPr>
            <w:tcW w:w="780" w:type="dxa"/>
            <w:vAlign w:val="bottom"/>
            <w:tcBorders>
              <w:top w:val="single" w:sz="8" w:color="CCEEFF"/>
              <w:right w:val="single" w:sz="8" w:color="auto"/>
            </w:tcBorders>
            <w:shd w:val="clear" w:color="auto" w:fill="CCEEFF"/>
          </w:tcPr>
          <w:p>
            <w:pPr>
              <w:jc w:val="right"/>
              <w:ind w:right="16"/>
              <w:spacing w:after="0" w:line="193" w:lineRule="exact"/>
              <w:rPr>
                <w:sz w:val="20"/>
                <w:szCs w:val="20"/>
                <w:color w:val="auto"/>
              </w:rPr>
            </w:pPr>
            <w:r>
              <w:rPr>
                <w:rFonts w:ascii="Arial" w:cs="Arial" w:eastAsia="Arial" w:hAnsi="Arial"/>
                <w:sz w:val="18"/>
                <w:szCs w:val="18"/>
                <w:color w:val="auto"/>
              </w:rPr>
              <w:t>14.2</w:t>
            </w:r>
          </w:p>
        </w:tc>
        <w:tc>
          <w:tcPr>
            <w:tcW w:w="1020" w:type="dxa"/>
            <w:vAlign w:val="bottom"/>
            <w:tcBorders>
              <w:top w:val="single" w:sz="8" w:color="CCEEFF"/>
            </w:tcBorders>
            <w:shd w:val="clear" w:color="auto" w:fill="CCEEFF"/>
          </w:tcPr>
          <w:p>
            <w:pPr>
              <w:jc w:val="right"/>
              <w:ind w:right="15"/>
              <w:spacing w:after="0" w:line="193" w:lineRule="exact"/>
              <w:rPr>
                <w:sz w:val="20"/>
                <w:szCs w:val="20"/>
                <w:color w:val="auto"/>
              </w:rPr>
            </w:pPr>
            <w:r>
              <w:rPr>
                <w:rFonts w:ascii="Arial" w:cs="Arial" w:eastAsia="Arial" w:hAnsi="Arial"/>
                <w:sz w:val="18"/>
                <w:szCs w:val="18"/>
                <w:color w:val="auto"/>
              </w:rPr>
              <w:t>81,442</w:t>
            </w:r>
          </w:p>
        </w:tc>
        <w:tc>
          <w:tcPr>
            <w:tcW w:w="1000" w:type="dxa"/>
            <w:vAlign w:val="bottom"/>
            <w:tcBorders>
              <w:top w:val="single" w:sz="8" w:color="CCEEFF"/>
            </w:tcBorders>
            <w:shd w:val="clear" w:color="auto" w:fill="CCEEFF"/>
          </w:tcPr>
          <w:p>
            <w:pPr>
              <w:jc w:val="right"/>
              <w:ind w:right="94"/>
              <w:spacing w:after="0" w:line="193" w:lineRule="exact"/>
              <w:rPr>
                <w:sz w:val="20"/>
                <w:szCs w:val="20"/>
                <w:color w:val="auto"/>
              </w:rPr>
            </w:pPr>
            <w:r>
              <w:rPr>
                <w:rFonts w:ascii="Arial" w:cs="Arial" w:eastAsia="Arial" w:hAnsi="Arial"/>
                <w:sz w:val="18"/>
                <w:szCs w:val="18"/>
                <w:color w:val="auto"/>
              </w:rPr>
              <w:t>120,772</w:t>
            </w:r>
          </w:p>
        </w:tc>
        <w:tc>
          <w:tcPr>
            <w:tcW w:w="600" w:type="dxa"/>
            <w:vAlign w:val="bottom"/>
            <w:tcBorders>
              <w:top w:val="single" w:sz="8" w:color="CCEEFF"/>
              <w:right w:val="single" w:sz="8" w:color="auto"/>
            </w:tcBorders>
            <w:shd w:val="clear" w:color="auto" w:fill="CCEEFF"/>
          </w:tcPr>
          <w:p>
            <w:pPr>
              <w:jc w:val="right"/>
              <w:ind w:right="56"/>
              <w:spacing w:after="0" w:line="193" w:lineRule="exact"/>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11,602</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9,541</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21.6</w:t>
            </w:r>
          </w:p>
        </w:tc>
        <w:tc>
          <w:tcPr>
            <w:tcW w:w="7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17.3</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84,626</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139,109</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574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116,436</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107,313</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8.5</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4.6</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1,108,984</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1,567,684</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GMC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25,423</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21,109</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20.4</w:t>
            </w:r>
          </w:p>
        </w:tc>
        <w:tc>
          <w:tcPr>
            <w:tcW w:w="7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16.1</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207,258</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326,999</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574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Core Brand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162,514</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145,605</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11.6</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7.6</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1,482,310</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2,154,564</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HUMMER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307</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1,368</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-77.6</w:t>
            </w:r>
          </w:p>
        </w:tc>
        <w:tc>
          <w:tcPr>
            <w:tcW w:w="7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-78.4</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8,500</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23,861</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574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Pontiac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10,646</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13,054</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-18.4</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-21.4</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162,464</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238,762</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Saab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513</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1,975</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-74.0</w:t>
            </w:r>
          </w:p>
        </w:tc>
        <w:tc>
          <w:tcPr>
            <w:tcW w:w="7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-75.0</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7,441</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19,337</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574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Saturn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3,623</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8,583</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-57.8</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-59.3</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63,839</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167,304</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Non-Core Brand Total</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15,089</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24,980</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-39.6</w:t>
            </w:r>
          </w:p>
        </w:tc>
        <w:tc>
          <w:tcPr>
            <w:tcW w:w="7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8"/>
                <w:szCs w:val="18"/>
                <w:color w:val="auto"/>
              </w:rPr>
              <w:t>-41.8</w:t>
            </w: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242,244</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449,264</w:t>
            </w:r>
          </w:p>
        </w:tc>
        <w:tc>
          <w:tcPr>
            <w:tcW w:w="600" w:type="dxa"/>
            <w:vAlign w:val="bottom"/>
            <w:tcBorders>
              <w:bottom w:val="single" w:sz="8" w:color="auto"/>
              <w:right w:val="single" w:sz="8" w:color="auto"/>
            </w:tcBorders>
          </w:tcPr>
          <w:p>
            <w:pPr>
              <w:jc w:val="right"/>
              <w:ind w:right="56"/>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0"/>
        </w:trPr>
        <w:tc>
          <w:tcPr>
            <w:tcW w:w="5740" w:type="dxa"/>
            <w:vAlign w:val="bottom"/>
            <w:tcBorders>
              <w:left w:val="single" w:sz="8" w:color="CCEEFF"/>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Vehicle Total</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177,603</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170,585</w:t>
            </w: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4.1</w:t>
            </w:r>
          </w:p>
        </w:tc>
        <w:tc>
          <w:tcPr>
            <w:tcW w:w="78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1,724,554</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2,603,828</w:t>
            </w:r>
          </w:p>
        </w:tc>
        <w:tc>
          <w:tcPr>
            <w:tcW w:w="600" w:type="dxa"/>
            <w:vAlign w:val="bottom"/>
            <w:tcBorders>
              <w:bottom w:val="single" w:sz="8" w:color="auto"/>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5"/>
        </w:trPr>
        <w:tc>
          <w:tcPr>
            <w:tcW w:w="5740" w:type="dxa"/>
            <w:vAlign w:val="bottom"/>
          </w:tcPr>
          <w:p>
            <w:pPr>
              <w:spacing w:after="0"/>
              <w:rPr>
                <w:sz w:val="20"/>
                <w:szCs w:val="20"/>
                <w:color w:val="auto"/>
              </w:rPr>
            </w:pPr>
            <w:r>
              <w:rPr>
                <w:rFonts w:ascii="Arial" w:cs="Arial" w:eastAsia="Arial" w:hAnsi="Arial"/>
                <w:sz w:val="18"/>
                <w:szCs w:val="18"/>
                <w:color w:val="auto"/>
              </w:rPr>
              <w:t>GM CarDeliveries by Marketing Division</w:t>
            </w: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57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5740" w:type="dxa"/>
            <w:vAlign w:val="bottom"/>
            <w:tcBorders>
              <w:left w:val="single" w:sz="8" w:color="auto"/>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jc w:val="right"/>
              <w:ind w:right="16"/>
              <w:spacing w:after="0" w:line="115" w:lineRule="exact"/>
              <w:rPr>
                <w:sz w:val="20"/>
                <w:szCs w:val="20"/>
                <w:color w:val="auto"/>
              </w:rPr>
            </w:pPr>
            <w:r>
              <w:rPr>
                <w:rFonts w:ascii="Arial" w:cs="Arial" w:eastAsia="Arial" w:hAnsi="Arial"/>
                <w:sz w:val="12"/>
                <w:szCs w:val="12"/>
                <w:color w:val="auto"/>
              </w:rPr>
              <w:t>% Chg</w:t>
            </w:r>
          </w:p>
        </w:tc>
        <w:tc>
          <w:tcPr>
            <w:tcW w:w="780" w:type="dxa"/>
            <w:vAlign w:val="bottom"/>
            <w:tcBorders>
              <w:right w:val="single" w:sz="8" w:color="auto"/>
            </w:tcBorders>
          </w:tcPr>
          <w:p>
            <w:pPr>
              <w:jc w:val="right"/>
              <w:spacing w:after="0" w:line="115" w:lineRule="exact"/>
              <w:rPr>
                <w:sz w:val="20"/>
                <w:szCs w:val="20"/>
                <w:color w:val="auto"/>
              </w:rPr>
            </w:pPr>
            <w:r>
              <w:rPr>
                <w:rFonts w:ascii="Arial" w:cs="Arial" w:eastAsia="Arial" w:hAnsi="Arial"/>
                <w:sz w:val="12"/>
                <w:szCs w:val="12"/>
                <w:color w:val="auto"/>
              </w:rPr>
              <w:t>% Chg per</w:t>
            </w: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0" w:type="dxa"/>
            <w:vAlign w:val="bottom"/>
            <w:tcBorders>
              <w:right w:val="single" w:sz="8" w:color="auto"/>
            </w:tcBorders>
          </w:tcPr>
          <w:p>
            <w:pPr>
              <w:jc w:val="right"/>
              <w:ind w:right="56"/>
              <w:spacing w:after="0" w:line="115" w:lineRule="exact"/>
              <w:rPr>
                <w:sz w:val="20"/>
                <w:szCs w:val="20"/>
                <w:color w:val="auto"/>
              </w:rPr>
            </w:pPr>
            <w:r>
              <w:rPr>
                <w:rFonts w:ascii="Arial" w:cs="Arial" w:eastAsia="Arial" w:hAnsi="Arial"/>
                <w:sz w:val="12"/>
                <w:szCs w:val="12"/>
                <w:color w:val="auto"/>
              </w:rPr>
              <w:t>% Chg</w:t>
            </w:r>
          </w:p>
        </w:tc>
        <w:tc>
          <w:tcPr>
            <w:tcW w:w="0" w:type="dxa"/>
            <w:vAlign w:val="bottom"/>
          </w:tcPr>
          <w:p>
            <w:pPr>
              <w:spacing w:after="0"/>
              <w:rPr>
                <w:sz w:val="1"/>
                <w:szCs w:val="1"/>
                <w:color w:val="auto"/>
              </w:rPr>
            </w:pPr>
          </w:p>
        </w:tc>
      </w:tr>
      <w:tr>
        <w:trPr>
          <w:trHeight w:val="181"/>
        </w:trPr>
        <w:tc>
          <w:tcPr>
            <w:tcW w:w="574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jc w:val="right"/>
              <w:ind w:right="34"/>
              <w:spacing w:after="0" w:line="156" w:lineRule="exact"/>
              <w:rPr>
                <w:sz w:val="20"/>
                <w:szCs w:val="20"/>
                <w:color w:val="auto"/>
              </w:rPr>
            </w:pPr>
            <w:r>
              <w:rPr>
                <w:rFonts w:ascii="Arial" w:cs="Arial" w:eastAsia="Arial" w:hAnsi="Arial"/>
                <w:sz w:val="14"/>
                <w:szCs w:val="14"/>
                <w:color w:val="auto"/>
              </w:rPr>
              <w:t>2009</w:t>
            </w:r>
          </w:p>
        </w:tc>
        <w:tc>
          <w:tcPr>
            <w:tcW w:w="780" w:type="dxa"/>
            <w:vAlign w:val="bottom"/>
            <w:tcBorders>
              <w:bottom w:val="single" w:sz="8" w:color="auto"/>
            </w:tcBorders>
          </w:tcPr>
          <w:p>
            <w:pPr>
              <w:jc w:val="right"/>
              <w:ind w:right="15"/>
              <w:spacing w:after="0" w:line="156"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jc w:val="right"/>
              <w:ind w:right="16"/>
              <w:spacing w:after="0" w:line="156" w:lineRule="exact"/>
              <w:rPr>
                <w:sz w:val="20"/>
                <w:szCs w:val="20"/>
                <w:color w:val="auto"/>
              </w:rPr>
            </w:pPr>
            <w:r>
              <w:rPr>
                <w:rFonts w:ascii="Arial" w:cs="Arial" w:eastAsia="Arial" w:hAnsi="Arial"/>
                <w:sz w:val="14"/>
                <w:szCs w:val="14"/>
                <w:color w:val="auto"/>
              </w:rPr>
              <w:t>Volume</w:t>
            </w:r>
          </w:p>
        </w:tc>
        <w:tc>
          <w:tcPr>
            <w:tcW w:w="780" w:type="dxa"/>
            <w:vAlign w:val="bottom"/>
            <w:tcBorders>
              <w:bottom w:val="single" w:sz="8" w:color="auto"/>
              <w:right w:val="single" w:sz="8" w:color="auto"/>
            </w:tcBorders>
          </w:tcPr>
          <w:p>
            <w:pPr>
              <w:jc w:val="right"/>
              <w:spacing w:after="0" w:line="156" w:lineRule="exact"/>
              <w:rPr>
                <w:sz w:val="20"/>
                <w:szCs w:val="20"/>
                <w:color w:val="auto"/>
              </w:rPr>
            </w:pPr>
            <w:r>
              <w:rPr>
                <w:rFonts w:ascii="Arial" w:cs="Arial" w:eastAsia="Arial" w:hAnsi="Arial"/>
                <w:sz w:val="14"/>
                <w:szCs w:val="14"/>
                <w:color w:val="auto"/>
              </w:rPr>
              <w:t>S/D</w:t>
            </w:r>
          </w:p>
        </w:tc>
        <w:tc>
          <w:tcPr>
            <w:tcW w:w="1020" w:type="dxa"/>
            <w:vAlign w:val="bottom"/>
            <w:tcBorders>
              <w:bottom w:val="single" w:sz="8" w:color="auto"/>
            </w:tcBorders>
          </w:tcPr>
          <w:p>
            <w:pPr>
              <w:jc w:val="right"/>
              <w:ind w:right="15"/>
              <w:spacing w:after="0" w:line="156" w:lineRule="exact"/>
              <w:rPr>
                <w:sz w:val="20"/>
                <w:szCs w:val="20"/>
                <w:color w:val="auto"/>
              </w:rPr>
            </w:pPr>
            <w:r>
              <w:rPr>
                <w:rFonts w:ascii="Arial" w:cs="Arial" w:eastAsia="Arial" w:hAnsi="Arial"/>
                <w:sz w:val="14"/>
                <w:szCs w:val="14"/>
                <w:color w:val="auto"/>
              </w:rPr>
              <w:t>2009</w:t>
            </w:r>
          </w:p>
        </w:tc>
        <w:tc>
          <w:tcPr>
            <w:tcW w:w="1000" w:type="dxa"/>
            <w:vAlign w:val="bottom"/>
            <w:tcBorders>
              <w:bottom w:val="single" w:sz="8" w:color="auto"/>
            </w:tcBorders>
          </w:tcPr>
          <w:p>
            <w:pPr>
              <w:jc w:val="right"/>
              <w:ind w:right="94"/>
              <w:spacing w:after="0" w:line="156" w:lineRule="exact"/>
              <w:rPr>
                <w:sz w:val="20"/>
                <w:szCs w:val="20"/>
                <w:color w:val="auto"/>
              </w:rPr>
            </w:pPr>
            <w:r>
              <w:rPr>
                <w:rFonts w:ascii="Arial" w:cs="Arial" w:eastAsia="Arial" w:hAnsi="Arial"/>
                <w:sz w:val="14"/>
                <w:szCs w:val="14"/>
                <w:color w:val="auto"/>
              </w:rPr>
              <w:t>2008</w:t>
            </w:r>
          </w:p>
        </w:tc>
        <w:tc>
          <w:tcPr>
            <w:tcW w:w="600" w:type="dxa"/>
            <w:vAlign w:val="bottom"/>
            <w:tcBorders>
              <w:bottom w:val="single" w:sz="8" w:color="auto"/>
              <w:right w:val="single" w:sz="8" w:color="auto"/>
            </w:tcBorders>
          </w:tcPr>
          <w:p>
            <w:pPr>
              <w:jc w:val="right"/>
              <w:ind w:right="56"/>
              <w:spacing w:after="0" w:line="156"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193"/>
        </w:trPr>
        <w:tc>
          <w:tcPr>
            <w:tcW w:w="5740" w:type="dxa"/>
            <w:vAlign w:val="bottom"/>
            <w:tcBorders>
              <w:top w:val="single" w:sz="8" w:color="auto"/>
              <w:left w:val="single" w:sz="8" w:color="CCEEFF"/>
              <w:right w:val="single" w:sz="8" w:color="auto"/>
            </w:tcBorders>
            <w:shd w:val="clear" w:color="auto" w:fill="CCEEFF"/>
          </w:tcPr>
          <w:p>
            <w:pPr>
              <w:ind w:left="120"/>
              <w:spacing w:after="0" w:line="193" w:lineRule="exact"/>
              <w:rPr>
                <w:sz w:val="20"/>
                <w:szCs w:val="20"/>
                <w:color w:val="auto"/>
              </w:rPr>
            </w:pPr>
            <w:r>
              <w:rPr>
                <w:rFonts w:ascii="Arial" w:cs="Arial" w:eastAsia="Arial" w:hAnsi="Arial"/>
                <w:sz w:val="18"/>
                <w:szCs w:val="18"/>
                <w:color w:val="auto"/>
              </w:rPr>
              <w:t>Buick Total</w:t>
            </w:r>
          </w:p>
        </w:tc>
        <w:tc>
          <w:tcPr>
            <w:tcW w:w="880" w:type="dxa"/>
            <w:vAlign w:val="bottom"/>
            <w:tcBorders>
              <w:top w:val="single" w:sz="8" w:color="CCEEFF"/>
            </w:tcBorders>
            <w:shd w:val="clear" w:color="auto" w:fill="CCEEFF"/>
          </w:tcPr>
          <w:p>
            <w:pPr>
              <w:jc w:val="right"/>
              <w:ind w:right="34"/>
              <w:spacing w:after="0" w:line="193" w:lineRule="exact"/>
              <w:rPr>
                <w:sz w:val="20"/>
                <w:szCs w:val="20"/>
                <w:color w:val="auto"/>
              </w:rPr>
            </w:pPr>
            <w:r>
              <w:rPr>
                <w:rFonts w:ascii="Arial" w:cs="Arial" w:eastAsia="Arial" w:hAnsi="Arial"/>
                <w:sz w:val="18"/>
                <w:szCs w:val="18"/>
                <w:color w:val="auto"/>
              </w:rPr>
              <w:t>5,980</w:t>
            </w:r>
          </w:p>
        </w:tc>
        <w:tc>
          <w:tcPr>
            <w:tcW w:w="780" w:type="dxa"/>
            <w:vAlign w:val="bottom"/>
            <w:tcBorders>
              <w:top w:val="single" w:sz="8" w:color="CCEEFF"/>
            </w:tcBorders>
            <w:shd w:val="clear" w:color="auto" w:fill="CCEEFF"/>
          </w:tcPr>
          <w:p>
            <w:pPr>
              <w:jc w:val="right"/>
              <w:ind w:right="15"/>
              <w:spacing w:after="0" w:line="193" w:lineRule="exact"/>
              <w:rPr>
                <w:sz w:val="20"/>
                <w:szCs w:val="20"/>
                <w:color w:val="auto"/>
              </w:rPr>
            </w:pPr>
            <w:r>
              <w:rPr>
                <w:rFonts w:ascii="Arial" w:cs="Arial" w:eastAsia="Arial" w:hAnsi="Arial"/>
                <w:sz w:val="18"/>
                <w:szCs w:val="18"/>
                <w:color w:val="auto"/>
              </w:rPr>
              <w:t>5,398</w:t>
            </w:r>
          </w:p>
        </w:tc>
        <w:tc>
          <w:tcPr>
            <w:tcW w:w="640" w:type="dxa"/>
            <w:vAlign w:val="bottom"/>
            <w:tcBorders>
              <w:top w:val="single" w:sz="8" w:color="CCEEFF"/>
            </w:tcBorders>
            <w:shd w:val="clear" w:color="auto" w:fill="CCEEFF"/>
          </w:tcPr>
          <w:p>
            <w:pPr>
              <w:jc w:val="right"/>
              <w:ind w:right="16"/>
              <w:spacing w:after="0" w:line="193" w:lineRule="exact"/>
              <w:rPr>
                <w:sz w:val="20"/>
                <w:szCs w:val="20"/>
                <w:color w:val="auto"/>
              </w:rPr>
            </w:pPr>
            <w:r>
              <w:rPr>
                <w:rFonts w:ascii="Arial" w:cs="Arial" w:eastAsia="Arial" w:hAnsi="Arial"/>
                <w:sz w:val="18"/>
                <w:szCs w:val="18"/>
                <w:color w:val="auto"/>
              </w:rPr>
              <w:t>10.8</w:t>
            </w:r>
          </w:p>
        </w:tc>
        <w:tc>
          <w:tcPr>
            <w:tcW w:w="780" w:type="dxa"/>
            <w:vAlign w:val="bottom"/>
            <w:tcBorders>
              <w:top w:val="single" w:sz="8" w:color="CCEEFF"/>
              <w:right w:val="single" w:sz="8" w:color="auto"/>
            </w:tcBorders>
            <w:shd w:val="clear" w:color="auto" w:fill="CCEEFF"/>
          </w:tcPr>
          <w:p>
            <w:pPr>
              <w:jc w:val="right"/>
              <w:ind w:right="16"/>
              <w:spacing w:after="0" w:line="193" w:lineRule="exact"/>
              <w:rPr>
                <w:sz w:val="20"/>
                <w:szCs w:val="20"/>
                <w:color w:val="auto"/>
              </w:rPr>
            </w:pPr>
            <w:r>
              <w:rPr>
                <w:rFonts w:ascii="Arial" w:cs="Arial" w:eastAsia="Arial" w:hAnsi="Arial"/>
                <w:sz w:val="18"/>
                <w:szCs w:val="18"/>
                <w:color w:val="auto"/>
              </w:rPr>
              <w:t>6.8</w:t>
            </w:r>
          </w:p>
        </w:tc>
        <w:tc>
          <w:tcPr>
            <w:tcW w:w="1020" w:type="dxa"/>
            <w:vAlign w:val="bottom"/>
            <w:tcBorders>
              <w:top w:val="single" w:sz="8" w:color="CCEEFF"/>
            </w:tcBorders>
            <w:shd w:val="clear" w:color="auto" w:fill="CCEEFF"/>
          </w:tcPr>
          <w:p>
            <w:pPr>
              <w:jc w:val="right"/>
              <w:ind w:right="15"/>
              <w:spacing w:after="0" w:line="193" w:lineRule="exact"/>
              <w:rPr>
                <w:sz w:val="20"/>
                <w:szCs w:val="20"/>
                <w:color w:val="auto"/>
              </w:rPr>
            </w:pPr>
            <w:r>
              <w:rPr>
                <w:rFonts w:ascii="Arial" w:cs="Arial" w:eastAsia="Arial" w:hAnsi="Arial"/>
                <w:sz w:val="18"/>
                <w:szCs w:val="18"/>
                <w:color w:val="auto"/>
              </w:rPr>
              <w:t>46,751</w:t>
            </w:r>
          </w:p>
        </w:tc>
        <w:tc>
          <w:tcPr>
            <w:tcW w:w="1000" w:type="dxa"/>
            <w:vAlign w:val="bottom"/>
            <w:tcBorders>
              <w:top w:val="single" w:sz="8" w:color="CCEEFF"/>
            </w:tcBorders>
            <w:shd w:val="clear" w:color="auto" w:fill="CCEEFF"/>
          </w:tcPr>
          <w:p>
            <w:pPr>
              <w:jc w:val="right"/>
              <w:ind w:right="94"/>
              <w:spacing w:after="0" w:line="193" w:lineRule="exact"/>
              <w:rPr>
                <w:sz w:val="20"/>
                <w:szCs w:val="20"/>
                <w:color w:val="auto"/>
              </w:rPr>
            </w:pPr>
            <w:r>
              <w:rPr>
                <w:rFonts w:ascii="Arial" w:cs="Arial" w:eastAsia="Arial" w:hAnsi="Arial"/>
                <w:sz w:val="18"/>
                <w:szCs w:val="18"/>
                <w:color w:val="auto"/>
              </w:rPr>
              <w:t>80,981</w:t>
            </w:r>
          </w:p>
        </w:tc>
        <w:tc>
          <w:tcPr>
            <w:tcW w:w="600" w:type="dxa"/>
            <w:vAlign w:val="bottom"/>
            <w:tcBorders>
              <w:top w:val="single" w:sz="8" w:color="CCEEFF"/>
              <w:right w:val="single" w:sz="8" w:color="auto"/>
            </w:tcBorders>
            <w:shd w:val="clear" w:color="auto" w:fill="CCEEFF"/>
          </w:tcPr>
          <w:p>
            <w:pPr>
              <w:jc w:val="right"/>
              <w:ind w:right="56"/>
              <w:spacing w:after="0" w:line="193" w:lineRule="exact"/>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5,221</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6,271</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-16.7</w:t>
            </w:r>
          </w:p>
        </w:tc>
        <w:tc>
          <w:tcPr>
            <w:tcW w:w="7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-19.7</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52,040</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93,200</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574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40,557</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43,791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-7.4</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-10.7</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453,731</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627,267</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Car Core Brand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51,758</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55,460</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-6.7</w:t>
            </w:r>
          </w:p>
        </w:tc>
        <w:tc>
          <w:tcPr>
            <w:tcW w:w="7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-10.0</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552,522</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801,448</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574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Pontiac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10,474</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12,105</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-13.5</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-16.6</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153,197</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220,895</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Saab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299</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1,659</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-82.0</w:t>
            </w:r>
          </w:p>
        </w:tc>
        <w:tc>
          <w:tcPr>
            <w:tcW w:w="7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-82.6</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5,383</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16,187</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574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Saturn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1,404</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4,242</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-66.9</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-68.1</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25,715</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72,659</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 Non-Core Brand Total</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12,177</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18,006</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-32.4</w:t>
            </w:r>
          </w:p>
        </w:tc>
        <w:tc>
          <w:tcPr>
            <w:tcW w:w="7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8"/>
                <w:szCs w:val="18"/>
                <w:color w:val="auto"/>
              </w:rPr>
              <w:t>-34.8</w:t>
            </w: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184,295</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309,741</w:t>
            </w:r>
          </w:p>
        </w:tc>
        <w:tc>
          <w:tcPr>
            <w:tcW w:w="600" w:type="dxa"/>
            <w:vAlign w:val="bottom"/>
            <w:tcBorders>
              <w:bottom w:val="single" w:sz="8" w:color="auto"/>
              <w:right w:val="single" w:sz="8" w:color="auto"/>
            </w:tcBorders>
          </w:tcPr>
          <w:p>
            <w:pPr>
              <w:jc w:val="right"/>
              <w:ind w:right="56"/>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0"/>
        </w:trPr>
        <w:tc>
          <w:tcPr>
            <w:tcW w:w="5740" w:type="dxa"/>
            <w:vAlign w:val="bottom"/>
            <w:tcBorders>
              <w:left w:val="single" w:sz="8" w:color="CCEEFF"/>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Car Total</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63,935</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73,466</w:t>
            </w: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-13.0</w:t>
            </w:r>
          </w:p>
        </w:tc>
        <w:tc>
          <w:tcPr>
            <w:tcW w:w="78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-16.1</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736,817</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1,111,189</w:t>
            </w:r>
          </w:p>
        </w:tc>
        <w:tc>
          <w:tcPr>
            <w:tcW w:w="600" w:type="dxa"/>
            <w:vAlign w:val="bottom"/>
            <w:tcBorders>
              <w:bottom w:val="single" w:sz="8" w:color="auto"/>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5"/>
        </w:trPr>
        <w:tc>
          <w:tcPr>
            <w:tcW w:w="5740" w:type="dxa"/>
            <w:vAlign w:val="bottom"/>
          </w:tcPr>
          <w:p>
            <w:pPr>
              <w:spacing w:after="0"/>
              <w:rPr>
                <w:sz w:val="20"/>
                <w:szCs w:val="20"/>
                <w:color w:val="auto"/>
              </w:rPr>
            </w:pPr>
            <w:r>
              <w:rPr>
                <w:rFonts w:ascii="Arial" w:cs="Arial" w:eastAsia="Arial" w:hAnsi="Arial"/>
                <w:sz w:val="18"/>
                <w:szCs w:val="18"/>
                <w:color w:val="auto"/>
              </w:rPr>
              <w:t>GM Light TruckDeliveries by Marketing Division</w:t>
            </w: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57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574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right"/>
              <w:ind w:right="16"/>
              <w:spacing w:after="0" w:line="131" w:lineRule="exact"/>
              <w:rPr>
                <w:sz w:val="20"/>
                <w:szCs w:val="20"/>
                <w:color w:val="auto"/>
              </w:rPr>
            </w:pPr>
            <w:r>
              <w:rPr>
                <w:rFonts w:ascii="Arial" w:cs="Arial" w:eastAsia="Arial" w:hAnsi="Arial"/>
                <w:sz w:val="14"/>
                <w:szCs w:val="14"/>
                <w:color w:val="auto"/>
              </w:rPr>
              <w:t>% Chg</w:t>
            </w:r>
          </w:p>
        </w:tc>
        <w:tc>
          <w:tcPr>
            <w:tcW w:w="78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 Chg per</w:t>
            </w: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Borders>
              <w:right w:val="single" w:sz="8" w:color="auto"/>
            </w:tcBorders>
          </w:tcPr>
          <w:p>
            <w:pPr>
              <w:jc w:val="right"/>
              <w:ind w:right="56"/>
              <w:spacing w:after="0" w:line="131" w:lineRule="exact"/>
              <w:rPr>
                <w:sz w:val="20"/>
                <w:szCs w:val="20"/>
                <w:color w:val="auto"/>
              </w:rPr>
            </w:pPr>
            <w:r>
              <w:rPr>
                <w:rFonts w:ascii="Arial" w:cs="Arial" w:eastAsia="Arial" w:hAnsi="Arial"/>
                <w:sz w:val="14"/>
                <w:szCs w:val="14"/>
                <w:color w:val="auto"/>
              </w:rPr>
              <w:t>% Chg</w:t>
            </w:r>
          </w:p>
        </w:tc>
        <w:tc>
          <w:tcPr>
            <w:tcW w:w="0" w:type="dxa"/>
            <w:vAlign w:val="bottom"/>
          </w:tcPr>
          <w:p>
            <w:pPr>
              <w:spacing w:after="0"/>
              <w:rPr>
                <w:sz w:val="1"/>
                <w:szCs w:val="1"/>
                <w:color w:val="auto"/>
              </w:rPr>
            </w:pPr>
          </w:p>
        </w:tc>
      </w:tr>
      <w:tr>
        <w:trPr>
          <w:trHeight w:val="159"/>
        </w:trPr>
        <w:tc>
          <w:tcPr>
            <w:tcW w:w="574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tcBorders>
          </w:tcPr>
          <w:p>
            <w:pPr>
              <w:jc w:val="right"/>
              <w:ind w:right="34"/>
              <w:spacing w:after="0" w:line="159" w:lineRule="exact"/>
              <w:rPr>
                <w:sz w:val="20"/>
                <w:szCs w:val="20"/>
                <w:color w:val="auto"/>
              </w:rPr>
            </w:pPr>
            <w:r>
              <w:rPr>
                <w:rFonts w:ascii="Arial" w:cs="Arial" w:eastAsia="Arial" w:hAnsi="Arial"/>
                <w:sz w:val="14"/>
                <w:szCs w:val="14"/>
                <w:color w:val="auto"/>
              </w:rPr>
              <w:t>2009</w:t>
            </w:r>
          </w:p>
        </w:tc>
        <w:tc>
          <w:tcPr>
            <w:tcW w:w="78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rPr>
              <w:t>Volume</w:t>
            </w:r>
          </w:p>
        </w:tc>
        <w:tc>
          <w:tcPr>
            <w:tcW w:w="78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S/D</w:t>
            </w:r>
          </w:p>
        </w:tc>
        <w:tc>
          <w:tcPr>
            <w:tcW w:w="102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2009</w:t>
            </w:r>
          </w:p>
        </w:tc>
        <w:tc>
          <w:tcPr>
            <w:tcW w:w="1000" w:type="dxa"/>
            <w:vAlign w:val="bottom"/>
            <w:tcBorders>
              <w:bottom w:val="single" w:sz="8" w:color="auto"/>
            </w:tcBorders>
          </w:tcPr>
          <w:p>
            <w:pPr>
              <w:jc w:val="right"/>
              <w:ind w:right="94"/>
              <w:spacing w:after="0" w:line="159" w:lineRule="exact"/>
              <w:rPr>
                <w:sz w:val="20"/>
                <w:szCs w:val="20"/>
                <w:color w:val="auto"/>
              </w:rPr>
            </w:pPr>
            <w:r>
              <w:rPr>
                <w:rFonts w:ascii="Arial" w:cs="Arial" w:eastAsia="Arial" w:hAnsi="Arial"/>
                <w:sz w:val="14"/>
                <w:szCs w:val="14"/>
                <w:color w:val="auto"/>
              </w:rPr>
              <w:t>2008</w:t>
            </w:r>
          </w:p>
        </w:tc>
        <w:tc>
          <w:tcPr>
            <w:tcW w:w="600" w:type="dxa"/>
            <w:vAlign w:val="bottom"/>
            <w:tcBorders>
              <w:bottom w:val="single" w:sz="8" w:color="auto"/>
              <w:right w:val="single" w:sz="8" w:color="auto"/>
            </w:tcBorders>
          </w:tcPr>
          <w:p>
            <w:pPr>
              <w:jc w:val="right"/>
              <w:ind w:right="56"/>
              <w:spacing w:after="0" w:line="159"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210"/>
        </w:trPr>
        <w:tc>
          <w:tcPr>
            <w:tcW w:w="574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Buick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3,073</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2,244</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36.9</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32.1</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34,691</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39,791</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6,381</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3,270</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95.1</w:t>
            </w:r>
          </w:p>
        </w:tc>
        <w:tc>
          <w:tcPr>
            <w:tcW w:w="7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88.2</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32,586</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45,909</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574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75,351</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62,690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20.2</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15.9</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650,089</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931,424</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GMC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24,980</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20,075</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24.4</w:t>
            </w:r>
          </w:p>
        </w:tc>
        <w:tc>
          <w:tcPr>
            <w:tcW w:w="7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20.0</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201,403</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313,549</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574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Truck Core Brand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109,785</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88,279</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24.4</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19.9</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918,769</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1,330,673</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HUMMER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307</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1,368</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-77.6</w:t>
            </w:r>
          </w:p>
        </w:tc>
        <w:tc>
          <w:tcPr>
            <w:tcW w:w="7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-78.4</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8,500</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23,861</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574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Pontiac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949</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-81.9</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-82.5</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9,267</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17,867</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Saab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214</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316</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-32.3</w:t>
            </w:r>
          </w:p>
        </w:tc>
        <w:tc>
          <w:tcPr>
            <w:tcW w:w="7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-34.7</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2,058</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3,150</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574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Saturn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2,219</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4,341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-48.9</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-50.7</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38,124</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94,645</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Truck Non-Core Brand Total</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2,912</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6,974</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-58.2</w:t>
            </w:r>
          </w:p>
        </w:tc>
        <w:tc>
          <w:tcPr>
            <w:tcW w:w="7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8"/>
                <w:szCs w:val="18"/>
                <w:color w:val="auto"/>
              </w:rPr>
              <w:t>-59.7</w:t>
            </w: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57,949</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139,523</w:t>
            </w:r>
          </w:p>
        </w:tc>
        <w:tc>
          <w:tcPr>
            <w:tcW w:w="600" w:type="dxa"/>
            <w:vAlign w:val="bottom"/>
            <w:tcBorders>
              <w:bottom w:val="single" w:sz="8" w:color="auto"/>
              <w:right w:val="single" w:sz="8" w:color="auto"/>
            </w:tcBorders>
          </w:tcPr>
          <w:p>
            <w:pPr>
              <w:jc w:val="right"/>
              <w:ind w:right="56"/>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6"/>
        </w:trPr>
        <w:tc>
          <w:tcPr>
            <w:tcW w:w="5740" w:type="dxa"/>
            <w:vAlign w:val="bottom"/>
            <w:tcBorders>
              <w:left w:val="single" w:sz="8" w:color="CCEEFF"/>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Light Truck Total</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112,697</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95,253</w:t>
            </w: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18.3</w:t>
            </w:r>
          </w:p>
        </w:tc>
        <w:tc>
          <w:tcPr>
            <w:tcW w:w="78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14.1</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976,718</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1,470,196</w:t>
            </w:r>
          </w:p>
        </w:tc>
        <w:tc>
          <w:tcPr>
            <w:tcW w:w="600" w:type="dxa"/>
            <w:vAlign w:val="bottom"/>
            <w:tcBorders>
              <w:bottom w:val="single" w:sz="8" w:color="auto"/>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194"/>
        </w:trPr>
        <w:tc>
          <w:tcPr>
            <w:tcW w:w="7400" w:type="dxa"/>
            <w:vAlign w:val="bottom"/>
            <w:tcBorders>
              <w:bottom w:val="single" w:sz="8" w:color="auto"/>
            </w:tcBorders>
            <w:gridSpan w:val="3"/>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0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w w:val="94"/>
              </w:rPr>
              <w:t>* Twenty-eight selling days (S/D) for the October period this year and twenty-seven for last year.</w:t>
            </w:r>
          </w:p>
        </w:tc>
        <w:tc>
          <w:tcPr>
            <w:tcW w:w="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5"/>
        </w:trPr>
        <w:tc>
          <w:tcPr>
            <w:tcW w:w="1084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color w:val="auto"/>
                <w:w w:val="96"/>
              </w:rPr>
              <w:t>**Effective August 2007, GM includes GMC &amp; Chevrolet dealer deliveries of commercial vehicles distributed by American Isuzu Motors, Inc.</w:t>
            </w: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5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5740" w:type="dxa"/>
            <w:vAlign w:val="bottom"/>
          </w:tcPr>
          <w:p>
            <w:pPr>
              <w:spacing w:after="0"/>
              <w:rPr>
                <w:sz w:val="20"/>
                <w:szCs w:val="20"/>
                <w:color w:val="auto"/>
              </w:rPr>
            </w:pPr>
            <w:r>
              <w:rPr>
                <w:rFonts w:ascii="Arial" w:cs="Arial" w:eastAsia="Arial" w:hAnsi="Arial"/>
                <w:sz w:val="18"/>
                <w:szCs w:val="18"/>
                <w:color w:val="auto"/>
                <w:w w:val="91"/>
              </w:rPr>
              <w:t>Global Market and Industry Analysis - Sales Reporting and Data Management</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w w:val="95"/>
              </w:rPr>
              <w:t>Page 1 of 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Car Deliveries -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2009</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5240" w:type="dxa"/>
            <w:vAlign w:val="bottom"/>
            <w:tcBorders>
              <w:top w:val="single" w:sz="8" w:color="auto"/>
              <w:left w:val="single" w:sz="8" w:color="auto"/>
              <w:right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vMerge w:val="restart"/>
          </w:tcPr>
          <w:p>
            <w:pPr>
              <w:jc w:val="right"/>
              <w:ind w:right="433"/>
              <w:spacing w:after="0"/>
              <w:rPr>
                <w:sz w:val="20"/>
                <w:szCs w:val="20"/>
                <w:color w:val="auto"/>
              </w:rPr>
            </w:pPr>
            <w:r>
              <w:rPr>
                <w:rFonts w:ascii="Arial" w:cs="Arial" w:eastAsia="Arial" w:hAnsi="Arial"/>
                <w:sz w:val="14"/>
                <w:szCs w:val="14"/>
                <w:color w:val="auto"/>
              </w:rPr>
              <w:t>October</w:t>
            </w:r>
          </w:p>
        </w:tc>
        <w:tc>
          <w:tcPr>
            <w:tcW w:w="920" w:type="dxa"/>
            <w:vAlign w:val="bottom"/>
            <w:tcBorders>
              <w:top w:val="single" w:sz="8" w:color="auto"/>
              <w:right w:val="single" w:sz="8" w:color="auto"/>
            </w:tcBorders>
          </w:tcPr>
          <w:p>
            <w:pPr>
              <w:spacing w:after="0"/>
              <w:rPr>
                <w:sz w:val="13"/>
                <w:szCs w:val="13"/>
                <w:color w:val="auto"/>
              </w:rPr>
            </w:pPr>
          </w:p>
        </w:tc>
        <w:tc>
          <w:tcPr>
            <w:tcW w:w="210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(Calendar Year-to-Date)</w:t>
            </w:r>
          </w:p>
        </w:tc>
        <w:tc>
          <w:tcPr>
            <w:tcW w:w="6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5240" w:type="dxa"/>
            <w:vAlign w:val="bottom"/>
            <w:tcBorders>
              <w:left w:val="single" w:sz="8" w:color="auto"/>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vMerge w:val="restart"/>
          </w:tcPr>
          <w:p>
            <w:pPr>
              <w:jc w:val="right"/>
              <w:ind w:right="133"/>
              <w:spacing w:after="0" w:line="159" w:lineRule="exact"/>
              <w:rPr>
                <w:sz w:val="20"/>
                <w:szCs w:val="20"/>
                <w:color w:val="auto"/>
              </w:rPr>
            </w:pPr>
            <w:r>
              <w:rPr>
                <w:rFonts w:ascii="Arial" w:cs="Arial" w:eastAsia="Arial" w:hAnsi="Arial"/>
                <w:sz w:val="14"/>
                <w:szCs w:val="14"/>
                <w:color w:val="auto"/>
                <w:w w:val="90"/>
              </w:rPr>
              <w:t>January - October</w:t>
            </w:r>
          </w:p>
        </w:tc>
        <w:tc>
          <w:tcPr>
            <w:tcW w:w="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240" w:type="dxa"/>
            <w:vAlign w:val="bottom"/>
            <w:tcBorders>
              <w:left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5240" w:type="dxa"/>
            <w:vAlign w:val="bottom"/>
            <w:tcBorders>
              <w:left w:val="single" w:sz="8" w:color="auto"/>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jc w:val="right"/>
              <w:ind w:right="73"/>
              <w:spacing w:after="0" w:line="131" w:lineRule="exact"/>
              <w:rPr>
                <w:sz w:val="20"/>
                <w:szCs w:val="20"/>
                <w:color w:val="auto"/>
              </w:rPr>
            </w:pPr>
            <w:r>
              <w:rPr>
                <w:rFonts w:ascii="Arial" w:cs="Arial" w:eastAsia="Arial" w:hAnsi="Arial"/>
                <w:sz w:val="14"/>
                <w:szCs w:val="14"/>
                <w:color w:val="auto"/>
              </w:rPr>
              <w:t>% Chg</w:t>
            </w:r>
          </w:p>
        </w:tc>
        <w:tc>
          <w:tcPr>
            <w:tcW w:w="920" w:type="dxa"/>
            <w:vAlign w:val="bottom"/>
            <w:tcBorders>
              <w:right w:val="single" w:sz="8" w:color="auto"/>
            </w:tcBorders>
          </w:tcPr>
          <w:p>
            <w:pPr>
              <w:jc w:val="right"/>
              <w:ind w:right="73"/>
              <w:spacing w:after="0" w:line="131" w:lineRule="exact"/>
              <w:rPr>
                <w:sz w:val="20"/>
                <w:szCs w:val="20"/>
                <w:color w:val="auto"/>
              </w:rPr>
            </w:pPr>
            <w:r>
              <w:rPr>
                <w:rFonts w:ascii="Arial" w:cs="Arial" w:eastAsia="Arial" w:hAnsi="Arial"/>
                <w:sz w:val="14"/>
                <w:szCs w:val="14"/>
                <w:color w:val="auto"/>
              </w:rPr>
              <w:t>% Chg per</w:t>
            </w: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Borders>
              <w:right w:val="single" w:sz="8" w:color="auto"/>
            </w:tcBorders>
          </w:tcPr>
          <w:p>
            <w:pPr>
              <w:jc w:val="right"/>
              <w:ind w:right="33"/>
              <w:spacing w:after="0" w:line="131" w:lineRule="exact"/>
              <w:rPr>
                <w:sz w:val="20"/>
                <w:szCs w:val="20"/>
                <w:color w:val="auto"/>
              </w:rPr>
            </w:pPr>
            <w:r>
              <w:rPr>
                <w:rFonts w:ascii="Arial" w:cs="Arial" w:eastAsia="Arial" w:hAnsi="Arial"/>
                <w:sz w:val="14"/>
                <w:szCs w:val="14"/>
                <w:color w:val="auto"/>
              </w:rPr>
              <w:t>% Chg</w:t>
            </w:r>
          </w:p>
        </w:tc>
        <w:tc>
          <w:tcPr>
            <w:tcW w:w="0" w:type="dxa"/>
            <w:vAlign w:val="bottom"/>
          </w:tcPr>
          <w:p>
            <w:pPr>
              <w:spacing w:after="0"/>
              <w:rPr>
                <w:sz w:val="1"/>
                <w:szCs w:val="1"/>
                <w:color w:val="auto"/>
              </w:rPr>
            </w:pPr>
          </w:p>
        </w:tc>
      </w:tr>
      <w:tr>
        <w:trPr>
          <w:trHeight w:val="159"/>
        </w:trPr>
        <w:tc>
          <w:tcPr>
            <w:tcW w:w="5240" w:type="dxa"/>
            <w:vAlign w:val="bottom"/>
            <w:tcBorders>
              <w:left w:val="single" w:sz="8" w:color="auto"/>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3"/>
              <w:spacing w:after="0" w:line="159" w:lineRule="exact"/>
              <w:rPr>
                <w:sz w:val="20"/>
                <w:szCs w:val="20"/>
                <w:color w:val="auto"/>
              </w:rPr>
            </w:pPr>
            <w:r>
              <w:rPr>
                <w:rFonts w:ascii="Arial" w:cs="Arial" w:eastAsia="Arial" w:hAnsi="Arial"/>
                <w:sz w:val="14"/>
                <w:szCs w:val="14"/>
                <w:color w:val="auto"/>
              </w:rPr>
              <w:t>2009</w:t>
            </w:r>
          </w:p>
        </w:tc>
        <w:tc>
          <w:tcPr>
            <w:tcW w:w="84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2008</w:t>
            </w:r>
          </w:p>
        </w:tc>
        <w:tc>
          <w:tcPr>
            <w:tcW w:w="740" w:type="dxa"/>
            <w:vAlign w:val="bottom"/>
            <w:tcBorders>
              <w:bottom w:val="single" w:sz="8" w:color="auto"/>
            </w:tcBorders>
          </w:tcPr>
          <w:p>
            <w:pPr>
              <w:jc w:val="right"/>
              <w:ind w:right="73"/>
              <w:spacing w:after="0" w:line="159" w:lineRule="exact"/>
              <w:rPr>
                <w:sz w:val="20"/>
                <w:szCs w:val="20"/>
                <w:color w:val="auto"/>
              </w:rPr>
            </w:pPr>
            <w:r>
              <w:rPr>
                <w:rFonts w:ascii="Arial" w:cs="Arial" w:eastAsia="Arial" w:hAnsi="Arial"/>
                <w:sz w:val="14"/>
                <w:szCs w:val="14"/>
                <w:color w:val="auto"/>
              </w:rPr>
              <w:t>Volume</w:t>
            </w:r>
          </w:p>
        </w:tc>
        <w:tc>
          <w:tcPr>
            <w:tcW w:w="920" w:type="dxa"/>
            <w:vAlign w:val="bottom"/>
            <w:tcBorders>
              <w:bottom w:val="single" w:sz="8" w:color="auto"/>
              <w:right w:val="single" w:sz="8" w:color="auto"/>
            </w:tcBorders>
          </w:tcPr>
          <w:p>
            <w:pPr>
              <w:jc w:val="right"/>
              <w:ind w:right="73"/>
              <w:spacing w:after="0" w:line="159" w:lineRule="exact"/>
              <w:rPr>
                <w:sz w:val="20"/>
                <w:szCs w:val="20"/>
                <w:color w:val="auto"/>
              </w:rPr>
            </w:pPr>
            <w:r>
              <w:rPr>
                <w:rFonts w:ascii="Arial" w:cs="Arial" w:eastAsia="Arial" w:hAnsi="Arial"/>
                <w:sz w:val="14"/>
                <w:szCs w:val="14"/>
                <w:color w:val="auto"/>
              </w:rPr>
              <w:t>S/D</w:t>
            </w:r>
          </w:p>
        </w:tc>
        <w:tc>
          <w:tcPr>
            <w:tcW w:w="8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1260" w:type="dxa"/>
            <w:vAlign w:val="bottom"/>
            <w:tcBorders>
              <w:bottom w:val="single" w:sz="8" w:color="auto"/>
            </w:tcBorders>
          </w:tcPr>
          <w:p>
            <w:pPr>
              <w:jc w:val="right"/>
              <w:ind w:right="193"/>
              <w:spacing w:after="0" w:line="159" w:lineRule="exact"/>
              <w:rPr>
                <w:sz w:val="20"/>
                <w:szCs w:val="20"/>
                <w:color w:val="auto"/>
              </w:rPr>
            </w:pPr>
            <w:r>
              <w:rPr>
                <w:rFonts w:ascii="Arial" w:cs="Arial" w:eastAsia="Arial" w:hAnsi="Arial"/>
                <w:sz w:val="14"/>
                <w:szCs w:val="14"/>
                <w:color w:val="auto"/>
              </w:rPr>
              <w:t>2008</w:t>
            </w:r>
          </w:p>
        </w:tc>
        <w:tc>
          <w:tcPr>
            <w:tcW w:w="600" w:type="dxa"/>
            <w:vAlign w:val="bottom"/>
            <w:tcBorders>
              <w:bottom w:val="single" w:sz="8" w:color="auto"/>
              <w:right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w w:val="96"/>
              </w:rPr>
              <w:t>Volume</w:t>
            </w:r>
          </w:p>
        </w:tc>
        <w:tc>
          <w:tcPr>
            <w:tcW w:w="0" w:type="dxa"/>
            <w:vAlign w:val="bottom"/>
          </w:tcPr>
          <w:p>
            <w:pPr>
              <w:spacing w:after="0"/>
              <w:rPr>
                <w:sz w:val="1"/>
                <w:szCs w:val="1"/>
                <w:color w:val="auto"/>
              </w:rPr>
            </w:pPr>
          </w:p>
        </w:tc>
      </w:tr>
      <w:tr>
        <w:trPr>
          <w:trHeight w:val="210"/>
        </w:trPr>
        <w:tc>
          <w:tcPr>
            <w:tcW w:w="52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Days (S/D)</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28</w:t>
            </w: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27</w:t>
            </w:r>
          </w:p>
        </w:tc>
        <w:tc>
          <w:tcPr>
            <w:tcW w:w="7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27</w:t>
            </w:r>
          </w:p>
        </w:tc>
        <w:tc>
          <w:tcPr>
            <w:tcW w:w="6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LaCrosse</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3,228</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1,592</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102.8</w:t>
            </w:r>
          </w:p>
        </w:tc>
        <w:tc>
          <w:tcPr>
            <w:tcW w:w="92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95.5</w:t>
            </w:r>
          </w:p>
        </w:tc>
        <w:tc>
          <w:tcPr>
            <w:tcW w:w="840" w:type="dxa"/>
            <w:vAlign w:val="bottom"/>
          </w:tcPr>
          <w:p>
            <w:pPr>
              <w:jc w:val="right"/>
              <w:spacing w:after="0"/>
              <w:rPr>
                <w:sz w:val="20"/>
                <w:szCs w:val="20"/>
                <w:color w:val="auto"/>
              </w:rPr>
            </w:pPr>
            <w:r>
              <w:rPr>
                <w:rFonts w:ascii="Arial" w:cs="Arial" w:eastAsia="Arial" w:hAnsi="Arial"/>
                <w:sz w:val="18"/>
                <w:szCs w:val="18"/>
                <w:color w:val="auto"/>
              </w:rPr>
              <w:t>19,837</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33,336</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Lucerne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2,752</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3,806</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-27.7</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26,914</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47,645</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2"/>
              </w:rPr>
              <w:t>Buick Total</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5,980</w:t>
            </w: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5,398</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10.8</w:t>
            </w:r>
          </w:p>
        </w:tc>
        <w:tc>
          <w:tcPr>
            <w:tcW w:w="92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6.8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46,751</w:t>
            </w:r>
          </w:p>
        </w:tc>
        <w:tc>
          <w:tcPr>
            <w:tcW w:w="12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80,981</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0"/>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CTS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2,921</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3,997</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-26.9</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-29.5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31,932</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51,476</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DTS</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1,896</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1,590</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19.2</w:t>
            </w:r>
          </w:p>
        </w:tc>
        <w:tc>
          <w:tcPr>
            <w:tcW w:w="92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15.0</w:t>
            </w:r>
          </w:p>
        </w:tc>
        <w:tc>
          <w:tcPr>
            <w:tcW w:w="840" w:type="dxa"/>
            <w:vAlign w:val="bottom"/>
          </w:tcPr>
          <w:p>
            <w:pPr>
              <w:jc w:val="right"/>
              <w:spacing w:after="0"/>
              <w:rPr>
                <w:sz w:val="20"/>
                <w:szCs w:val="20"/>
                <w:color w:val="auto"/>
              </w:rPr>
            </w:pPr>
            <w:r>
              <w:rPr>
                <w:rFonts w:ascii="Arial" w:cs="Arial" w:eastAsia="Arial" w:hAnsi="Arial"/>
                <w:sz w:val="18"/>
                <w:szCs w:val="18"/>
                <w:color w:val="auto"/>
              </w:rPr>
              <w:t>14,021</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27,380</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STS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355</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632</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-43.8</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-45.8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13,253</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XLR</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49</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52</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-5.8</w:t>
            </w:r>
          </w:p>
        </w:tc>
        <w:tc>
          <w:tcPr>
            <w:tcW w:w="92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-9.1</w:t>
            </w:r>
          </w:p>
        </w:tc>
        <w:tc>
          <w:tcPr>
            <w:tcW w:w="840" w:type="dxa"/>
            <w:vAlign w:val="bottom"/>
          </w:tcPr>
          <w:p>
            <w:pPr>
              <w:jc w:val="right"/>
              <w:spacing w:after="0"/>
              <w:rPr>
                <w:sz w:val="20"/>
                <w:szCs w:val="20"/>
                <w:color w:val="auto"/>
              </w:rPr>
            </w:pPr>
            <w:r>
              <w:rPr>
                <w:rFonts w:ascii="Arial" w:cs="Arial" w:eastAsia="Arial" w:hAnsi="Arial"/>
                <w:sz w:val="18"/>
                <w:szCs w:val="18"/>
                <w:color w:val="auto"/>
              </w:rPr>
              <w:t>689</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1,091</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9"/>
              </w:rPr>
              <w:t>Cadillac Total</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5,221</w:t>
            </w: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6,271</w:t>
            </w: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-16.7</w:t>
            </w:r>
          </w:p>
        </w:tc>
        <w:tc>
          <w:tcPr>
            <w:tcW w:w="92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-19.7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52,040</w:t>
            </w:r>
          </w:p>
        </w:tc>
        <w:tc>
          <w:tcPr>
            <w:tcW w:w="12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93,200</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0"/>
        </w:trPr>
        <w:tc>
          <w:tcPr>
            <w:tcW w:w="5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Aveo</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1,459</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3,162</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-53.9</w:t>
            </w:r>
          </w:p>
        </w:tc>
        <w:tc>
          <w:tcPr>
            <w:tcW w:w="92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-55.5</w:t>
            </w:r>
          </w:p>
        </w:tc>
        <w:tc>
          <w:tcPr>
            <w:tcW w:w="840" w:type="dxa"/>
            <w:vAlign w:val="bottom"/>
          </w:tcPr>
          <w:p>
            <w:pPr>
              <w:jc w:val="right"/>
              <w:spacing w:after="0"/>
              <w:rPr>
                <w:sz w:val="20"/>
                <w:szCs w:val="20"/>
                <w:color w:val="auto"/>
              </w:rPr>
            </w:pPr>
            <w:r>
              <w:rPr>
                <w:rFonts w:ascii="Arial" w:cs="Arial" w:eastAsia="Arial" w:hAnsi="Arial"/>
                <w:sz w:val="18"/>
                <w:szCs w:val="18"/>
                <w:color w:val="auto"/>
              </w:rPr>
              <w:t>32,945</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49,782</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Camaro</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8,082</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47,233</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Cobalt</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5,055</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6,478</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-22.0</w:t>
            </w:r>
          </w:p>
        </w:tc>
        <w:tc>
          <w:tcPr>
            <w:tcW w:w="92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-24.8</w:t>
            </w:r>
          </w:p>
        </w:tc>
        <w:tc>
          <w:tcPr>
            <w:tcW w:w="840" w:type="dxa"/>
            <w:vAlign w:val="bottom"/>
          </w:tcPr>
          <w:p>
            <w:pPr>
              <w:jc w:val="right"/>
              <w:spacing w:after="0"/>
              <w:rPr>
                <w:sz w:val="20"/>
                <w:szCs w:val="20"/>
                <w:color w:val="auto"/>
              </w:rPr>
            </w:pPr>
            <w:r>
              <w:rPr>
                <w:rFonts w:ascii="Arial" w:cs="Arial" w:eastAsia="Arial" w:hAnsi="Arial"/>
                <w:sz w:val="18"/>
                <w:szCs w:val="18"/>
                <w:color w:val="auto"/>
              </w:rPr>
              <w:t>90,940</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168,940</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Corvette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1,154</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1,170</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11,949</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24,554</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Impala</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w w:val="90"/>
              </w:rPr>
              <w:t>12,721</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22,107</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-42.5</w:t>
            </w:r>
          </w:p>
        </w:tc>
        <w:tc>
          <w:tcPr>
            <w:tcW w:w="92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-44.5</w:t>
            </w:r>
          </w:p>
        </w:tc>
        <w:tc>
          <w:tcPr>
            <w:tcW w:w="840" w:type="dxa"/>
            <w:vAlign w:val="bottom"/>
          </w:tcPr>
          <w:p>
            <w:pPr>
              <w:jc w:val="right"/>
              <w:spacing w:after="0"/>
              <w:rPr>
                <w:sz w:val="20"/>
                <w:szCs w:val="20"/>
                <w:color w:val="auto"/>
              </w:rPr>
            </w:pPr>
            <w:r>
              <w:rPr>
                <w:rFonts w:ascii="Arial" w:cs="Arial" w:eastAsia="Arial" w:hAnsi="Arial"/>
                <w:sz w:val="18"/>
                <w:szCs w:val="18"/>
                <w:color w:val="auto"/>
              </w:rPr>
              <w:t>139,577</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231,841</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Malibu</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0"/>
              </w:rPr>
              <w:t>12,086</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10,874</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11.1</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131,081</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151,429</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Monte Carlo</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0</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708</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SSR</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13</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0"/>
              </w:rPr>
              <w:t>Chevrolet Total</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0"/>
              </w:rPr>
              <w:t>40,557</w:t>
            </w: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43,791</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-7.4</w:t>
            </w:r>
          </w:p>
        </w:tc>
        <w:tc>
          <w:tcPr>
            <w:tcW w:w="92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-10.7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453,731</w:t>
            </w:r>
          </w:p>
        </w:tc>
        <w:tc>
          <w:tcPr>
            <w:tcW w:w="12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627,267</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0"/>
        </w:trPr>
        <w:tc>
          <w:tcPr>
            <w:tcW w:w="524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8"/>
              </w:rPr>
              <w:t>Core Brand Total</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0"/>
              </w:rPr>
              <w:t>51,758</w:t>
            </w: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55,460</w:t>
            </w: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-6.7</w:t>
            </w:r>
          </w:p>
        </w:tc>
        <w:tc>
          <w:tcPr>
            <w:tcW w:w="92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552,522</w:t>
            </w:r>
          </w:p>
        </w:tc>
        <w:tc>
          <w:tcPr>
            <w:tcW w:w="12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801,448</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0"/>
        </w:trPr>
        <w:tc>
          <w:tcPr>
            <w:tcW w:w="5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G3 Wave</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227</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5,417</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G5</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369</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812</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-54.6</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21,892</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G6</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8,358</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6,788</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23.1</w:t>
            </w:r>
          </w:p>
        </w:tc>
        <w:tc>
          <w:tcPr>
            <w:tcW w:w="92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18.7</w:t>
            </w:r>
          </w:p>
        </w:tc>
        <w:tc>
          <w:tcPr>
            <w:tcW w:w="840" w:type="dxa"/>
            <w:vAlign w:val="bottom"/>
          </w:tcPr>
          <w:p>
            <w:pPr>
              <w:jc w:val="right"/>
              <w:spacing w:after="0"/>
              <w:rPr>
                <w:sz w:val="20"/>
                <w:szCs w:val="20"/>
                <w:color w:val="auto"/>
              </w:rPr>
            </w:pPr>
            <w:r>
              <w:rPr>
                <w:rFonts w:ascii="Arial" w:cs="Arial" w:eastAsia="Arial" w:hAnsi="Arial"/>
                <w:sz w:val="18"/>
                <w:szCs w:val="18"/>
                <w:color w:val="auto"/>
              </w:rPr>
              <w:t>77,403</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126,494</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750</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1,082</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-30.7</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-33.2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21,371</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12,390</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GTO</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0</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52</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Grand Prix</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148</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-98.0</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-98.0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8,252</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Solstice</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266</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330</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-19.4</w:t>
            </w:r>
          </w:p>
        </w:tc>
        <w:tc>
          <w:tcPr>
            <w:tcW w:w="92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-22.3</w:t>
            </w:r>
          </w:p>
        </w:tc>
        <w:tc>
          <w:tcPr>
            <w:tcW w:w="840" w:type="dxa"/>
            <w:vAlign w:val="bottom"/>
          </w:tcPr>
          <w:p>
            <w:pPr>
              <w:jc w:val="right"/>
              <w:spacing w:after="0"/>
              <w:rPr>
                <w:sz w:val="20"/>
                <w:szCs w:val="20"/>
                <w:color w:val="auto"/>
              </w:rPr>
            </w:pPr>
            <w:r>
              <w:rPr>
                <w:rFonts w:ascii="Arial" w:cs="Arial" w:eastAsia="Arial" w:hAnsi="Arial"/>
                <w:sz w:val="18"/>
                <w:szCs w:val="18"/>
                <w:color w:val="auto"/>
              </w:rPr>
              <w:t>4,521</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10,013</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Vibe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501</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2,945</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-83.0</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-83.6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33,449</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41,802</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7"/>
              </w:rPr>
              <w:t>Pontiac Total</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0"/>
              </w:rPr>
              <w:t>10,474</w:t>
            </w: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12,105</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-13.5</w:t>
            </w:r>
          </w:p>
        </w:tc>
        <w:tc>
          <w:tcPr>
            <w:tcW w:w="92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-16.6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153,197</w:t>
            </w:r>
          </w:p>
        </w:tc>
        <w:tc>
          <w:tcPr>
            <w:tcW w:w="12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220,895</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0"/>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9-2X</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248</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1,471</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-83.1</w:t>
            </w:r>
          </w:p>
        </w:tc>
        <w:tc>
          <w:tcPr>
            <w:tcW w:w="92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-83.7</w:t>
            </w:r>
          </w:p>
        </w:tc>
        <w:tc>
          <w:tcPr>
            <w:tcW w:w="840" w:type="dxa"/>
            <w:vAlign w:val="bottom"/>
          </w:tcPr>
          <w:p>
            <w:pPr>
              <w:jc w:val="right"/>
              <w:spacing w:after="0"/>
              <w:rPr>
                <w:sz w:val="20"/>
                <w:szCs w:val="20"/>
                <w:color w:val="auto"/>
              </w:rPr>
            </w:pPr>
            <w:r>
              <w:rPr>
                <w:rFonts w:ascii="Arial" w:cs="Arial" w:eastAsia="Arial" w:hAnsi="Arial"/>
                <w:sz w:val="18"/>
                <w:szCs w:val="18"/>
                <w:color w:val="auto"/>
              </w:rPr>
              <w:t>4,480</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13,877</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51</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188</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-72.9</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-73.8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2,307</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4"/>
              </w:rPr>
              <w:t>Saab Total</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299</w:t>
            </w: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1,659</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-82.0</w:t>
            </w:r>
          </w:p>
        </w:tc>
        <w:tc>
          <w:tcPr>
            <w:tcW w:w="92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-82.6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5,383</w:t>
            </w:r>
          </w:p>
        </w:tc>
        <w:tc>
          <w:tcPr>
            <w:tcW w:w="12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16,187</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0"/>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Astra</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49</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543</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-91.0</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9,707</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Aura</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1,173</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3,391</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-65.4</w:t>
            </w:r>
          </w:p>
        </w:tc>
        <w:tc>
          <w:tcPr>
            <w:tcW w:w="92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-66.6</w:t>
            </w:r>
          </w:p>
        </w:tc>
        <w:tc>
          <w:tcPr>
            <w:tcW w:w="840" w:type="dxa"/>
            <w:vAlign w:val="bottom"/>
          </w:tcPr>
          <w:p>
            <w:pPr>
              <w:jc w:val="right"/>
              <w:spacing w:after="0"/>
              <w:rPr>
                <w:sz w:val="20"/>
                <w:szCs w:val="20"/>
                <w:color w:val="auto"/>
              </w:rPr>
            </w:pPr>
            <w:r>
              <w:rPr>
                <w:rFonts w:ascii="Arial" w:cs="Arial" w:eastAsia="Arial" w:hAnsi="Arial"/>
                <w:sz w:val="18"/>
                <w:szCs w:val="18"/>
                <w:color w:val="auto"/>
              </w:rPr>
              <w:t>16,865</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54,033</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ION</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314</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Sky</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182</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308</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-40.9</w:t>
            </w:r>
          </w:p>
        </w:tc>
        <w:tc>
          <w:tcPr>
            <w:tcW w:w="92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-43.0</w:t>
            </w:r>
          </w:p>
        </w:tc>
        <w:tc>
          <w:tcPr>
            <w:tcW w:w="840" w:type="dxa"/>
            <w:vAlign w:val="bottom"/>
          </w:tcPr>
          <w:p>
            <w:pPr>
              <w:jc w:val="right"/>
              <w:spacing w:after="0"/>
              <w:rPr>
                <w:sz w:val="20"/>
                <w:szCs w:val="20"/>
                <w:color w:val="auto"/>
              </w:rPr>
            </w:pPr>
            <w:r>
              <w:rPr>
                <w:rFonts w:ascii="Arial" w:cs="Arial" w:eastAsia="Arial" w:hAnsi="Arial"/>
                <w:sz w:val="18"/>
                <w:szCs w:val="18"/>
                <w:color w:val="auto"/>
              </w:rPr>
              <w:t>2,736</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8,605</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7"/>
              </w:rPr>
              <w:t>Saturn Total</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1,404</w:t>
            </w: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4,242</w:t>
            </w: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-66.9</w:t>
            </w:r>
          </w:p>
        </w:tc>
        <w:tc>
          <w:tcPr>
            <w:tcW w:w="92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-68.1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25,715</w:t>
            </w:r>
          </w:p>
        </w:tc>
        <w:tc>
          <w:tcPr>
            <w:tcW w:w="12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72,659</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0"/>
        </w:trPr>
        <w:tc>
          <w:tcPr>
            <w:tcW w:w="524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9"/>
              </w:rPr>
              <w:t>Non-Core Brand Total</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0"/>
              </w:rPr>
              <w:t>12,177</w:t>
            </w: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18,006</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-32.4</w:t>
            </w:r>
          </w:p>
        </w:tc>
        <w:tc>
          <w:tcPr>
            <w:tcW w:w="92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-34.8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184,295</w:t>
            </w:r>
          </w:p>
        </w:tc>
        <w:tc>
          <w:tcPr>
            <w:tcW w:w="12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309,741</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0"/>
        </w:trPr>
        <w:tc>
          <w:tcPr>
            <w:tcW w:w="524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0"/>
              </w:rPr>
              <w:t>GM Car Total</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0"/>
              </w:rPr>
              <w:t>63,935</w:t>
            </w: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73,466</w:t>
            </w: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-13.0</w:t>
            </w:r>
          </w:p>
        </w:tc>
        <w:tc>
          <w:tcPr>
            <w:tcW w:w="92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736,817</w:t>
            </w:r>
          </w:p>
        </w:tc>
        <w:tc>
          <w:tcPr>
            <w:tcW w:w="12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1,111,189</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356"/>
        </w:trPr>
        <w:tc>
          <w:tcPr>
            <w:tcW w:w="5540" w:type="dxa"/>
            <w:vAlign w:val="bottom"/>
            <w:gridSpan w:val="2"/>
          </w:tcPr>
          <w:p>
            <w:pPr>
              <w:spacing w:after="0"/>
              <w:rPr>
                <w:sz w:val="20"/>
                <w:szCs w:val="20"/>
                <w:color w:val="auto"/>
              </w:rPr>
            </w:pPr>
            <w:r>
              <w:rPr>
                <w:rFonts w:ascii="Arial" w:cs="Arial" w:eastAsia="Arial" w:hAnsi="Arial"/>
                <w:sz w:val="18"/>
                <w:szCs w:val="18"/>
                <w:color w:val="auto"/>
                <w:w w:val="88"/>
              </w:rPr>
              <w:t>Global Market and Industry Analysis - Sales Reporting and Data Management</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Page 2 of 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Truck Deliveries -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2009</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5140" w:type="dxa"/>
            <w:vAlign w:val="bottom"/>
            <w:tcBorders>
              <w:top w:val="single" w:sz="8" w:color="auto"/>
              <w:left w:val="single" w:sz="8" w:color="auto"/>
              <w:right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vMerge w:val="restart"/>
          </w:tcPr>
          <w:p>
            <w:pPr>
              <w:jc w:val="right"/>
              <w:ind w:right="493"/>
              <w:spacing w:after="0"/>
              <w:rPr>
                <w:sz w:val="20"/>
                <w:szCs w:val="20"/>
                <w:color w:val="auto"/>
              </w:rPr>
            </w:pPr>
            <w:r>
              <w:rPr>
                <w:rFonts w:ascii="Arial" w:cs="Arial" w:eastAsia="Arial" w:hAnsi="Arial"/>
                <w:sz w:val="14"/>
                <w:szCs w:val="14"/>
                <w:color w:val="auto"/>
              </w:rPr>
              <w:t>October</w:t>
            </w:r>
          </w:p>
        </w:tc>
        <w:tc>
          <w:tcPr>
            <w:tcW w:w="900" w:type="dxa"/>
            <w:vAlign w:val="bottom"/>
            <w:tcBorders>
              <w:top w:val="single" w:sz="8" w:color="auto"/>
              <w:right w:val="single" w:sz="8" w:color="auto"/>
            </w:tcBorders>
          </w:tcPr>
          <w:p>
            <w:pPr>
              <w:spacing w:after="0"/>
              <w:rPr>
                <w:sz w:val="13"/>
                <w:szCs w:val="13"/>
                <w:color w:val="auto"/>
              </w:rPr>
            </w:pPr>
          </w:p>
        </w:tc>
        <w:tc>
          <w:tcPr>
            <w:tcW w:w="212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(Calendar Year-to-Date)</w:t>
            </w:r>
          </w:p>
        </w:tc>
        <w:tc>
          <w:tcPr>
            <w:tcW w:w="6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5140" w:type="dxa"/>
            <w:vAlign w:val="bottom"/>
            <w:tcBorders>
              <w:left w:val="single" w:sz="8" w:color="auto"/>
              <w:right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vMerge w:val="restart"/>
          </w:tcPr>
          <w:p>
            <w:pPr>
              <w:jc w:val="right"/>
              <w:ind w:right="153"/>
              <w:spacing w:after="0" w:line="159" w:lineRule="exact"/>
              <w:rPr>
                <w:sz w:val="20"/>
                <w:szCs w:val="20"/>
                <w:color w:val="auto"/>
              </w:rPr>
            </w:pPr>
            <w:r>
              <w:rPr>
                <w:rFonts w:ascii="Arial" w:cs="Arial" w:eastAsia="Arial" w:hAnsi="Arial"/>
                <w:sz w:val="14"/>
                <w:szCs w:val="14"/>
                <w:color w:val="auto"/>
                <w:w w:val="89"/>
              </w:rPr>
              <w:t>January - October</w:t>
            </w:r>
          </w:p>
        </w:tc>
        <w:tc>
          <w:tcPr>
            <w:tcW w:w="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140" w:type="dxa"/>
            <w:vAlign w:val="bottom"/>
            <w:tcBorders>
              <w:left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5140" w:type="dxa"/>
            <w:vAlign w:val="bottom"/>
            <w:tcBorders>
              <w:left w:val="single" w:sz="8" w:color="auto"/>
              <w:right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jc w:val="right"/>
              <w:ind w:right="93"/>
              <w:spacing w:after="0" w:line="131" w:lineRule="exact"/>
              <w:rPr>
                <w:sz w:val="20"/>
                <w:szCs w:val="20"/>
                <w:color w:val="auto"/>
              </w:rPr>
            </w:pPr>
            <w:r>
              <w:rPr>
                <w:rFonts w:ascii="Arial" w:cs="Arial" w:eastAsia="Arial" w:hAnsi="Arial"/>
                <w:sz w:val="14"/>
                <w:szCs w:val="14"/>
                <w:color w:val="auto"/>
              </w:rPr>
              <w:t>% Chg</w:t>
            </w:r>
          </w:p>
        </w:tc>
        <w:tc>
          <w:tcPr>
            <w:tcW w:w="900" w:type="dxa"/>
            <w:vAlign w:val="bottom"/>
            <w:tcBorders>
              <w:right w:val="single" w:sz="8" w:color="auto"/>
            </w:tcBorders>
          </w:tcPr>
          <w:p>
            <w:pPr>
              <w:jc w:val="right"/>
              <w:ind w:right="73"/>
              <w:spacing w:after="0" w:line="131" w:lineRule="exact"/>
              <w:rPr>
                <w:sz w:val="20"/>
                <w:szCs w:val="20"/>
                <w:color w:val="auto"/>
              </w:rPr>
            </w:pPr>
            <w:r>
              <w:rPr>
                <w:rFonts w:ascii="Arial" w:cs="Arial" w:eastAsia="Arial" w:hAnsi="Arial"/>
                <w:sz w:val="14"/>
                <w:szCs w:val="14"/>
                <w:color w:val="auto"/>
              </w:rPr>
              <w:t>% Chg per</w:t>
            </w: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Borders>
              <w:right w:val="single" w:sz="8" w:color="auto"/>
            </w:tcBorders>
          </w:tcPr>
          <w:p>
            <w:pPr>
              <w:jc w:val="right"/>
              <w:ind w:right="33"/>
              <w:spacing w:after="0" w:line="131" w:lineRule="exact"/>
              <w:rPr>
                <w:sz w:val="20"/>
                <w:szCs w:val="20"/>
                <w:color w:val="auto"/>
              </w:rPr>
            </w:pPr>
            <w:r>
              <w:rPr>
                <w:rFonts w:ascii="Arial" w:cs="Arial" w:eastAsia="Arial" w:hAnsi="Arial"/>
                <w:sz w:val="14"/>
                <w:szCs w:val="14"/>
                <w:color w:val="auto"/>
              </w:rPr>
              <w:t>% Chg</w:t>
            </w:r>
          </w:p>
        </w:tc>
        <w:tc>
          <w:tcPr>
            <w:tcW w:w="0" w:type="dxa"/>
            <w:vAlign w:val="bottom"/>
          </w:tcPr>
          <w:p>
            <w:pPr>
              <w:spacing w:after="0"/>
              <w:rPr>
                <w:sz w:val="1"/>
                <w:szCs w:val="1"/>
                <w:color w:val="auto"/>
              </w:rPr>
            </w:pPr>
          </w:p>
        </w:tc>
      </w:tr>
      <w:tr>
        <w:trPr>
          <w:trHeight w:val="173"/>
        </w:trPr>
        <w:tc>
          <w:tcPr>
            <w:tcW w:w="514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2009</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2008</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Volume</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4"/>
                <w:szCs w:val="14"/>
                <w:color w:val="auto"/>
              </w:rPr>
              <w:t>S/D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2008</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4"/>
                <w:szCs w:val="14"/>
                <w:color w:val="auto"/>
                <w:w w:val="96"/>
              </w:rPr>
              <w:t>Volume</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Days (S/D)</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28</w:t>
            </w:r>
          </w:p>
        </w:tc>
        <w:tc>
          <w:tcPr>
            <w:tcW w:w="8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27</w:t>
            </w:r>
          </w:p>
        </w:tc>
        <w:tc>
          <w:tcPr>
            <w:tcW w:w="7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27</w:t>
            </w:r>
          </w:p>
        </w:tc>
        <w:tc>
          <w:tcPr>
            <w:tcW w:w="6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Enclave</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3,073</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2,228</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37.9</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33.0</w:t>
            </w:r>
          </w:p>
        </w:tc>
        <w:tc>
          <w:tcPr>
            <w:tcW w:w="860" w:type="dxa"/>
            <w:vAlign w:val="bottom"/>
          </w:tcPr>
          <w:p>
            <w:pPr>
              <w:jc w:val="right"/>
              <w:spacing w:after="0"/>
              <w:rPr>
                <w:sz w:val="20"/>
                <w:szCs w:val="20"/>
                <w:color w:val="auto"/>
              </w:rPr>
            </w:pPr>
            <w:r>
              <w:rPr>
                <w:rFonts w:ascii="Arial" w:cs="Arial" w:eastAsia="Arial" w:hAnsi="Arial"/>
                <w:sz w:val="18"/>
                <w:szCs w:val="18"/>
                <w:color w:val="auto"/>
              </w:rPr>
              <w:t>34,645</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39,128</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Rainier</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114</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Rendezvous</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23</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Terraza</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526</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2"/>
              </w:rPr>
              <w:t>Buick Total</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3,073</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2,244</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36.9</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32.1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34,691</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39,791</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Escalade</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2,127</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1,556</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36.7</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13,118</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19,275</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 ESV</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599</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533</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12.4</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8.4</w:t>
            </w:r>
          </w:p>
        </w:tc>
        <w:tc>
          <w:tcPr>
            <w:tcW w:w="860" w:type="dxa"/>
            <w:vAlign w:val="bottom"/>
          </w:tcPr>
          <w:p>
            <w:pPr>
              <w:jc w:val="right"/>
              <w:spacing w:after="0"/>
              <w:rPr>
                <w:sz w:val="20"/>
                <w:szCs w:val="20"/>
                <w:color w:val="auto"/>
              </w:rPr>
            </w:pPr>
            <w:r>
              <w:rPr>
                <w:rFonts w:ascii="Arial" w:cs="Arial" w:eastAsia="Arial" w:hAnsi="Arial"/>
                <w:sz w:val="18"/>
                <w:szCs w:val="18"/>
                <w:color w:val="auto"/>
              </w:rPr>
              <w:t>5,206</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9,076</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Escalade EXT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178</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265</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-32.8</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-35.2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3,779</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SRX</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3,477</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916</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279.6</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266.0</w:t>
            </w:r>
          </w:p>
        </w:tc>
        <w:tc>
          <w:tcPr>
            <w:tcW w:w="860" w:type="dxa"/>
            <w:vAlign w:val="bottom"/>
          </w:tcPr>
          <w:p>
            <w:pPr>
              <w:jc w:val="right"/>
              <w:spacing w:after="0"/>
              <w:rPr>
                <w:sz w:val="20"/>
                <w:szCs w:val="20"/>
                <w:color w:val="auto"/>
              </w:rPr>
            </w:pPr>
            <w:r>
              <w:rPr>
                <w:rFonts w:ascii="Arial" w:cs="Arial" w:eastAsia="Arial" w:hAnsi="Arial"/>
                <w:sz w:val="18"/>
                <w:szCs w:val="18"/>
                <w:color w:val="auto"/>
              </w:rPr>
              <w:t>12,247</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13,779</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89"/>
              </w:rPr>
              <w:t>Cadillac Total</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6,381</w:t>
            </w:r>
          </w:p>
        </w:tc>
        <w:tc>
          <w:tcPr>
            <w:tcW w:w="8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3,270</w:t>
            </w: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95.1</w:t>
            </w:r>
          </w:p>
        </w:tc>
        <w:tc>
          <w:tcPr>
            <w:tcW w:w="9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88.2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32,586</w:t>
            </w:r>
          </w:p>
        </w:tc>
        <w:tc>
          <w:tcPr>
            <w:tcW w:w="12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45,909</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Chevy C/T Series</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61</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320</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Chevy W Series</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95</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-64.2</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-65.5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1,398</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Colorado</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1,732</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2,552</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-32.1</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-34.6</w:t>
            </w:r>
          </w:p>
        </w:tc>
        <w:tc>
          <w:tcPr>
            <w:tcW w:w="860" w:type="dxa"/>
            <w:vAlign w:val="bottom"/>
          </w:tcPr>
          <w:p>
            <w:pPr>
              <w:jc w:val="right"/>
              <w:spacing w:after="0"/>
              <w:rPr>
                <w:sz w:val="20"/>
                <w:szCs w:val="20"/>
                <w:color w:val="auto"/>
              </w:rPr>
            </w:pPr>
            <w:r>
              <w:rPr>
                <w:rFonts w:ascii="Arial" w:cs="Arial" w:eastAsia="Arial" w:hAnsi="Arial"/>
                <w:sz w:val="18"/>
                <w:szCs w:val="18"/>
                <w:color w:val="auto"/>
              </w:rPr>
              <w:t>29,298</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47,396</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Equinox</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7,868</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2,841</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176.9</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167.1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63,850</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59,130</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Express</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4,155</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7,556</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-45.0</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-47.0</w:t>
            </w:r>
          </w:p>
        </w:tc>
        <w:tc>
          <w:tcPr>
            <w:tcW w:w="860" w:type="dxa"/>
            <w:vAlign w:val="bottom"/>
          </w:tcPr>
          <w:p>
            <w:pPr>
              <w:jc w:val="right"/>
              <w:spacing w:after="0"/>
              <w:rPr>
                <w:sz w:val="20"/>
                <w:szCs w:val="20"/>
                <w:color w:val="auto"/>
              </w:rPr>
            </w:pPr>
            <w:r>
              <w:rPr>
                <w:rFonts w:ascii="Arial" w:cs="Arial" w:eastAsia="Arial" w:hAnsi="Arial"/>
                <w:sz w:val="18"/>
                <w:szCs w:val="18"/>
                <w:color w:val="auto"/>
              </w:rPr>
              <w:t>45,651</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72,822</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HHR</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6,681</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5,265</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26.9</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62,682</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85,763</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Kodiak 4/5 Series</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466</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572</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-18.5</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-21.4</w:t>
            </w:r>
          </w:p>
        </w:tc>
        <w:tc>
          <w:tcPr>
            <w:tcW w:w="860" w:type="dxa"/>
            <w:vAlign w:val="bottom"/>
          </w:tcPr>
          <w:p>
            <w:pPr>
              <w:jc w:val="right"/>
              <w:spacing w:after="0"/>
              <w:rPr>
                <w:sz w:val="20"/>
                <w:szCs w:val="20"/>
                <w:color w:val="auto"/>
              </w:rPr>
            </w:pPr>
            <w:r>
              <w:rPr>
                <w:rFonts w:ascii="Arial" w:cs="Arial" w:eastAsia="Arial" w:hAnsi="Arial"/>
                <w:sz w:val="18"/>
                <w:szCs w:val="18"/>
                <w:color w:val="auto"/>
              </w:rPr>
              <w:t>3,662</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5,943</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Kodiak 6/7/8 Series</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104</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-73.1</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-74.0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1,332</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Suburban (Chevy)</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4,231</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2,464</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71.7</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65.6</w:t>
            </w:r>
          </w:p>
        </w:tc>
        <w:tc>
          <w:tcPr>
            <w:tcW w:w="860" w:type="dxa"/>
            <w:vAlign w:val="bottom"/>
          </w:tcPr>
          <w:p>
            <w:pPr>
              <w:jc w:val="right"/>
              <w:spacing w:after="0"/>
              <w:rPr>
                <w:sz w:val="20"/>
                <w:szCs w:val="20"/>
                <w:color w:val="auto"/>
              </w:rPr>
            </w:pPr>
            <w:r>
              <w:rPr>
                <w:rFonts w:ascii="Arial" w:cs="Arial" w:eastAsia="Arial" w:hAnsi="Arial"/>
                <w:sz w:val="18"/>
                <w:szCs w:val="18"/>
                <w:color w:val="auto"/>
              </w:rPr>
              <w:t>31,672</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44,121</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Tahoe</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7,738</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3,674</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110.6</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103.1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57,443</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81,012</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TrailBlazer</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210</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2,954</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-92.9</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-93.1</w:t>
            </w:r>
          </w:p>
        </w:tc>
        <w:tc>
          <w:tcPr>
            <w:tcW w:w="860" w:type="dxa"/>
            <w:vAlign w:val="bottom"/>
          </w:tcPr>
          <w:p>
            <w:pPr>
              <w:jc w:val="right"/>
              <w:spacing w:after="0"/>
              <w:rPr>
                <w:sz w:val="20"/>
                <w:szCs w:val="20"/>
                <w:color w:val="auto"/>
              </w:rPr>
            </w:pPr>
            <w:r>
              <w:rPr>
                <w:rFonts w:ascii="Arial" w:cs="Arial" w:eastAsia="Arial" w:hAnsi="Arial"/>
                <w:sz w:val="18"/>
                <w:szCs w:val="18"/>
                <w:color w:val="auto"/>
              </w:rPr>
              <w:t>8,550</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68,235</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Traverse</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9,459</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1,359</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596.0</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571.2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75,156</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1,585</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Uplander</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62</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736</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-91.6</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-91.9</w:t>
            </w:r>
          </w:p>
        </w:tc>
        <w:tc>
          <w:tcPr>
            <w:tcW w:w="860" w:type="dxa"/>
            <w:vAlign w:val="bottom"/>
          </w:tcPr>
          <w:p>
            <w:pPr>
              <w:jc w:val="right"/>
              <w:spacing w:after="0"/>
              <w:rPr>
                <w:sz w:val="20"/>
                <w:szCs w:val="20"/>
                <w:color w:val="auto"/>
              </w:rPr>
            </w:pPr>
            <w:r>
              <w:rPr>
                <w:rFonts w:ascii="Arial" w:cs="Arial" w:eastAsia="Arial" w:hAnsi="Arial"/>
                <w:sz w:val="18"/>
                <w:szCs w:val="18"/>
                <w:color w:val="auto"/>
              </w:rPr>
              <w:t>1,706</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39,359</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0"/>
        </w:trPr>
        <w:tc>
          <w:tcPr>
            <w:tcW w:w="5140" w:type="dxa"/>
            <w:vAlign w:val="bottom"/>
            <w:tcBorders>
              <w:left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Avalanche</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1,461</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1,600</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-8.7</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29,810</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Silverado-C/K Pickup</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31,754</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31,689</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0.2</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-3.4</w:t>
            </w:r>
          </w:p>
        </w:tc>
        <w:tc>
          <w:tcPr>
            <w:tcW w:w="860" w:type="dxa"/>
            <w:vAlign w:val="bottom"/>
          </w:tcPr>
          <w:p>
            <w:pPr>
              <w:jc w:val="right"/>
              <w:spacing w:after="0"/>
              <w:rPr>
                <w:sz w:val="20"/>
                <w:szCs w:val="20"/>
                <w:color w:val="auto"/>
              </w:rPr>
            </w:pPr>
            <w:r>
              <w:rPr>
                <w:rFonts w:ascii="Arial" w:cs="Arial" w:eastAsia="Arial" w:hAnsi="Arial"/>
                <w:sz w:val="18"/>
                <w:szCs w:val="18"/>
                <w:color w:val="auto"/>
              </w:rPr>
              <w:t>261,142</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402,191</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Chevrolet Fullsize Pickups</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33,215</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u w:val="single" w:color="auto"/>
                <w:color w:val="auto"/>
              </w:rPr>
              <w:t>33,289</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-0.2</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274,081</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432,001</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0"/>
              </w:rPr>
              <w:t>Chevrolet Total</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75,879</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63,522</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19.5</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15.2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655,253</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940,417</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Acadia</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3,282</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3,071</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6.9</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43,957</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60,089</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Canyon</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454</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649</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-30.0</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-32.5</w:t>
            </w:r>
          </w:p>
        </w:tc>
        <w:tc>
          <w:tcPr>
            <w:tcW w:w="860" w:type="dxa"/>
            <w:vAlign w:val="bottom"/>
          </w:tcPr>
          <w:p>
            <w:pPr>
              <w:jc w:val="right"/>
              <w:spacing w:after="0"/>
              <w:rPr>
                <w:sz w:val="20"/>
                <w:szCs w:val="20"/>
                <w:color w:val="auto"/>
              </w:rPr>
            </w:pPr>
            <w:r>
              <w:rPr>
                <w:rFonts w:ascii="Arial" w:cs="Arial" w:eastAsia="Arial" w:hAnsi="Arial"/>
                <w:sz w:val="18"/>
                <w:szCs w:val="18"/>
                <w:color w:val="auto"/>
              </w:rPr>
              <w:t>9,029</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12,904</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Envoy</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167</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887</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-81.2</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21,864</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C/T Series</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45</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33</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36.4</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31.5</w:t>
            </w:r>
          </w:p>
        </w:tc>
        <w:tc>
          <w:tcPr>
            <w:tcW w:w="860" w:type="dxa"/>
            <w:vAlign w:val="bottom"/>
          </w:tcPr>
          <w:p>
            <w:pPr>
              <w:jc w:val="right"/>
              <w:spacing w:after="0"/>
              <w:rPr>
                <w:sz w:val="20"/>
                <w:szCs w:val="20"/>
                <w:color w:val="auto"/>
              </w:rPr>
            </w:pPr>
            <w:r>
              <w:rPr>
                <w:rFonts w:ascii="Arial" w:cs="Arial" w:eastAsia="Arial" w:hAnsi="Arial"/>
                <w:sz w:val="18"/>
                <w:szCs w:val="18"/>
                <w:color w:val="auto"/>
              </w:rPr>
              <w:t>419</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429</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GMC W Series</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92</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177</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-48.0</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-49.9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2,229</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Savana</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764</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1,060</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-27.9</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-30.5</w:t>
            </w:r>
          </w:p>
        </w:tc>
        <w:tc>
          <w:tcPr>
            <w:tcW w:w="860" w:type="dxa"/>
            <w:vAlign w:val="bottom"/>
          </w:tcPr>
          <w:p>
            <w:pPr>
              <w:jc w:val="right"/>
              <w:spacing w:after="0"/>
              <w:rPr>
                <w:sz w:val="20"/>
                <w:szCs w:val="20"/>
                <w:color w:val="auto"/>
              </w:rPr>
            </w:pPr>
            <w:r>
              <w:rPr>
                <w:rFonts w:ascii="Arial" w:cs="Arial" w:eastAsia="Arial" w:hAnsi="Arial"/>
                <w:sz w:val="18"/>
                <w:szCs w:val="18"/>
                <w:color w:val="auto"/>
              </w:rPr>
              <w:t>10,468</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20,333</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Sierra</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11,894</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11,256</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5.7</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91,327</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145,067</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Terrain</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2,994</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4,803</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0</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Topkick 4/5 Series</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210</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368</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-42.9</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-45.0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7,133</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Topkick 6/7/8 Series</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96</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456</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-78.9</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-79.7</w:t>
            </w:r>
          </w:p>
        </w:tc>
        <w:tc>
          <w:tcPr>
            <w:tcW w:w="860" w:type="dxa"/>
            <w:vAlign w:val="bottom"/>
          </w:tcPr>
          <w:p>
            <w:pPr>
              <w:jc w:val="right"/>
              <w:spacing w:after="0"/>
              <w:rPr>
                <w:sz w:val="20"/>
                <w:szCs w:val="20"/>
                <w:color w:val="auto"/>
              </w:rPr>
            </w:pPr>
            <w:r>
              <w:rPr>
                <w:rFonts w:ascii="Arial" w:cs="Arial" w:eastAsia="Arial" w:hAnsi="Arial"/>
                <w:sz w:val="18"/>
                <w:szCs w:val="18"/>
                <w:color w:val="auto"/>
              </w:rPr>
              <w:t>1,578</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3,659</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Yukon</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3,388</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1,836</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84.5</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77.9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23,820</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32,412</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Yukon XL</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2,037</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1,316</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54.8</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49.3</w:t>
            </w:r>
          </w:p>
        </w:tc>
        <w:tc>
          <w:tcPr>
            <w:tcW w:w="860" w:type="dxa"/>
            <w:vAlign w:val="bottom"/>
          </w:tcPr>
          <w:p>
            <w:pPr>
              <w:jc w:val="right"/>
              <w:spacing w:after="0"/>
              <w:rPr>
                <w:sz w:val="20"/>
                <w:szCs w:val="20"/>
                <w:color w:val="auto"/>
              </w:rPr>
            </w:pPr>
            <w:r>
              <w:rPr>
                <w:rFonts w:ascii="Arial" w:cs="Arial" w:eastAsia="Arial" w:hAnsi="Arial"/>
                <w:sz w:val="18"/>
                <w:szCs w:val="18"/>
                <w:color w:val="auto"/>
              </w:rPr>
              <w:t>13,323</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20,880</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1"/>
              </w:rPr>
              <w:t>GMC Total</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25,423</w:t>
            </w:r>
          </w:p>
        </w:tc>
        <w:tc>
          <w:tcPr>
            <w:tcW w:w="8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21,109</w:t>
            </w: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20.4</w:t>
            </w:r>
          </w:p>
        </w:tc>
        <w:tc>
          <w:tcPr>
            <w:tcW w:w="9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207,258</w:t>
            </w:r>
          </w:p>
        </w:tc>
        <w:tc>
          <w:tcPr>
            <w:tcW w:w="12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326,999</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8"/>
              </w:rPr>
              <w:t>Core Brand Total</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110,756</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90,145</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22.9</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18.5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929,788</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1,353,116</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HUMMER H1</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17</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HUMMER H2</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68</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260</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-73.8</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-74.8</w:t>
            </w:r>
          </w:p>
        </w:tc>
        <w:tc>
          <w:tcPr>
            <w:tcW w:w="860" w:type="dxa"/>
            <w:vAlign w:val="bottom"/>
          </w:tcPr>
          <w:p>
            <w:pPr>
              <w:jc w:val="right"/>
              <w:spacing w:after="0"/>
              <w:rPr>
                <w:sz w:val="20"/>
                <w:szCs w:val="20"/>
                <w:color w:val="auto"/>
              </w:rPr>
            </w:pPr>
            <w:r>
              <w:rPr>
                <w:rFonts w:ascii="Arial" w:cs="Arial" w:eastAsia="Arial" w:hAnsi="Arial"/>
                <w:sz w:val="18"/>
                <w:szCs w:val="18"/>
                <w:color w:val="auto"/>
              </w:rPr>
              <w:t>1,429</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5,488</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HUMMER H3</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160</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857</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-81.3</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18,104</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HUMMER H3T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79</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251</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-68.5</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-69.6</w:t>
            </w:r>
          </w:p>
        </w:tc>
        <w:tc>
          <w:tcPr>
            <w:tcW w:w="860" w:type="dxa"/>
            <w:vAlign w:val="bottom"/>
          </w:tcPr>
          <w:p>
            <w:pPr>
              <w:jc w:val="right"/>
              <w:spacing w:after="0"/>
              <w:rPr>
                <w:sz w:val="20"/>
                <w:szCs w:val="20"/>
                <w:color w:val="auto"/>
              </w:rPr>
            </w:pPr>
            <w:r>
              <w:rPr>
                <w:rFonts w:ascii="Arial" w:cs="Arial" w:eastAsia="Arial" w:hAnsi="Arial"/>
                <w:sz w:val="18"/>
                <w:szCs w:val="18"/>
                <w:color w:val="auto"/>
              </w:rPr>
              <w:t>1,903</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252</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93"/>
              </w:rPr>
              <w:t>HUMMER Total</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307</w:t>
            </w:r>
          </w:p>
        </w:tc>
        <w:tc>
          <w:tcPr>
            <w:tcW w:w="8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1,368</w:t>
            </w: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-77.6</w:t>
            </w:r>
          </w:p>
        </w:tc>
        <w:tc>
          <w:tcPr>
            <w:tcW w:w="9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-78.4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2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23,861</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Montana SV6</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64</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Torrent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172</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949</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-81.9</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-82.5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17,803</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9"/>
              </w:rPr>
              <w:t>Pontiac Total</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172</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949</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-81.9</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-82.5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9,267</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17,867</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9-7X</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214</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316</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-32.3</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-34.7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3,150</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4"/>
              </w:rPr>
              <w:t>Saab Total</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214</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316</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-32.3</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-34.7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3,150</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Outlook</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1,460</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1,362</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7.2</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22,765</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Relay</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159</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VUE</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759</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2,977</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-74.5</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-75.4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26,072</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71,721</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7"/>
              </w:rPr>
              <w:t>Saturn Total</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2,219</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4,341</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-48.9</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-50.7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38,124</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94,645</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89"/>
              </w:rPr>
              <w:t>Non-Core Brand Total</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2,912</w:t>
            </w:r>
          </w:p>
        </w:tc>
        <w:tc>
          <w:tcPr>
            <w:tcW w:w="8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6,974</w:t>
            </w: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-58.2</w:t>
            </w:r>
          </w:p>
        </w:tc>
        <w:tc>
          <w:tcPr>
            <w:tcW w:w="9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-59.7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57,949</w:t>
            </w:r>
          </w:p>
        </w:tc>
        <w:tc>
          <w:tcPr>
            <w:tcW w:w="12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139,523</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1"/>
              </w:rPr>
              <w:t>GM Truck Total</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113,668</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97,119</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17.0</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12.9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987,737</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1,492,639</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356"/>
        </w:trPr>
        <w:tc>
          <w:tcPr>
            <w:tcW w:w="6220" w:type="dxa"/>
            <w:vAlign w:val="bottom"/>
            <w:gridSpan w:val="2"/>
          </w:tcPr>
          <w:p>
            <w:pPr>
              <w:jc w:val="right"/>
              <w:ind w:right="613"/>
              <w:spacing w:after="0"/>
              <w:rPr>
                <w:sz w:val="20"/>
                <w:szCs w:val="20"/>
                <w:color w:val="auto"/>
              </w:rPr>
            </w:pPr>
            <w:r>
              <w:rPr>
                <w:rFonts w:ascii="Arial" w:cs="Arial" w:eastAsia="Arial" w:hAnsi="Arial"/>
                <w:sz w:val="18"/>
                <w:szCs w:val="18"/>
                <w:color w:val="auto"/>
                <w:w w:val="88"/>
              </w:rPr>
              <w:t>Global Market and Industry Analysis - Sales Reporting and Data Management</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Page 3 of 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-5001895</wp:posOffset>
            </wp:positionV>
            <wp:extent cx="7259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-4581525</wp:posOffset>
            </wp:positionV>
            <wp:extent cx="7259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Production Schedule - 11/03/09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ind w:left="60"/>
              <w:spacing w:after="0"/>
              <w:rPr>
                <w:sz w:val="20"/>
                <w:szCs w:val="20"/>
                <w:color w:val="auto"/>
              </w:rPr>
            </w:pPr>
            <w:r>
              <w:rPr>
                <w:rFonts w:ascii="Arial" w:cs="Arial" w:eastAsia="Arial" w:hAnsi="Arial"/>
                <w:sz w:val="14"/>
                <w:szCs w:val="14"/>
                <w:b w:val="1"/>
                <w:bCs w:val="1"/>
                <w:color w:val="auto"/>
                <w:w w:val="89"/>
              </w:rPr>
              <w:t>Memo: Joint Venture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GMNA</w:t>
            </w:r>
          </w:p>
        </w:tc>
        <w:tc>
          <w:tcPr>
            <w:tcW w:w="960" w:type="dxa"/>
            <w:vAlign w:val="bottom"/>
            <w:tcBorders>
              <w:bottom w:val="single" w:sz="8" w:color="auto"/>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3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jc w:val="center"/>
              <w:ind w:left="112"/>
              <w:spacing w:after="0"/>
              <w:rPr>
                <w:sz w:val="20"/>
                <w:szCs w:val="20"/>
                <w:color w:val="auto"/>
              </w:rPr>
            </w:pPr>
            <w:r>
              <w:rPr>
                <w:rFonts w:ascii="Arial" w:cs="Arial" w:eastAsia="Arial" w:hAnsi="Arial"/>
                <w:sz w:val="14"/>
                <w:szCs w:val="14"/>
                <w:b w:val="1"/>
                <w:bCs w:val="1"/>
                <w:color w:val="auto"/>
                <w:w w:val="83"/>
              </w:rPr>
              <w:t>Total</w:t>
            </w:r>
          </w:p>
        </w:tc>
        <w:tc>
          <w:tcPr>
            <w:tcW w:w="74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GMNA</w:t>
            </w:r>
          </w:p>
        </w:tc>
        <w:tc>
          <w:tcPr>
            <w:tcW w:w="860" w:type="dxa"/>
            <w:vAlign w:val="bottom"/>
          </w:tcPr>
          <w:p>
            <w:pPr>
              <w:ind w:left="240"/>
              <w:spacing w:after="0" w:line="229" w:lineRule="exact"/>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42"/>
        </w:trPr>
        <w:tc>
          <w:tcPr>
            <w:tcW w:w="2520" w:type="dxa"/>
            <w:vAlign w:val="bottom"/>
            <w:tcBorders>
              <w:right w:val="single" w:sz="8" w:color="auto"/>
            </w:tcBorders>
            <w:gridSpan w:val="2"/>
          </w:tcPr>
          <w:p>
            <w:pPr>
              <w:ind w:left="800"/>
              <w:spacing w:after="0" w:line="142" w:lineRule="exact"/>
              <w:rPr>
                <w:sz w:val="20"/>
                <w:szCs w:val="20"/>
                <w:color w:val="auto"/>
              </w:rPr>
            </w:pPr>
            <w:r>
              <w:rPr>
                <w:rFonts w:ascii="Arial" w:cs="Arial" w:eastAsia="Arial" w:hAnsi="Arial"/>
                <w:sz w:val="14"/>
                <w:szCs w:val="14"/>
                <w:color w:val="auto"/>
              </w:rPr>
              <w:t>Units 000s</w:t>
            </w:r>
          </w:p>
        </w:tc>
        <w:tc>
          <w:tcPr>
            <w:tcW w:w="1000" w:type="dxa"/>
            <w:vAlign w:val="bottom"/>
          </w:tcPr>
          <w:p>
            <w:pPr>
              <w:ind w:left="400"/>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900" w:type="dxa"/>
            <w:vAlign w:val="bottom"/>
            <w:tcBorders>
              <w:right w:val="single" w:sz="8" w:color="auto"/>
            </w:tcBorders>
          </w:tcPr>
          <w:p>
            <w:pPr>
              <w:ind w:left="300"/>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960" w:type="dxa"/>
            <w:vAlign w:val="bottom"/>
            <w:tcBorders>
              <w:right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jc w:val="center"/>
              <w:ind w:left="112"/>
              <w:spacing w:after="0" w:line="142" w:lineRule="exact"/>
              <w:rPr>
                <w:sz w:val="20"/>
                <w:szCs w:val="20"/>
                <w:color w:val="auto"/>
              </w:rPr>
            </w:pPr>
            <w:r>
              <w:rPr>
                <w:rFonts w:ascii="Arial" w:cs="Arial" w:eastAsia="Arial" w:hAnsi="Arial"/>
                <w:sz w:val="14"/>
                <w:szCs w:val="14"/>
                <w:b w:val="1"/>
                <w:bCs w:val="1"/>
                <w:color w:val="auto"/>
                <w:w w:val="90"/>
              </w:rPr>
              <w:t>Worldwide</w:t>
            </w:r>
          </w:p>
        </w:tc>
        <w:tc>
          <w:tcPr>
            <w:tcW w:w="740" w:type="dxa"/>
            <w:vAlign w:val="bottom"/>
          </w:tcPr>
          <w:p>
            <w:pPr>
              <w:ind w:left="300"/>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320" w:type="dxa"/>
            <w:vAlign w:val="bottom"/>
          </w:tcPr>
          <w:p>
            <w:pPr>
              <w:spacing w:after="0"/>
              <w:rPr>
                <w:sz w:val="12"/>
                <w:szCs w:val="12"/>
                <w:color w:val="auto"/>
              </w:rPr>
            </w:pPr>
          </w:p>
        </w:tc>
        <w:tc>
          <w:tcPr>
            <w:tcW w:w="1320" w:type="dxa"/>
            <w:vAlign w:val="bottom"/>
          </w:tcPr>
          <w:p>
            <w:pPr>
              <w:ind w:left="320"/>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60" w:type="dxa"/>
            <w:vAlign w:val="bottom"/>
            <w:tcBorders>
              <w:top w:val="single" w:sz="8" w:color="auto"/>
            </w:tcBorders>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spacing w:after="0"/>
              <w:rPr>
                <w:sz w:val="12"/>
                <w:szCs w:val="12"/>
                <w:color w:val="auto"/>
              </w:rPr>
            </w:pPr>
          </w:p>
        </w:tc>
        <w:tc>
          <w:tcPr>
            <w:tcW w:w="960" w:type="dxa"/>
            <w:vAlign w:val="bottom"/>
            <w:tcBorders>
              <w:top w:val="single" w:sz="8" w:color="auto"/>
              <w:right w:val="single" w:sz="8" w:color="CCEEFF"/>
            </w:tcBorders>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940" w:type="dxa"/>
            <w:vAlign w:val="bottom"/>
            <w:tcBorders>
              <w:top w:val="single" w:sz="8" w:color="auto"/>
              <w:right w:val="single" w:sz="8" w:color="CCEEFF"/>
            </w:tcBorders>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180" w:type="dxa"/>
            <w:vAlign w:val="bottom"/>
            <w:tcBorders>
              <w:top w:val="single" w:sz="8" w:color="auto"/>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1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2009 Q4 # *</w:t>
            </w:r>
          </w:p>
        </w:tc>
        <w:tc>
          <w:tcPr>
            <w:tcW w:w="340" w:type="dxa"/>
            <w:vAlign w:val="bottom"/>
            <w:tcBorders>
              <w:right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239</w:t>
            </w: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381</w:t>
            </w:r>
          </w:p>
        </w:tc>
        <w:tc>
          <w:tcPr>
            <w:tcW w:w="960" w:type="dxa"/>
            <w:vAlign w:val="bottom"/>
            <w:tcBorders>
              <w:top w:val="single" w:sz="8" w:color="auto"/>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620</w:t>
            </w:r>
          </w:p>
        </w:tc>
        <w:tc>
          <w:tcPr>
            <w:tcW w:w="340" w:type="dxa"/>
            <w:vAlign w:val="bottom"/>
            <w:tcBorders>
              <w:right w:val="single" w:sz="8" w:color="auto"/>
            </w:tcBorders>
          </w:tcPr>
          <w:p>
            <w:pPr>
              <w:spacing w:after="0"/>
              <w:rPr>
                <w:sz w:val="18"/>
                <w:szCs w:val="18"/>
                <w:color w:val="auto"/>
              </w:rPr>
            </w:pPr>
          </w:p>
        </w:tc>
        <w:tc>
          <w:tcPr>
            <w:tcW w:w="94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1,074</w:t>
            </w:r>
          </w:p>
        </w:tc>
        <w:tc>
          <w:tcPr>
            <w:tcW w:w="340" w:type="dxa"/>
            <w:vAlign w:val="bottom"/>
            <w:tcBorders>
              <w:right w:val="single" w:sz="8" w:color="auto"/>
            </w:tcBorders>
          </w:tcPr>
          <w:p>
            <w:pPr>
              <w:spacing w:after="0"/>
              <w:rPr>
                <w:sz w:val="18"/>
                <w:szCs w:val="18"/>
                <w:color w:val="auto"/>
              </w:rPr>
            </w:pPr>
          </w:p>
        </w:tc>
        <w:tc>
          <w:tcPr>
            <w:tcW w:w="118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1,694</w:t>
            </w:r>
          </w:p>
        </w:tc>
        <w:tc>
          <w:tcPr>
            <w:tcW w:w="1260" w:type="dxa"/>
            <w:vAlign w:val="bottom"/>
            <w:gridSpan w:val="3"/>
          </w:tcPr>
          <w:p>
            <w:pPr>
              <w:jc w:val="right"/>
              <w:ind w:right="492"/>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49</w:t>
            </w:r>
          </w:p>
        </w:tc>
        <w:tc>
          <w:tcPr>
            <w:tcW w:w="74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auto"/>
              <w:bottom w:val="single" w:sz="8" w:color="auto"/>
              <w:right w:val="single" w:sz="8" w:color="auto"/>
            </w:tcBorders>
            <w:shd w:val="clear" w:color="auto" w:fill="CCEEFF"/>
          </w:tcPr>
          <w:p>
            <w:pPr>
              <w:ind w:left="540"/>
              <w:spacing w:after="0"/>
              <w:rPr>
                <w:sz w:val="20"/>
                <w:szCs w:val="20"/>
                <w:color w:val="auto"/>
              </w:rPr>
            </w:pPr>
            <w:r>
              <w:rPr>
                <w:rFonts w:ascii="Arial" w:cs="Arial" w:eastAsia="Arial" w:hAnsi="Arial"/>
                <w:sz w:val="18"/>
                <w:szCs w:val="18"/>
                <w:i w:val="1"/>
                <w:iCs w:val="1"/>
                <w:color w:val="auto"/>
              </w:rPr>
              <w:t>O/(U) prior forecast</w:t>
            </w:r>
          </w:p>
        </w:tc>
        <w:tc>
          <w:tcPr>
            <w:tcW w:w="340" w:type="dxa"/>
            <w:vAlign w:val="bottom"/>
            <w:tcBorders>
              <w:bottom w:val="single" w:sz="8" w:color="CCEEFF"/>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(23)</w:t>
            </w:r>
          </w:p>
        </w:tc>
        <w:tc>
          <w:tcPr>
            <w:tcW w:w="9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(12)</w:t>
            </w:r>
          </w:p>
        </w:tc>
        <w:tc>
          <w:tcPr>
            <w:tcW w:w="960" w:type="dxa"/>
            <w:vAlign w:val="bottom"/>
            <w:tcBorders>
              <w:left w:val="single" w:sz="8" w:color="auto"/>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(35)</w:t>
            </w:r>
          </w:p>
        </w:tc>
        <w:tc>
          <w:tcPr>
            <w:tcW w:w="340" w:type="dxa"/>
            <w:vAlign w:val="bottom"/>
            <w:tcBorders>
              <w:bottom w:val="single" w:sz="8" w:color="CCEEFF"/>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74</w:t>
            </w:r>
          </w:p>
        </w:tc>
        <w:tc>
          <w:tcPr>
            <w:tcW w:w="340" w:type="dxa"/>
            <w:vAlign w:val="bottom"/>
            <w:tcBorders>
              <w:bottom w:val="single" w:sz="8" w:color="CCEEFF"/>
              <w:right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39</w:t>
            </w:r>
          </w:p>
        </w:tc>
        <w:tc>
          <w:tcPr>
            <w:tcW w:w="1260" w:type="dxa"/>
            <w:vAlign w:val="bottom"/>
            <w:tcBorders>
              <w:bottom w:val="single" w:sz="8" w:color="CCEEFF"/>
            </w:tcBorders>
            <w:gridSpan w:val="3"/>
            <w:shd w:val="clear" w:color="auto" w:fill="CCEEFF"/>
          </w:tcPr>
          <w:p>
            <w:pPr>
              <w:jc w:val="right"/>
              <w:ind w:right="492"/>
              <w:spacing w:after="0"/>
              <w:rPr>
                <w:sz w:val="20"/>
                <w:szCs w:val="20"/>
                <w:color w:val="auto"/>
              </w:rPr>
            </w:pPr>
            <w:r>
              <w:rPr>
                <w:rFonts w:ascii="Arial" w:cs="Arial" w:eastAsia="Arial" w:hAnsi="Arial"/>
                <w:sz w:val="18"/>
                <w:szCs w:val="18"/>
                <w:i w:val="1"/>
                <w:iCs w:val="1"/>
                <w:color w:val="auto"/>
              </w:rPr>
              <w:t>0</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i w:val="1"/>
                <w:iCs w:val="1"/>
                <w:color w:val="auto"/>
              </w:rPr>
              <w:t>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GMNA</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right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right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4"/>
                <w:szCs w:val="14"/>
                <w:b w:val="1"/>
                <w:bCs w:val="1"/>
                <w:color w:val="auto"/>
              </w:rPr>
              <w:t>GMNA</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jc w:val="center"/>
              <w:spacing w:after="0" w:line="142" w:lineRule="exact"/>
              <w:rPr>
                <w:sz w:val="20"/>
                <w:szCs w:val="20"/>
                <w:color w:val="auto"/>
              </w:rPr>
            </w:pPr>
            <w:r>
              <w:rPr>
                <w:rFonts w:ascii="Arial" w:cs="Arial" w:eastAsia="Arial" w:hAnsi="Arial"/>
                <w:sz w:val="14"/>
                <w:szCs w:val="14"/>
                <w:color w:val="auto"/>
                <w:w w:val="87"/>
              </w:rPr>
              <w:t>Units 000s</w:t>
            </w:r>
          </w:p>
        </w:tc>
        <w:tc>
          <w:tcPr>
            <w:tcW w:w="340" w:type="dxa"/>
            <w:vAlign w:val="bottom"/>
            <w:tcBorders>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ind w:right="78"/>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Borders>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vMerge w:val="continue"/>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Worldwide</w:t>
            </w:r>
          </w:p>
        </w:tc>
        <w:tc>
          <w:tcPr>
            <w:tcW w:w="220" w:type="dxa"/>
            <w:vAlign w:val="bottom"/>
          </w:tcPr>
          <w:p>
            <w:pPr>
              <w:spacing w:after="0"/>
              <w:rPr>
                <w:sz w:val="12"/>
                <w:szCs w:val="12"/>
                <w:color w:val="auto"/>
              </w:rPr>
            </w:pPr>
          </w:p>
        </w:tc>
        <w:tc>
          <w:tcPr>
            <w:tcW w:w="1120" w:type="dxa"/>
            <w:vAlign w:val="bottom"/>
            <w:gridSpan w:val="3"/>
          </w:tcPr>
          <w:p>
            <w:pPr>
              <w:ind w:left="80"/>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1160" w:type="dxa"/>
            <w:vAlign w:val="bottom"/>
            <w:gridSpan w:val="2"/>
          </w:tcPr>
          <w:p>
            <w:pPr>
              <w:jc w:val="right"/>
              <w:ind w:right="680"/>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2003</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591</w:t>
            </w:r>
          </w:p>
        </w:tc>
        <w:tc>
          <w:tcPr>
            <w:tcW w:w="96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860</w:t>
            </w:r>
          </w:p>
        </w:tc>
        <w:tc>
          <w:tcPr>
            <w:tcW w:w="960" w:type="dxa"/>
            <w:vAlign w:val="bottom"/>
            <w:tcBorders>
              <w:right w:val="single" w:sz="8" w:color="auto"/>
            </w:tcBorders>
            <w:gridSpan w:val="2"/>
          </w:tcPr>
          <w:p>
            <w:pPr>
              <w:jc w:val="right"/>
              <w:ind w:right="34"/>
              <w:spacing w:after="0"/>
              <w:rPr>
                <w:sz w:val="20"/>
                <w:szCs w:val="20"/>
                <w:color w:val="auto"/>
              </w:rPr>
            </w:pPr>
            <w:r>
              <w:rPr>
                <w:rFonts w:ascii="Arial" w:cs="Arial" w:eastAsia="Arial" w:hAnsi="Arial"/>
                <w:sz w:val="18"/>
                <w:szCs w:val="18"/>
                <w:b w:val="1"/>
                <w:bCs w:val="1"/>
                <w:color w:val="auto"/>
              </w:rPr>
              <w:t>1,451</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695</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2,146</w:t>
            </w:r>
          </w:p>
        </w:tc>
        <w:tc>
          <w:tcPr>
            <w:tcW w:w="1260" w:type="dxa"/>
            <w:vAlign w:val="bottom"/>
            <w:gridSpan w:val="3"/>
          </w:tcPr>
          <w:p>
            <w:pPr>
              <w:jc w:val="right"/>
              <w:ind w:right="492"/>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24</w:t>
            </w: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543</w:t>
            </w:r>
          </w:p>
        </w:tc>
        <w:tc>
          <w:tcPr>
            <w:tcW w:w="96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837</w:t>
            </w:r>
          </w:p>
        </w:tc>
        <w:tc>
          <w:tcPr>
            <w:tcW w:w="960" w:type="dxa"/>
            <w:vAlign w:val="bottom"/>
            <w:tcBorders>
              <w:left w:val="single" w:sz="8" w:color="CCEEFF"/>
              <w:right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1,380</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706</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2,086</w:t>
            </w:r>
          </w:p>
        </w:tc>
        <w:tc>
          <w:tcPr>
            <w:tcW w:w="1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492</w:t>
            </w:r>
          </w:p>
        </w:tc>
        <w:tc>
          <w:tcPr>
            <w:tcW w:w="96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753</w:t>
            </w:r>
          </w:p>
        </w:tc>
        <w:tc>
          <w:tcPr>
            <w:tcW w:w="960" w:type="dxa"/>
            <w:vAlign w:val="bottom"/>
            <w:tcBorders>
              <w:right w:val="single" w:sz="8" w:color="auto"/>
            </w:tcBorders>
            <w:gridSpan w:val="2"/>
          </w:tcPr>
          <w:p>
            <w:pPr>
              <w:jc w:val="right"/>
              <w:ind w:right="34"/>
              <w:spacing w:after="0"/>
              <w:rPr>
                <w:sz w:val="20"/>
                <w:szCs w:val="20"/>
                <w:color w:val="auto"/>
              </w:rPr>
            </w:pPr>
            <w:r>
              <w:rPr>
                <w:rFonts w:ascii="Arial" w:cs="Arial" w:eastAsia="Arial" w:hAnsi="Arial"/>
                <w:sz w:val="18"/>
                <w:szCs w:val="18"/>
                <w:b w:val="1"/>
                <w:bCs w:val="1"/>
                <w:color w:val="auto"/>
              </w:rPr>
              <w:t>1,245</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648</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1,893</w:t>
            </w:r>
          </w:p>
        </w:tc>
        <w:tc>
          <w:tcPr>
            <w:tcW w:w="1260" w:type="dxa"/>
            <w:vAlign w:val="bottom"/>
            <w:gridSpan w:val="3"/>
          </w:tcPr>
          <w:p>
            <w:pPr>
              <w:jc w:val="right"/>
              <w:ind w:right="492"/>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558</w:t>
            </w:r>
          </w:p>
        </w:tc>
        <w:tc>
          <w:tcPr>
            <w:tcW w:w="96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827</w:t>
            </w:r>
          </w:p>
        </w:tc>
        <w:tc>
          <w:tcPr>
            <w:tcW w:w="960" w:type="dxa"/>
            <w:vAlign w:val="bottom"/>
            <w:tcBorders>
              <w:left w:val="single" w:sz="8" w:color="CCEEFF"/>
              <w:right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1,385</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736</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2,121</w:t>
            </w:r>
          </w:p>
        </w:tc>
        <w:tc>
          <w:tcPr>
            <w:tcW w:w="1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2,184</w:t>
            </w:r>
          </w:p>
        </w:tc>
        <w:tc>
          <w:tcPr>
            <w:tcW w:w="20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3,277</w:t>
            </w:r>
          </w:p>
        </w:tc>
        <w:tc>
          <w:tcPr>
            <w:tcW w:w="20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5,461</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2,785</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8,246</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5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2004</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525</w:t>
            </w:r>
          </w:p>
        </w:tc>
        <w:tc>
          <w:tcPr>
            <w:tcW w:w="96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820</w:t>
            </w:r>
          </w:p>
        </w:tc>
        <w:tc>
          <w:tcPr>
            <w:tcW w:w="960" w:type="dxa"/>
            <w:vAlign w:val="bottom"/>
            <w:tcBorders>
              <w:right w:val="single" w:sz="8" w:color="auto"/>
            </w:tcBorders>
            <w:gridSpan w:val="2"/>
          </w:tcPr>
          <w:p>
            <w:pPr>
              <w:jc w:val="right"/>
              <w:ind w:right="34"/>
              <w:spacing w:after="0"/>
              <w:rPr>
                <w:sz w:val="20"/>
                <w:szCs w:val="20"/>
                <w:color w:val="auto"/>
              </w:rPr>
            </w:pPr>
            <w:r>
              <w:rPr>
                <w:rFonts w:ascii="Arial" w:cs="Arial" w:eastAsia="Arial" w:hAnsi="Arial"/>
                <w:sz w:val="18"/>
                <w:szCs w:val="18"/>
                <w:b w:val="1"/>
                <w:bCs w:val="1"/>
                <w:color w:val="auto"/>
              </w:rPr>
              <w:t>1,345</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928</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2,273</w:t>
            </w:r>
          </w:p>
        </w:tc>
        <w:tc>
          <w:tcPr>
            <w:tcW w:w="1260" w:type="dxa"/>
            <w:vAlign w:val="bottom"/>
            <w:gridSpan w:val="3"/>
          </w:tcPr>
          <w:p>
            <w:pPr>
              <w:jc w:val="right"/>
              <w:ind w:right="492"/>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19</w:t>
            </w:r>
          </w:p>
        </w:tc>
        <w:tc>
          <w:tcPr>
            <w:tcW w:w="74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543</w:t>
            </w:r>
          </w:p>
        </w:tc>
        <w:tc>
          <w:tcPr>
            <w:tcW w:w="96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846</w:t>
            </w:r>
          </w:p>
        </w:tc>
        <w:tc>
          <w:tcPr>
            <w:tcW w:w="960" w:type="dxa"/>
            <w:vAlign w:val="bottom"/>
            <w:tcBorders>
              <w:left w:val="single" w:sz="8" w:color="CCEEFF"/>
              <w:right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1,389</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1,012</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2,401</w:t>
            </w:r>
          </w:p>
        </w:tc>
        <w:tc>
          <w:tcPr>
            <w:tcW w:w="1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463</w:t>
            </w:r>
          </w:p>
        </w:tc>
        <w:tc>
          <w:tcPr>
            <w:tcW w:w="96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746</w:t>
            </w:r>
          </w:p>
        </w:tc>
        <w:tc>
          <w:tcPr>
            <w:tcW w:w="960" w:type="dxa"/>
            <w:vAlign w:val="bottom"/>
            <w:tcBorders>
              <w:right w:val="single" w:sz="8" w:color="auto"/>
            </w:tcBorders>
            <w:gridSpan w:val="2"/>
          </w:tcPr>
          <w:p>
            <w:pPr>
              <w:jc w:val="right"/>
              <w:ind w:right="34"/>
              <w:spacing w:after="0"/>
              <w:rPr>
                <w:sz w:val="20"/>
                <w:szCs w:val="20"/>
                <w:color w:val="auto"/>
              </w:rPr>
            </w:pPr>
            <w:r>
              <w:rPr>
                <w:rFonts w:ascii="Arial" w:cs="Arial" w:eastAsia="Arial" w:hAnsi="Arial"/>
                <w:sz w:val="18"/>
                <w:szCs w:val="18"/>
                <w:b w:val="1"/>
                <w:bCs w:val="1"/>
                <w:color w:val="auto"/>
              </w:rPr>
              <w:t>1,209</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910</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2,119</w:t>
            </w:r>
          </w:p>
        </w:tc>
        <w:tc>
          <w:tcPr>
            <w:tcW w:w="1260" w:type="dxa"/>
            <w:vAlign w:val="bottom"/>
            <w:gridSpan w:val="3"/>
          </w:tcPr>
          <w:p>
            <w:pPr>
              <w:jc w:val="right"/>
              <w:ind w:right="49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43</w:t>
            </w:r>
          </w:p>
        </w:tc>
        <w:tc>
          <w:tcPr>
            <w:tcW w:w="74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466</w:t>
            </w:r>
          </w:p>
        </w:tc>
        <w:tc>
          <w:tcPr>
            <w:tcW w:w="96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811</w:t>
            </w:r>
          </w:p>
        </w:tc>
        <w:tc>
          <w:tcPr>
            <w:tcW w:w="960" w:type="dxa"/>
            <w:vAlign w:val="bottom"/>
            <w:tcBorders>
              <w:left w:val="single" w:sz="8" w:color="CCEEFF"/>
              <w:right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1,277</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1,028</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2,305</w:t>
            </w:r>
          </w:p>
        </w:tc>
        <w:tc>
          <w:tcPr>
            <w:tcW w:w="1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1,997</w:t>
            </w:r>
          </w:p>
        </w:tc>
        <w:tc>
          <w:tcPr>
            <w:tcW w:w="20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3,223</w:t>
            </w:r>
          </w:p>
        </w:tc>
        <w:tc>
          <w:tcPr>
            <w:tcW w:w="20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5,220</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3,878</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9,098</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5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1,116</w:t>
            </w: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2005</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470</w:t>
            </w:r>
          </w:p>
        </w:tc>
        <w:tc>
          <w:tcPr>
            <w:tcW w:w="96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712</w:t>
            </w:r>
          </w:p>
        </w:tc>
        <w:tc>
          <w:tcPr>
            <w:tcW w:w="960" w:type="dxa"/>
            <w:vAlign w:val="bottom"/>
            <w:tcBorders>
              <w:right w:val="single" w:sz="8" w:color="auto"/>
            </w:tcBorders>
            <w:gridSpan w:val="2"/>
          </w:tcPr>
          <w:p>
            <w:pPr>
              <w:jc w:val="right"/>
              <w:ind w:right="34"/>
              <w:spacing w:after="0"/>
              <w:rPr>
                <w:sz w:val="20"/>
                <w:szCs w:val="20"/>
                <w:color w:val="auto"/>
              </w:rPr>
            </w:pPr>
            <w:r>
              <w:rPr>
                <w:rFonts w:ascii="Arial" w:cs="Arial" w:eastAsia="Arial" w:hAnsi="Arial"/>
                <w:sz w:val="18"/>
                <w:szCs w:val="18"/>
                <w:b w:val="1"/>
                <w:bCs w:val="1"/>
                <w:color w:val="auto"/>
              </w:rPr>
              <w:t>1,182</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1,022</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2,204</w:t>
            </w:r>
          </w:p>
        </w:tc>
        <w:tc>
          <w:tcPr>
            <w:tcW w:w="1260" w:type="dxa"/>
            <w:vAlign w:val="bottom"/>
            <w:gridSpan w:val="3"/>
          </w:tcPr>
          <w:p>
            <w:pPr>
              <w:jc w:val="right"/>
              <w:ind w:right="49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51</w:t>
            </w:r>
          </w:p>
        </w:tc>
        <w:tc>
          <w:tcPr>
            <w:tcW w:w="74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458</w:t>
            </w:r>
          </w:p>
        </w:tc>
        <w:tc>
          <w:tcPr>
            <w:tcW w:w="96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789</w:t>
            </w:r>
          </w:p>
        </w:tc>
        <w:tc>
          <w:tcPr>
            <w:tcW w:w="960" w:type="dxa"/>
            <w:vAlign w:val="bottom"/>
            <w:tcBorders>
              <w:left w:val="single" w:sz="8" w:color="CCEEFF"/>
              <w:right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1,247</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1,094</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2,341</w:t>
            </w:r>
          </w:p>
        </w:tc>
        <w:tc>
          <w:tcPr>
            <w:tcW w:w="1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423</w:t>
            </w:r>
          </w:p>
        </w:tc>
        <w:tc>
          <w:tcPr>
            <w:tcW w:w="96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723</w:t>
            </w:r>
          </w:p>
        </w:tc>
        <w:tc>
          <w:tcPr>
            <w:tcW w:w="960" w:type="dxa"/>
            <w:vAlign w:val="bottom"/>
            <w:tcBorders>
              <w:right w:val="single" w:sz="8" w:color="auto"/>
            </w:tcBorders>
            <w:gridSpan w:val="2"/>
          </w:tcPr>
          <w:p>
            <w:pPr>
              <w:jc w:val="right"/>
              <w:ind w:right="34"/>
              <w:spacing w:after="0"/>
              <w:rPr>
                <w:sz w:val="20"/>
                <w:szCs w:val="20"/>
                <w:color w:val="auto"/>
              </w:rPr>
            </w:pPr>
            <w:r>
              <w:rPr>
                <w:rFonts w:ascii="Arial" w:cs="Arial" w:eastAsia="Arial" w:hAnsi="Arial"/>
                <w:sz w:val="18"/>
                <w:szCs w:val="18"/>
                <w:b w:val="1"/>
                <w:bCs w:val="1"/>
                <w:color w:val="auto"/>
              </w:rPr>
              <w:t>1,146</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1,028</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2,174</w:t>
            </w:r>
          </w:p>
        </w:tc>
        <w:tc>
          <w:tcPr>
            <w:tcW w:w="1260" w:type="dxa"/>
            <w:vAlign w:val="bottom"/>
            <w:gridSpan w:val="3"/>
          </w:tcPr>
          <w:p>
            <w:pPr>
              <w:jc w:val="right"/>
              <w:ind w:right="492"/>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50</w:t>
            </w:r>
          </w:p>
        </w:tc>
        <w:tc>
          <w:tcPr>
            <w:tcW w:w="7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483</w:t>
            </w:r>
          </w:p>
        </w:tc>
        <w:tc>
          <w:tcPr>
            <w:tcW w:w="96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798</w:t>
            </w:r>
          </w:p>
        </w:tc>
        <w:tc>
          <w:tcPr>
            <w:tcW w:w="960" w:type="dxa"/>
            <w:vAlign w:val="bottom"/>
            <w:tcBorders>
              <w:left w:val="single" w:sz="8" w:color="CCEEFF"/>
              <w:right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1,281</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1,051</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2,332</w:t>
            </w:r>
          </w:p>
        </w:tc>
        <w:tc>
          <w:tcPr>
            <w:tcW w:w="1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1,834</w:t>
            </w:r>
          </w:p>
        </w:tc>
        <w:tc>
          <w:tcPr>
            <w:tcW w:w="20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3,022</w:t>
            </w:r>
          </w:p>
        </w:tc>
        <w:tc>
          <w:tcPr>
            <w:tcW w:w="20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4,856</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4,195</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9,051</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5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1,019</w:t>
            </w: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2006</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496</w:t>
            </w:r>
          </w:p>
        </w:tc>
        <w:tc>
          <w:tcPr>
            <w:tcW w:w="96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759</w:t>
            </w:r>
          </w:p>
        </w:tc>
        <w:tc>
          <w:tcPr>
            <w:tcW w:w="960" w:type="dxa"/>
            <w:vAlign w:val="bottom"/>
            <w:tcBorders>
              <w:right w:val="single" w:sz="8" w:color="auto"/>
            </w:tcBorders>
            <w:gridSpan w:val="2"/>
          </w:tcPr>
          <w:p>
            <w:pPr>
              <w:jc w:val="right"/>
              <w:ind w:right="34"/>
              <w:spacing w:after="0"/>
              <w:rPr>
                <w:sz w:val="20"/>
                <w:szCs w:val="20"/>
                <w:color w:val="auto"/>
              </w:rPr>
            </w:pPr>
            <w:r>
              <w:rPr>
                <w:rFonts w:ascii="Arial" w:cs="Arial" w:eastAsia="Arial" w:hAnsi="Arial"/>
                <w:sz w:val="18"/>
                <w:szCs w:val="18"/>
                <w:b w:val="1"/>
                <w:bCs w:val="1"/>
                <w:color w:val="auto"/>
              </w:rPr>
              <w:t>1,255</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1,160</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2,415</w:t>
            </w:r>
          </w:p>
        </w:tc>
        <w:tc>
          <w:tcPr>
            <w:tcW w:w="1260" w:type="dxa"/>
            <w:vAlign w:val="bottom"/>
            <w:gridSpan w:val="3"/>
          </w:tcPr>
          <w:p>
            <w:pPr>
              <w:jc w:val="right"/>
              <w:ind w:right="492"/>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50</w:t>
            </w:r>
          </w:p>
        </w:tc>
        <w:tc>
          <w:tcPr>
            <w:tcW w:w="74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462</w:t>
            </w:r>
          </w:p>
        </w:tc>
        <w:tc>
          <w:tcPr>
            <w:tcW w:w="96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775</w:t>
            </w:r>
          </w:p>
        </w:tc>
        <w:tc>
          <w:tcPr>
            <w:tcW w:w="960" w:type="dxa"/>
            <w:vAlign w:val="bottom"/>
            <w:tcBorders>
              <w:left w:val="single" w:sz="8" w:color="CCEEFF"/>
              <w:right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1,237</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1,183</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2,420</w:t>
            </w:r>
          </w:p>
        </w:tc>
        <w:tc>
          <w:tcPr>
            <w:tcW w:w="1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417</w:t>
            </w:r>
          </w:p>
        </w:tc>
        <w:tc>
          <w:tcPr>
            <w:tcW w:w="96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633</w:t>
            </w:r>
          </w:p>
        </w:tc>
        <w:tc>
          <w:tcPr>
            <w:tcW w:w="960" w:type="dxa"/>
            <w:vAlign w:val="bottom"/>
            <w:tcBorders>
              <w:right w:val="single" w:sz="8" w:color="auto"/>
            </w:tcBorders>
            <w:gridSpan w:val="2"/>
          </w:tcPr>
          <w:p>
            <w:pPr>
              <w:jc w:val="right"/>
              <w:ind w:right="34"/>
              <w:spacing w:after="0"/>
              <w:rPr>
                <w:sz w:val="20"/>
                <w:szCs w:val="20"/>
                <w:color w:val="auto"/>
              </w:rPr>
            </w:pPr>
            <w:r>
              <w:rPr>
                <w:rFonts w:ascii="Arial" w:cs="Arial" w:eastAsia="Arial" w:hAnsi="Arial"/>
                <w:sz w:val="18"/>
                <w:szCs w:val="18"/>
                <w:b w:val="1"/>
                <w:bCs w:val="1"/>
                <w:color w:val="auto"/>
              </w:rPr>
              <w:t>1,050</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1,022</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2,072</w:t>
            </w:r>
          </w:p>
        </w:tc>
        <w:tc>
          <w:tcPr>
            <w:tcW w:w="1260" w:type="dxa"/>
            <w:vAlign w:val="bottom"/>
            <w:gridSpan w:val="3"/>
          </w:tcPr>
          <w:p>
            <w:pPr>
              <w:jc w:val="right"/>
              <w:ind w:right="492"/>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48</w:t>
            </w:r>
          </w:p>
        </w:tc>
        <w:tc>
          <w:tcPr>
            <w:tcW w:w="74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446</w:t>
            </w:r>
          </w:p>
        </w:tc>
        <w:tc>
          <w:tcPr>
            <w:tcW w:w="96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661</w:t>
            </w:r>
          </w:p>
        </w:tc>
        <w:tc>
          <w:tcPr>
            <w:tcW w:w="960" w:type="dxa"/>
            <w:vAlign w:val="bottom"/>
            <w:tcBorders>
              <w:left w:val="single" w:sz="8" w:color="CCEEFF"/>
              <w:right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1,107</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1,167</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2,274</w:t>
            </w:r>
          </w:p>
        </w:tc>
        <w:tc>
          <w:tcPr>
            <w:tcW w:w="1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1,821</w:t>
            </w:r>
          </w:p>
        </w:tc>
        <w:tc>
          <w:tcPr>
            <w:tcW w:w="20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2,828</w:t>
            </w:r>
          </w:p>
        </w:tc>
        <w:tc>
          <w:tcPr>
            <w:tcW w:w="20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4,649</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4,532</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9,181</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5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966</w:t>
            </w: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2007</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399</w:t>
            </w:r>
          </w:p>
        </w:tc>
        <w:tc>
          <w:tcPr>
            <w:tcW w:w="96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664</w:t>
            </w:r>
          </w:p>
        </w:tc>
        <w:tc>
          <w:tcPr>
            <w:tcW w:w="960" w:type="dxa"/>
            <w:vAlign w:val="bottom"/>
            <w:tcBorders>
              <w:right w:val="single" w:sz="8" w:color="auto"/>
            </w:tcBorders>
            <w:gridSpan w:val="2"/>
          </w:tcPr>
          <w:p>
            <w:pPr>
              <w:jc w:val="right"/>
              <w:ind w:right="34"/>
              <w:spacing w:after="0"/>
              <w:rPr>
                <w:sz w:val="20"/>
                <w:szCs w:val="20"/>
                <w:color w:val="auto"/>
              </w:rPr>
            </w:pPr>
            <w:r>
              <w:rPr>
                <w:rFonts w:ascii="Arial" w:cs="Arial" w:eastAsia="Arial" w:hAnsi="Arial"/>
                <w:sz w:val="18"/>
                <w:szCs w:val="18"/>
                <w:b w:val="1"/>
                <w:bCs w:val="1"/>
                <w:color w:val="auto"/>
              </w:rPr>
              <w:t>1,063</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1,277</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2,340</w:t>
            </w:r>
          </w:p>
        </w:tc>
        <w:tc>
          <w:tcPr>
            <w:tcW w:w="1260" w:type="dxa"/>
            <w:vAlign w:val="bottom"/>
            <w:gridSpan w:val="3"/>
          </w:tcPr>
          <w:p>
            <w:pPr>
              <w:jc w:val="right"/>
              <w:ind w:right="492"/>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35</w:t>
            </w:r>
          </w:p>
        </w:tc>
        <w:tc>
          <w:tcPr>
            <w:tcW w:w="74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402</w:t>
            </w:r>
          </w:p>
        </w:tc>
        <w:tc>
          <w:tcPr>
            <w:tcW w:w="96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740</w:t>
            </w:r>
          </w:p>
        </w:tc>
        <w:tc>
          <w:tcPr>
            <w:tcW w:w="960" w:type="dxa"/>
            <w:vAlign w:val="bottom"/>
            <w:tcBorders>
              <w:left w:val="single" w:sz="8" w:color="CCEEFF"/>
              <w:right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1,142</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1,268</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2,410</w:t>
            </w:r>
          </w:p>
        </w:tc>
        <w:tc>
          <w:tcPr>
            <w:tcW w:w="1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367</w:t>
            </w:r>
          </w:p>
        </w:tc>
        <w:tc>
          <w:tcPr>
            <w:tcW w:w="96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653</w:t>
            </w:r>
          </w:p>
        </w:tc>
        <w:tc>
          <w:tcPr>
            <w:tcW w:w="960" w:type="dxa"/>
            <w:vAlign w:val="bottom"/>
            <w:tcBorders>
              <w:right w:val="single" w:sz="8" w:color="auto"/>
            </w:tcBorders>
            <w:gridSpan w:val="2"/>
          </w:tcPr>
          <w:p>
            <w:pPr>
              <w:jc w:val="right"/>
              <w:ind w:right="34"/>
              <w:spacing w:after="0"/>
              <w:rPr>
                <w:sz w:val="20"/>
                <w:szCs w:val="20"/>
                <w:color w:val="auto"/>
              </w:rPr>
            </w:pPr>
            <w:r>
              <w:rPr>
                <w:rFonts w:ascii="Arial" w:cs="Arial" w:eastAsia="Arial" w:hAnsi="Arial"/>
                <w:sz w:val="18"/>
                <w:szCs w:val="18"/>
                <w:b w:val="1"/>
                <w:bCs w:val="1"/>
                <w:color w:val="auto"/>
              </w:rPr>
              <w:t>1,020</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1,136</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2,156</w:t>
            </w:r>
          </w:p>
        </w:tc>
        <w:tc>
          <w:tcPr>
            <w:tcW w:w="1260" w:type="dxa"/>
            <w:vAlign w:val="bottom"/>
            <w:gridSpan w:val="3"/>
          </w:tcPr>
          <w:p>
            <w:pPr>
              <w:jc w:val="right"/>
              <w:ind w:right="492"/>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39</w:t>
            </w:r>
          </w:p>
        </w:tc>
        <w:tc>
          <w:tcPr>
            <w:tcW w:w="74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358</w:t>
            </w:r>
          </w:p>
        </w:tc>
        <w:tc>
          <w:tcPr>
            <w:tcW w:w="96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684</w:t>
            </w:r>
          </w:p>
        </w:tc>
        <w:tc>
          <w:tcPr>
            <w:tcW w:w="960" w:type="dxa"/>
            <w:vAlign w:val="bottom"/>
            <w:tcBorders>
              <w:left w:val="single" w:sz="8" w:color="CCEEFF"/>
              <w:right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1,042</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1,337</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2,380</w:t>
            </w:r>
          </w:p>
        </w:tc>
        <w:tc>
          <w:tcPr>
            <w:tcW w:w="1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1,526</w:t>
            </w:r>
          </w:p>
        </w:tc>
        <w:tc>
          <w:tcPr>
            <w:tcW w:w="20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2,741</w:t>
            </w:r>
          </w:p>
        </w:tc>
        <w:tc>
          <w:tcPr>
            <w:tcW w:w="20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4,267</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5,019</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9,286</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5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1,126</w:t>
            </w: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2008</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360</w:t>
            </w:r>
          </w:p>
        </w:tc>
        <w:tc>
          <w:tcPr>
            <w:tcW w:w="96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525</w:t>
            </w:r>
          </w:p>
        </w:tc>
        <w:tc>
          <w:tcPr>
            <w:tcW w:w="960" w:type="dxa"/>
            <w:vAlign w:val="bottom"/>
            <w:tcBorders>
              <w:right w:val="single" w:sz="8" w:color="auto"/>
            </w:tcBorders>
            <w:gridSpan w:val="2"/>
          </w:tcPr>
          <w:p>
            <w:pPr>
              <w:jc w:val="right"/>
              <w:ind w:right="34"/>
              <w:spacing w:after="0"/>
              <w:rPr>
                <w:sz w:val="20"/>
                <w:szCs w:val="20"/>
                <w:color w:val="auto"/>
              </w:rPr>
            </w:pPr>
            <w:r>
              <w:rPr>
                <w:rFonts w:ascii="Arial" w:cs="Arial" w:eastAsia="Arial" w:hAnsi="Arial"/>
                <w:sz w:val="18"/>
                <w:szCs w:val="18"/>
                <w:b w:val="1"/>
                <w:bCs w:val="1"/>
                <w:color w:val="auto"/>
              </w:rPr>
              <w:t>885</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1,348</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2,233</w:t>
            </w:r>
          </w:p>
        </w:tc>
        <w:tc>
          <w:tcPr>
            <w:tcW w:w="1260" w:type="dxa"/>
            <w:vAlign w:val="bottom"/>
            <w:gridSpan w:val="3"/>
          </w:tcPr>
          <w:p>
            <w:pPr>
              <w:jc w:val="right"/>
              <w:ind w:right="492"/>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42</w:t>
            </w:r>
          </w:p>
        </w:tc>
        <w:tc>
          <w:tcPr>
            <w:tcW w:w="74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382</w:t>
            </w:r>
          </w:p>
        </w:tc>
        <w:tc>
          <w:tcPr>
            <w:tcW w:w="96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452</w:t>
            </w:r>
          </w:p>
        </w:tc>
        <w:tc>
          <w:tcPr>
            <w:tcW w:w="960" w:type="dxa"/>
            <w:vAlign w:val="bottom"/>
            <w:tcBorders>
              <w:left w:val="single" w:sz="8" w:color="CCEEFF"/>
              <w:right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834</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1,390</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2,224</w:t>
            </w:r>
          </w:p>
        </w:tc>
        <w:tc>
          <w:tcPr>
            <w:tcW w:w="1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436</w:t>
            </w:r>
          </w:p>
        </w:tc>
        <w:tc>
          <w:tcPr>
            <w:tcW w:w="96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479</w:t>
            </w:r>
          </w:p>
        </w:tc>
        <w:tc>
          <w:tcPr>
            <w:tcW w:w="960" w:type="dxa"/>
            <w:vAlign w:val="bottom"/>
            <w:tcBorders>
              <w:right w:val="single" w:sz="8" w:color="auto"/>
            </w:tcBorders>
            <w:gridSpan w:val="2"/>
          </w:tcPr>
          <w:p>
            <w:pPr>
              <w:jc w:val="right"/>
              <w:ind w:right="34"/>
              <w:spacing w:after="0"/>
              <w:rPr>
                <w:sz w:val="20"/>
                <w:szCs w:val="20"/>
                <w:color w:val="auto"/>
              </w:rPr>
            </w:pPr>
            <w:r>
              <w:rPr>
                <w:rFonts w:ascii="Arial" w:cs="Arial" w:eastAsia="Arial" w:hAnsi="Arial"/>
                <w:sz w:val="18"/>
                <w:szCs w:val="18"/>
                <w:b w:val="1"/>
                <w:bCs w:val="1"/>
                <w:color w:val="auto"/>
              </w:rPr>
              <w:t>915</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1,124</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2,039</w:t>
            </w:r>
          </w:p>
        </w:tc>
        <w:tc>
          <w:tcPr>
            <w:tcW w:w="1260" w:type="dxa"/>
            <w:vAlign w:val="bottom"/>
            <w:gridSpan w:val="3"/>
          </w:tcPr>
          <w:p>
            <w:pPr>
              <w:jc w:val="right"/>
              <w:ind w:right="492"/>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29</w:t>
            </w:r>
          </w:p>
        </w:tc>
        <w:tc>
          <w:tcPr>
            <w:tcW w:w="74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365</w:t>
            </w:r>
          </w:p>
        </w:tc>
        <w:tc>
          <w:tcPr>
            <w:tcW w:w="96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450</w:t>
            </w:r>
          </w:p>
        </w:tc>
        <w:tc>
          <w:tcPr>
            <w:tcW w:w="960" w:type="dxa"/>
            <w:vAlign w:val="bottom"/>
            <w:tcBorders>
              <w:left w:val="single" w:sz="8" w:color="CCEEFF"/>
              <w:right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815</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833</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1,648</w:t>
            </w:r>
          </w:p>
        </w:tc>
        <w:tc>
          <w:tcPr>
            <w:tcW w:w="1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1,543</w:t>
            </w:r>
          </w:p>
        </w:tc>
        <w:tc>
          <w:tcPr>
            <w:tcW w:w="20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1,906</w:t>
            </w:r>
          </w:p>
        </w:tc>
        <w:tc>
          <w:tcPr>
            <w:tcW w:w="20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3,449</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4,695</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8,144</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5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1,182</w:t>
            </w: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2009</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116</w:t>
            </w:r>
          </w:p>
        </w:tc>
        <w:tc>
          <w:tcPr>
            <w:tcW w:w="96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255</w:t>
            </w:r>
          </w:p>
        </w:tc>
        <w:tc>
          <w:tcPr>
            <w:tcW w:w="960" w:type="dxa"/>
            <w:vAlign w:val="bottom"/>
            <w:tcBorders>
              <w:right w:val="single" w:sz="8" w:color="auto"/>
            </w:tcBorders>
            <w:gridSpan w:val="2"/>
          </w:tcPr>
          <w:p>
            <w:pPr>
              <w:jc w:val="right"/>
              <w:ind w:right="34"/>
              <w:spacing w:after="0"/>
              <w:rPr>
                <w:sz w:val="20"/>
                <w:szCs w:val="20"/>
                <w:color w:val="auto"/>
              </w:rPr>
            </w:pPr>
            <w:r>
              <w:rPr>
                <w:rFonts w:ascii="Arial" w:cs="Arial" w:eastAsia="Arial" w:hAnsi="Arial"/>
                <w:sz w:val="18"/>
                <w:szCs w:val="18"/>
                <w:b w:val="1"/>
                <w:bCs w:val="1"/>
                <w:color w:val="auto"/>
              </w:rPr>
              <w:t>371</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959</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1,330</w:t>
            </w:r>
          </w:p>
        </w:tc>
        <w:tc>
          <w:tcPr>
            <w:tcW w:w="1260" w:type="dxa"/>
            <w:vAlign w:val="bottom"/>
            <w:gridSpan w:val="3"/>
          </w:tcPr>
          <w:p>
            <w:pPr>
              <w:jc w:val="right"/>
              <w:ind w:right="492"/>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8</w:t>
            </w:r>
          </w:p>
        </w:tc>
        <w:tc>
          <w:tcPr>
            <w:tcW w:w="74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170</w:t>
            </w:r>
          </w:p>
        </w:tc>
        <w:tc>
          <w:tcPr>
            <w:tcW w:w="96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225</w:t>
            </w:r>
          </w:p>
        </w:tc>
        <w:tc>
          <w:tcPr>
            <w:tcW w:w="960" w:type="dxa"/>
            <w:vAlign w:val="bottom"/>
            <w:tcBorders>
              <w:left w:val="single" w:sz="8" w:color="CCEEFF"/>
              <w:right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395</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1,143</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1,538</w:t>
            </w:r>
          </w:p>
        </w:tc>
        <w:tc>
          <w:tcPr>
            <w:tcW w:w="1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205</w:t>
            </w:r>
          </w:p>
        </w:tc>
        <w:tc>
          <w:tcPr>
            <w:tcW w:w="96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326</w:t>
            </w:r>
          </w:p>
        </w:tc>
        <w:tc>
          <w:tcPr>
            <w:tcW w:w="960" w:type="dxa"/>
            <w:vAlign w:val="bottom"/>
            <w:tcBorders>
              <w:right w:val="single" w:sz="8" w:color="auto"/>
            </w:tcBorders>
            <w:gridSpan w:val="2"/>
          </w:tcPr>
          <w:p>
            <w:pPr>
              <w:jc w:val="right"/>
              <w:ind w:right="34"/>
              <w:spacing w:after="0"/>
              <w:rPr>
                <w:sz w:val="20"/>
                <w:szCs w:val="20"/>
                <w:color w:val="auto"/>
              </w:rPr>
            </w:pPr>
            <w:r>
              <w:rPr>
                <w:rFonts w:ascii="Arial" w:cs="Arial" w:eastAsia="Arial" w:hAnsi="Arial"/>
                <w:sz w:val="18"/>
                <w:szCs w:val="18"/>
                <w:b w:val="1"/>
                <w:bCs w:val="1"/>
                <w:color w:val="auto"/>
              </w:rPr>
              <w:t>531</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1,166</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1,697</w:t>
            </w:r>
          </w:p>
        </w:tc>
        <w:tc>
          <w:tcPr>
            <w:tcW w:w="1260" w:type="dxa"/>
            <w:vAlign w:val="bottom"/>
            <w:gridSpan w:val="3"/>
          </w:tcPr>
          <w:p>
            <w:pPr>
              <w:jc w:val="right"/>
              <w:ind w:right="492"/>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31</w:t>
            </w:r>
          </w:p>
        </w:tc>
        <w:tc>
          <w:tcPr>
            <w:tcW w:w="74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 #</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381</w:t>
            </w: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620</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1,074</w:t>
            </w: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1,694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vMerge w:val="continue"/>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i w:val="1"/>
                <w:iCs w:val="1"/>
                <w:color w:val="auto"/>
              </w:rPr>
              <w:t>730</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18"/>
                <w:szCs w:val="18"/>
                <w:b w:val="1"/>
                <w:bCs w:val="1"/>
                <w:i w:val="1"/>
                <w:iCs w:val="1"/>
                <w:color w:val="auto"/>
              </w:rPr>
              <w:t>1,187</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i w:val="1"/>
                <w:iCs w:val="1"/>
                <w:color w:val="auto"/>
              </w:rPr>
              <w:t>1,917</w:t>
            </w:r>
          </w:p>
        </w:tc>
        <w:tc>
          <w:tcPr>
            <w:tcW w:w="34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i w:val="1"/>
                <w:iCs w:val="1"/>
                <w:color w:val="auto"/>
              </w:rPr>
              <w:t>4,342</w:t>
            </w:r>
          </w:p>
        </w:tc>
        <w:tc>
          <w:tcPr>
            <w:tcW w:w="34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i w:val="1"/>
                <w:iCs w:val="1"/>
                <w:color w:val="auto"/>
              </w:rPr>
              <w:t>6,259</w:t>
            </w:r>
          </w:p>
        </w:tc>
        <w:tc>
          <w:tcPr>
            <w:tcW w:w="220" w:type="dxa"/>
            <w:vAlign w:val="bottom"/>
          </w:tcPr>
          <w:p>
            <w:pPr>
              <w:spacing w:after="0"/>
              <w:rPr>
                <w:sz w:val="19"/>
                <w:szCs w:val="19"/>
                <w:color w:val="auto"/>
              </w:rPr>
            </w:pPr>
          </w:p>
        </w:tc>
        <w:tc>
          <w:tcPr>
            <w:tcW w:w="1040" w:type="dxa"/>
            <w:vAlign w:val="bottom"/>
            <w:gridSpan w:val="2"/>
          </w:tcPr>
          <w:p>
            <w:pPr>
              <w:jc w:val="right"/>
              <w:ind w:right="492"/>
              <w:spacing w:after="0"/>
              <w:rPr>
                <w:sz w:val="20"/>
                <w:szCs w:val="20"/>
                <w:color w:val="auto"/>
              </w:rPr>
            </w:pPr>
            <w:r>
              <w:rPr>
                <w:rFonts w:ascii="Arial" w:cs="Arial" w:eastAsia="Arial" w:hAnsi="Arial"/>
                <w:sz w:val="18"/>
                <w:szCs w:val="18"/>
                <w:b w:val="1"/>
                <w:bCs w:val="1"/>
                <w:i w:val="1"/>
                <w:iCs w:val="1"/>
                <w:color w:val="auto"/>
              </w:rPr>
              <w:t>29</w:t>
            </w:r>
          </w:p>
        </w:tc>
        <w:tc>
          <w:tcPr>
            <w:tcW w:w="8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i w:val="1"/>
                <w:iCs w:val="1"/>
                <w:color w:val="auto"/>
              </w:rPr>
              <w:t>105</w:t>
            </w:r>
          </w:p>
        </w:tc>
        <w:tc>
          <w:tcPr>
            <w:tcW w:w="7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1,677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Variance reported only if current production estimate differs from prior production estimate by 5K units or more</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Denotes estimate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All Numbers may vary due to rounding</w:t>
      </w:r>
    </w:p>
    <w:p>
      <w:pPr>
        <w:spacing w:after="0" w:line="9" w:lineRule="exact"/>
        <w:rPr>
          <w:rFonts w:ascii="Arial" w:cs="Arial" w:eastAsia="Arial" w:hAnsi="Arial"/>
          <w:sz w:val="18"/>
          <w:szCs w:val="18"/>
          <w:color w:val="auto"/>
        </w:rPr>
      </w:pPr>
    </w:p>
    <w:p>
      <w:pPr>
        <w:ind w:right="40"/>
        <w:spacing w:after="0" w:line="250" w:lineRule="auto"/>
        <w:rPr>
          <w:rFonts w:ascii="Arial" w:cs="Arial" w:eastAsia="Arial" w:hAnsi="Arial"/>
          <w:sz w:val="18"/>
          <w:szCs w:val="18"/>
          <w:color w:val="auto"/>
        </w:rPr>
      </w:pPr>
      <w:r>
        <w:rPr>
          <w:rFonts w:ascii="Arial" w:cs="Arial" w:eastAsia="Arial" w:hAnsi="Arial"/>
          <w:sz w:val="18"/>
          <w:szCs w:val="18"/>
          <w:color w:val="auto"/>
        </w:rPr>
        <w:t>General Motors Company acquired operations from General Motors Corporation on July 10, 2009, and references to prior periods in this and other materials refer to operations of the old General Motors Corporation</w:t>
      </w:r>
    </w:p>
    <w:p>
      <w:pPr>
        <w:ind w:left="20" w:right="400" w:hanging="5"/>
        <w:spacing w:after="0" w:line="300" w:lineRule="auto"/>
        <w:rPr>
          <w:rFonts w:ascii="Arial" w:cs="Arial" w:eastAsia="Arial" w:hAnsi="Arial"/>
          <w:sz w:val="18"/>
          <w:szCs w:val="18"/>
          <w:color w:val="auto"/>
        </w:rPr>
      </w:pPr>
      <w:r>
        <w:rPr>
          <w:rFonts w:ascii="Arial" w:cs="Arial" w:eastAsia="Arial" w:hAnsi="Arial"/>
          <w:sz w:val="15"/>
          <w:szCs w:val="15"/>
          <w:color w:val="auto"/>
        </w:rPr>
        <w:t xml:space="preserve">This report is governed by the Terms and Conditions on the GM Investor Information website: http://www.gm.com/corporate/investor_information/terms.jsp </w:t>
      </w:r>
      <w:r>
        <w:rPr>
          <w:rFonts w:ascii="Arial" w:cs="Arial" w:eastAsia="Arial" w:hAnsi="Arial"/>
          <w:sz w:val="10"/>
          <w:szCs w:val="10"/>
          <w:color w:val="auto"/>
        </w:rPr>
        <w:t xml:space="preserve">1 </w:t>
      </w:r>
      <w:r>
        <w:rPr>
          <w:rFonts w:ascii="Arial" w:cs="Arial" w:eastAsia="Arial" w:hAnsi="Arial"/>
          <w:sz w:val="15"/>
          <w:szCs w:val="15"/>
          <w:color w:val="auto"/>
        </w:rPr>
        <w:t>GMNA includes joint venture production - HUMMER and CAMI units included in GMNA Truck and production historically classified as joint venture</w:t>
      </w:r>
    </w:p>
    <w:p>
      <w:pPr>
        <w:ind w:left="240"/>
        <w:spacing w:after="0"/>
        <w:rPr>
          <w:rFonts w:ascii="Arial" w:cs="Arial" w:eastAsia="Arial" w:hAnsi="Arial"/>
          <w:sz w:val="18"/>
          <w:szCs w:val="18"/>
          <w:color w:val="auto"/>
        </w:rPr>
      </w:pPr>
      <w:r>
        <w:rPr>
          <w:rFonts w:ascii="Arial" w:cs="Arial" w:eastAsia="Arial" w:hAnsi="Arial"/>
          <w:sz w:val="18"/>
          <w:szCs w:val="18"/>
          <w:color w:val="auto"/>
        </w:rPr>
        <w:t>production - NUMMI units included in GMNA car</w:t>
      </w:r>
    </w:p>
    <w:p>
      <w:pPr>
        <w:spacing w:after="0" w:line="43" w:lineRule="exact"/>
        <w:rPr>
          <w:sz w:val="20"/>
          <w:szCs w:val="20"/>
          <w:color w:val="auto"/>
        </w:rPr>
      </w:pPr>
    </w:p>
    <w:p>
      <w:pPr>
        <w:jc w:val="both"/>
        <w:ind w:left="220" w:right="60" w:hanging="212"/>
        <w:spacing w:after="0" w:line="235" w:lineRule="auto"/>
        <w:tabs>
          <w:tab w:leader="none" w:pos="22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GMIO includes GM-AvtoVAZ, SAIC-GM-Wuling and GM Daewoo Auto Technologies (GMDAT) joint venture production beginning in Q1 2004 (Starting in Q3 2005, GMIO joint venture production does not include GMDAT); and GM Egypt, Shanghai GM Norsom Motors (formerly Jinbei GM) and Shanghai GM joint ventures.</w:t>
      </w:r>
    </w:p>
    <w:sectPr>
      <w:pgSz w:w="11900" w:h="16838" w:orient="portrait"/>
      <w:cols w:equalWidth="0" w:num="1">
        <w:col w:w="11420"/>
      </w:cols>
      <w:pgMar w:left="240" w:top="274" w:right="239" w:bottom="12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2019-12-11T06:32:25Z</dcterms:created>
  <dcterms:modified xsi:type="dcterms:W3CDTF">2019-12-11T06:32:25Z</dcterms:modified>
</cp:coreProperties>
</file>