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15,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70"/>
              <w:spacing w:after="0"/>
              <w:rPr>
                <w:sz w:val="20"/>
                <w:szCs w:val="20"/>
                <w:color w:val="auto"/>
              </w:rPr>
            </w:pPr>
            <w:r>
              <w:rPr>
                <w:rFonts w:ascii="Arial" w:cs="Arial" w:eastAsia="Arial" w:hAnsi="Arial"/>
                <w:sz w:val="18"/>
                <w:szCs w:val="18"/>
                <w:color w:val="auto"/>
                <w:w w:val="92"/>
              </w:rPr>
              <w:t>(State or other jurisdiction of</w:t>
            </w:r>
          </w:p>
        </w:tc>
        <w:tc>
          <w:tcPr>
            <w:tcW w:w="250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70"/>
              <w:spacing w:after="0"/>
              <w:rPr>
                <w:sz w:val="20"/>
                <w:szCs w:val="20"/>
                <w:color w:val="auto"/>
              </w:rPr>
            </w:pPr>
            <w:r>
              <w:rPr>
                <w:rFonts w:ascii="Arial" w:cs="Arial" w:eastAsia="Arial" w:hAnsi="Arial"/>
                <w:sz w:val="18"/>
                <w:szCs w:val="18"/>
                <w:color w:val="auto"/>
                <w:w w:val="94"/>
              </w:rPr>
              <w:t>incorporation)</w:t>
            </w:r>
          </w:p>
        </w:tc>
        <w:tc>
          <w:tcPr>
            <w:tcW w:w="250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40" w:type="dxa"/>
            <w:vAlign w:val="bottom"/>
            <w:gridSpan w:val="2"/>
          </w:tcPr>
          <w:p>
            <w:pPr>
              <w:jc w:val="center"/>
              <w:ind w:right="203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460" w:type="dxa"/>
            <w:vAlign w:val="bottom"/>
          </w:tcPr>
          <w:p>
            <w:pPr>
              <w:jc w:val="right"/>
              <w:ind w:right="97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spacing w:after="0"/>
              <w:rPr>
                <w:sz w:val="20"/>
                <w:szCs w:val="20"/>
                <w:color w:val="auto"/>
              </w:rPr>
            </w:pPr>
          </w:p>
        </w:tc>
        <w:tc>
          <w:tcPr>
            <w:tcW w:w="2460" w:type="dxa"/>
            <w:vAlign w:val="bottom"/>
          </w:tcPr>
          <w:p>
            <w:pPr>
              <w:jc w:val="center"/>
              <w:ind w:right="45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15, 2014, General Motors Company issued a news release announcing 2014 third quarter global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24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480" w:type="dxa"/>
            <w:vAlign w:val="bottom"/>
            <w:gridSpan w:val="5"/>
          </w:tcPr>
          <w:p>
            <w:pPr>
              <w:ind w:left="154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24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480" w:type="dxa"/>
            <w:vAlign w:val="bottom"/>
            <w:gridSpan w:val="5"/>
          </w:tcPr>
          <w:p>
            <w:pPr>
              <w:ind w:left="1540"/>
              <w:spacing w:after="0"/>
              <w:rPr>
                <w:sz w:val="20"/>
                <w:szCs w:val="20"/>
                <w:color w:val="auto"/>
              </w:rPr>
            </w:pPr>
            <w:r>
              <w:rPr>
                <w:rFonts w:ascii="Arial" w:cs="Arial" w:eastAsia="Arial" w:hAnsi="Arial"/>
                <w:sz w:val="18"/>
                <w:szCs w:val="18"/>
                <w:color w:val="auto"/>
                <w:w w:val="92"/>
              </w:rPr>
              <w:t>2014 Third Quarter Global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480" w:type="dxa"/>
            <w:vAlign w:val="bottom"/>
            <w:gridSpan w:val="5"/>
          </w:tcPr>
          <w:p>
            <w:pPr>
              <w:ind w:left="1540"/>
              <w:spacing w:after="0"/>
              <w:rPr>
                <w:sz w:val="20"/>
                <w:szCs w:val="20"/>
                <w:color w:val="auto"/>
              </w:rPr>
            </w:pPr>
            <w:r>
              <w:rPr>
                <w:rFonts w:ascii="Arial" w:cs="Arial" w:eastAsia="Arial" w:hAnsi="Arial"/>
                <w:sz w:val="18"/>
                <w:szCs w:val="18"/>
                <w:color w:val="auto"/>
              </w:rPr>
              <w:t>Dated October 15,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000"/>
          </w:cols>
          <w:pgMar w:left="240" w:top="796"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00" w:type="dxa"/>
            <w:vAlign w:val="bottom"/>
            <w:vMerge w:val="restart"/>
          </w:tcPr>
          <w:p>
            <w:pPr>
              <w:spacing w:after="0"/>
              <w:rPr>
                <w:sz w:val="20"/>
                <w:szCs w:val="20"/>
                <w:color w:val="auto"/>
              </w:rPr>
            </w:pPr>
            <w:r>
              <w:rPr>
                <w:rFonts w:ascii="Arial" w:cs="Arial" w:eastAsia="Arial" w:hAnsi="Arial"/>
                <w:sz w:val="18"/>
                <w:szCs w:val="18"/>
                <w:color w:val="auto"/>
              </w:rPr>
              <w:t>Date: October 17, 2014</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0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Oct. 15, 2014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Delivers its Best Third Quarter Global Sales Since 1980</w:t>
      </w:r>
    </w:p>
    <w:p>
      <w:pPr>
        <w:spacing w:after="0" w:line="68" w:lineRule="exact"/>
        <w:rPr>
          <w:sz w:val="20"/>
          <w:szCs w:val="20"/>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Chevrolet up 9 percent in North America</w:t>
      </w:r>
    </w:p>
    <w:p>
      <w:pPr>
        <w:spacing w:after="0" w:line="27"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Cadillac up 63 percent in China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Buick global sales up 7 percent</w:t>
      </w:r>
    </w:p>
    <w:p>
      <w:pPr>
        <w:spacing w:after="0" w:line="202" w:lineRule="exact"/>
        <w:rPr>
          <w:sz w:val="20"/>
          <w:szCs w:val="20"/>
          <w:color w:val="auto"/>
        </w:rPr>
      </w:pPr>
    </w:p>
    <w:p>
      <w:pPr>
        <w:ind w:right="40"/>
        <w:spacing w:after="0" w:line="32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sold 2,449,595 vehicles around the world in the third quarter of 2014, up 2 percent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 year ago. It was the company’s best third quarter since 1980. In the first nine months of 2014, GM sold 7,371,743 vehicles, up 2 percent.</w:t>
      </w:r>
    </w:p>
    <w:p>
      <w:pPr>
        <w:spacing w:after="0" w:line="12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Third quarter sales in the United States and China, the company’s two largest markets, were up 8 percent and 14 percent, respectively. Year to date, sales in the United States and China were up 4 percent and 12 percent, respectively.</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GM is on track to surpass sales of 3 million vehicles in China for the second consecutive year and the company expects to top last year’s record sales of 3.16 million vehicles. During September, GM’s cumulative sales in China surpassed 20 million vehicles.</w:t>
      </w:r>
    </w:p>
    <w:p>
      <w:pPr>
        <w:spacing w:after="0" w:line="15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“GM delivered its best third quarter global sales in 34 years thanks to solid growth in the United States and China, and steady improvement in Opel’s market share,” said GM CEO Mary Barra. “We have launches now underway, including the Chevrolet Colorado and GMC Canyon in North America, the Opel/Vauxhall Corsa in Europe, and the Buick Envision and Cadillac ATS-L in China, that will keep our momentum going.”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(vs. 2013)</w:t>
      </w:r>
    </w:p>
    <w:p>
      <w:pPr>
        <w:spacing w:after="0" w:line="22" w:lineRule="exact"/>
        <w:rPr>
          <w:sz w:val="20"/>
          <w:szCs w:val="20"/>
          <w:color w:val="auto"/>
        </w:rPr>
      </w:pPr>
    </w:p>
    <w:p>
      <w:pPr>
        <w:ind w:left="660" w:right="2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Chevrolet had record sales in China in the third quarter, up 13 percent to 169,830 units. For the first nine months of year, the brand is up 7 percent to a record 505,316 units. September was Chevrolet’s best month ever in China.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Calendar year to date, Chevrolet sales in South Korea are at record levels.</w:t>
      </w:r>
    </w:p>
    <w:p>
      <w:pPr>
        <w:ind w:left="660" w:right="100" w:hanging="328"/>
        <w:spacing w:after="0" w:line="26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success of the new Chevrolet Silverado and GMC Sierra helped GM increase its estimated share of the U.S. retail market for large pickups from 35.8 percent in the first quarter of 2014 to 37.4 percent in the second quarter and 37.9 percent in the third quarter.</w:t>
      </w:r>
    </w:p>
    <w:p>
      <w:pPr>
        <w:ind w:left="660" w:right="2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Buick’s global sales were up 7 percent in the third quarter to 284,540 units and they are up 11 percent calendar year to date to 858,046 units, driven by strong growth in the United States and China. Buick’s China sales were up 8 percent in the quarter to 220,578 units and they were up 11 percent to 670,999 units in the first nine months of the year.</w:t>
      </w:r>
    </w:p>
    <w:p>
      <w:pPr>
        <w:spacing w:after="0" w:line="1" w:lineRule="exact"/>
        <w:rPr>
          <w:rFonts w:ascii="Arial" w:cs="Arial" w:eastAsia="Arial" w:hAnsi="Arial"/>
          <w:sz w:val="18"/>
          <w:szCs w:val="18"/>
          <w:color w:val="auto"/>
        </w:rPr>
      </w:pPr>
    </w:p>
    <w:p>
      <w:pPr>
        <w:ind w:left="660" w:right="20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 China, combined, sales of small SUVs - the Buick Encore, Chevrolet Trax and Captiva - were up 90 percent in the third quarter. In the United States, the Buick Encore has been the best-selling vehicle in its segment for six months in a row. The Chevrolet Trax will launch in the United States in early 2015.</w:t>
      </w:r>
    </w:p>
    <w:p>
      <w:pPr>
        <w:spacing w:after="0" w:line="1" w:lineRule="exact"/>
        <w:rPr>
          <w:rFonts w:ascii="Arial" w:cs="Arial" w:eastAsia="Arial" w:hAnsi="Arial"/>
          <w:sz w:val="18"/>
          <w:szCs w:val="18"/>
          <w:color w:val="auto"/>
        </w:rPr>
      </w:pPr>
    </w:p>
    <w:p>
      <w:pPr>
        <w:ind w:left="660" w:right="20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Cadillac’s global sales were up 4 percent in the third quarter and they are up 9 percent year to date, driven by strong growth in China. Cadillac’s China sales were up 48 percent in the quarter to 18,665 units and they were up 63 percent to 52,425 units in the first nine months of the year.</w:t>
      </w:r>
    </w:p>
    <w:p>
      <w:pPr>
        <w:spacing w:after="0" w:line="1" w:lineRule="exact"/>
        <w:rPr>
          <w:rFonts w:ascii="Arial" w:cs="Arial" w:eastAsia="Arial" w:hAnsi="Arial"/>
          <w:sz w:val="18"/>
          <w:szCs w:val="18"/>
          <w:color w:val="auto"/>
        </w:rPr>
      </w:pPr>
    </w:p>
    <w:p>
      <w:pPr>
        <w:ind w:left="660" w:right="14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Opel/Vauxhall gained market share in 11 European countries in the first nine months of this year, including Germany, where the brand earned 7 percent of the market, up 0.3 points.</w:t>
      </w:r>
    </w:p>
    <w:p>
      <w:pPr>
        <w:spacing w:after="0" w:line="195"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(NYSE:GM, TSX: GMM) and its partners produce vehicles in 30 countries, and the company has leadership positions in the world's largest and fastest-growing automotive markets. GM, its subsidiaries and joint venture entities sell vehicles under the</w:t>
      </w:r>
    </w:p>
    <w:p>
      <w:pPr>
        <w:sectPr>
          <w:pgSz w:w="11900" w:h="16838" w:orient="portrait"/>
          <w:cols w:equalWidth="0" w:num="1">
            <w:col w:w="11420"/>
          </w:cols>
          <w:pgMar w:left="240" w:top="568" w:right="239" w:bottom="1440" w:gutter="0" w:footer="0" w:header="0"/>
        </w:sectPr>
      </w:pPr>
    </w:p>
    <w:bookmarkStart w:id="4" w:name="page5"/>
    <w:bookmarkEnd w:id="4"/>
    <w:p>
      <w:pPr>
        <w:ind w:right="300"/>
        <w:spacing w:after="0" w:line="275" w:lineRule="auto"/>
        <w:rPr>
          <w:sz w:val="20"/>
          <w:szCs w:val="20"/>
          <w:color w:val="auto"/>
        </w:rPr>
      </w:pPr>
      <w:r>
        <w:rPr>
          <w:rFonts w:ascii="Arial" w:cs="Arial" w:eastAsia="Arial" w:hAnsi="Arial"/>
          <w:sz w:val="16"/>
          <w:szCs w:val="16"/>
          <w:color w:val="auto"/>
        </w:rPr>
        <w:t xml:space="preserve">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32"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80"/>
          </w:cols>
          <w:pgMar w:left="240" w:top="589" w:right="27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4"/>
        </w:trPr>
        <w:tc>
          <w:tcPr>
            <w:tcW w:w="2560" w:type="dxa"/>
            <w:vAlign w:val="bottom"/>
            <w:tcBorders>
              <w:top w:val="single" w:sz="8" w:color="auto"/>
              <w:left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'14</w:t>
            </w:r>
          </w:p>
        </w:tc>
        <w:tc>
          <w:tcPr>
            <w:tcW w:w="1220" w:type="dxa"/>
            <w:vAlign w:val="bottom"/>
            <w:tcBorders>
              <w:top w:val="single" w:sz="8" w:color="auto"/>
              <w:bottom w:val="single" w:sz="8" w:color="auto"/>
              <w:right w:val="single" w:sz="8" w:color="auto"/>
            </w:tcBorders>
          </w:tcPr>
          <w:p>
            <w:pPr>
              <w:spacing w:after="0"/>
              <w:rPr>
                <w:sz w:val="24"/>
                <w:szCs w:val="24"/>
                <w:color w:val="auto"/>
              </w:rPr>
            </w:pPr>
          </w:p>
        </w:tc>
        <w:tc>
          <w:tcPr>
            <w:tcW w:w="3440" w:type="dxa"/>
            <w:vAlign w:val="bottom"/>
            <w:tcBorders>
              <w:top w:val="single" w:sz="8" w:color="auto"/>
              <w:bottom w:val="single" w:sz="8" w:color="auto"/>
              <w:right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4"/>
              </w:rPr>
              <w:t>2014 Calendar Year-to-Date</w:t>
            </w:r>
          </w:p>
        </w:tc>
      </w:tr>
      <w:tr>
        <w:trPr>
          <w:trHeight w:val="277"/>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Region</w:t>
            </w: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 Sales</w:t>
            </w: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YOY Change</w:t>
            </w: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Pct Change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 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YOY Change</w:t>
            </w: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Pct Change</w:t>
            </w:r>
          </w:p>
        </w:tc>
      </w:tr>
      <w:tr>
        <w:trPr>
          <w:trHeight w:val="243"/>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North America</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884,435</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76,529</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9.5%</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2,558,869</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109,424</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4.5%</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Europe</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284,479</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(59,184)</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1"/>
              </w:rPr>
              <w:t>(17.2)%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958,047</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(100,057)</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4"/>
              </w:rPr>
              <w:t>(9.5)%</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South America</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216,942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(55,579)</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1"/>
              </w:rPr>
              <w:t>(20.4)%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642,216</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(127,506)</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1"/>
              </w:rPr>
              <w:t>(16.6)%</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International</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213,891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(13,857)</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4"/>
              </w:rPr>
              <w:t>(6.1)%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631,481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(29,594)</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4"/>
              </w:rPr>
              <w:t>(4.5)%</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Greater China</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849,848</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104,822</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14.1%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2,581,130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268,712</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11.6%</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2,449,595</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52,731</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2.2%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7,371,743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120,979</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1.7%</w:t>
            </w:r>
          </w:p>
        </w:tc>
      </w:tr>
      <w:tr>
        <w:trPr>
          <w:trHeight w:val="34"/>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gridSpan w:val="3"/>
          </w:tcPr>
          <w:p>
            <w:pPr>
              <w:spacing w:after="0"/>
              <w:rPr>
                <w:sz w:val="2"/>
                <w:szCs w:val="2"/>
                <w:color w:val="auto"/>
              </w:rPr>
            </w:pPr>
          </w:p>
        </w:tc>
      </w:tr>
      <w:tr>
        <w:trPr>
          <w:trHeight w:val="277"/>
        </w:trPr>
        <w:tc>
          <w:tcPr>
            <w:tcW w:w="2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77"/>
        </w:trPr>
        <w:tc>
          <w:tcPr>
            <w:tcW w:w="2560" w:type="dxa"/>
            <w:vAlign w:val="bottom"/>
            <w:tcBorders>
              <w:left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'14</w:t>
            </w:r>
          </w:p>
        </w:tc>
        <w:tc>
          <w:tcPr>
            <w:tcW w:w="122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4"/>
              </w:rPr>
              <w:t>2014 Calendar Year-to-Date</w:t>
            </w:r>
          </w:p>
        </w:tc>
      </w:tr>
      <w:tr>
        <w:trPr>
          <w:trHeight w:val="277"/>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Top Five Markets</w:t>
            </w: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 Sales</w:t>
            </w: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YOY Change</w:t>
            </w: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Pct Change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 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YOY Change</w:t>
            </w: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Pct Change</w:t>
            </w:r>
          </w:p>
        </w:tc>
      </w:tr>
      <w:tr>
        <w:trPr>
          <w:trHeight w:val="243"/>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China</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849,848</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104,822</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14.1%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2,581,130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268,712</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11.6%</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752,020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54,907</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7.9%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2,207,888</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90,429</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4.3%</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Brazil</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138,798</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(32,033)</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1"/>
              </w:rPr>
              <w:t>(18.8)%</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418,026</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(58,298)</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1"/>
              </w:rPr>
              <w:t>(12.2)%</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United Kingdom</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75,426</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(2,387)</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4"/>
              </w:rPr>
              <w:t>(3.1)%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235,720</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3,320</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1.4%</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Canada</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70,639</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12,114</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20.7%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189,287</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9,364</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5.2%</w:t>
            </w:r>
          </w:p>
        </w:tc>
      </w:tr>
      <w:tr>
        <w:trPr>
          <w:trHeight w:val="34"/>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gridSpan w:val="3"/>
          </w:tcPr>
          <w:p>
            <w:pPr>
              <w:spacing w:after="0"/>
              <w:rPr>
                <w:sz w:val="2"/>
                <w:szCs w:val="2"/>
                <w:color w:val="auto"/>
              </w:rPr>
            </w:pPr>
          </w:p>
        </w:tc>
      </w:tr>
      <w:tr>
        <w:trPr>
          <w:trHeight w:val="277"/>
        </w:trPr>
        <w:tc>
          <w:tcPr>
            <w:tcW w:w="2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77"/>
        </w:trPr>
        <w:tc>
          <w:tcPr>
            <w:tcW w:w="2560" w:type="dxa"/>
            <w:vAlign w:val="bottom"/>
            <w:tcBorders>
              <w:left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'14</w:t>
            </w:r>
          </w:p>
        </w:tc>
        <w:tc>
          <w:tcPr>
            <w:tcW w:w="122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4"/>
              </w:rPr>
              <w:t>2014 Calendar Year-to-Date</w:t>
            </w:r>
          </w:p>
        </w:tc>
      </w:tr>
      <w:tr>
        <w:trPr>
          <w:trHeight w:val="277"/>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Sales by Brand</w:t>
            </w: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 Sales</w:t>
            </w: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YOY Change</w:t>
            </w: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Pct Change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 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YOY Change</w:t>
            </w:r>
          </w:p>
        </w:tc>
        <w:tc>
          <w:tcPr>
            <w:tcW w:w="1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Pct Change</w:t>
            </w:r>
          </w:p>
        </w:tc>
      </w:tr>
      <w:tr>
        <w:trPr>
          <w:trHeight w:val="243"/>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Chevrolet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1,189,897</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(58,048)</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4"/>
              </w:rPr>
              <w:t>(4.7)%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3,559,412</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(187,590)</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4"/>
              </w:rPr>
              <w:t>(5.0)%</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Opel/Vauxhall</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257,926</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3,629</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1.4%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832,189</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24,170</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3.0%</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Buick</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284,540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18,576</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7.0%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858,046</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81,540</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10.5%</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Cadillac</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69,608</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2,705</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4.0%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194,614</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15,742</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2"/>
              </w:rPr>
              <w:t>8.8%</w:t>
            </w:r>
          </w:p>
        </w:tc>
      </w:tr>
      <w:tr>
        <w:trPr>
          <w:trHeight w:val="27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All Others</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647,624</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85,869</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15.3%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1,927,482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187,117</w:t>
            </w:r>
          </w:p>
        </w:tc>
        <w:tc>
          <w:tcPr>
            <w:tcW w:w="12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0"/>
              </w:rPr>
              <w:t>10.8%</w:t>
            </w:r>
          </w:p>
        </w:tc>
      </w:tr>
      <w:tr>
        <w:trPr>
          <w:trHeight w:val="34"/>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w:t>
      </w:r>
    </w:p>
    <w:p>
      <w:pPr>
        <w:spacing w:after="0" w:line="67" w:lineRule="exact"/>
        <w:rPr>
          <w:sz w:val="20"/>
          <w:szCs w:val="20"/>
          <w:color w:val="auto"/>
        </w:rPr>
      </w:pPr>
    </w:p>
    <w:p>
      <w:pPr>
        <w:ind w:left="20" w:right="2960"/>
        <w:spacing w:after="0" w:line="313" w:lineRule="auto"/>
        <w:rPr>
          <w:sz w:val="20"/>
          <w:szCs w:val="20"/>
          <w:color w:val="auto"/>
        </w:rPr>
      </w:pPr>
      <w:r>
        <w:rPr>
          <w:rFonts w:ascii="Arial" w:cs="Arial" w:eastAsia="Arial" w:hAnsi="Arial"/>
          <w:sz w:val="18"/>
          <w:szCs w:val="18"/>
          <w:color w:val="auto"/>
        </w:rPr>
        <w:t>GM North America = United States, Canada, Mexico, and other North American markets GM Europe = Western, Central and Eastern Europe</w:t>
      </w:r>
    </w:p>
    <w:p>
      <w:pPr>
        <w:ind w:left="20"/>
        <w:spacing w:after="0"/>
        <w:rPr>
          <w:sz w:val="20"/>
          <w:szCs w:val="20"/>
          <w:color w:val="auto"/>
        </w:rPr>
      </w:pPr>
      <w:r>
        <w:rPr>
          <w:rFonts w:ascii="Arial" w:cs="Arial" w:eastAsia="Arial" w:hAnsi="Arial"/>
          <w:sz w:val="18"/>
          <w:szCs w:val="18"/>
          <w:color w:val="auto"/>
        </w:rPr>
        <w:t>GM International = Asia-Pacific, Africa and the Middle East*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GM China = China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*Cuba, Iran, North Korea, Syria and Sudan are excluded from sales volume calculations.</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2019-12-07T21:28:03Z</dcterms:created>
  <dcterms:modified xsi:type="dcterms:W3CDTF">2019-12-07T21:28:03Z</dcterms:modified>
</cp:coreProperties>
</file>