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December 31, 2013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4"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6"/>
              </w:rPr>
              <w:t>For the transition period from</w:t>
            </w:r>
          </w:p>
        </w:tc>
        <w:tc>
          <w:tcPr>
            <w:tcW w:w="2040" w:type="dxa"/>
            <w:vAlign w:val="bottom"/>
            <w:gridSpan w:val="2"/>
          </w:tcPr>
          <w:p>
            <w:pPr>
              <w:jc w:val="center"/>
              <w:ind w:right="968"/>
              <w:spacing w:after="0"/>
              <w:rPr>
                <w:sz w:val="20"/>
                <w:szCs w:val="20"/>
                <w:color w:val="auto"/>
              </w:rPr>
            </w:pPr>
            <w:r>
              <w:rPr>
                <w:rFonts w:ascii="Arial" w:cs="Arial" w:eastAsia="Arial" w:hAnsi="Arial"/>
                <w:sz w:val="14"/>
                <w:szCs w:val="14"/>
                <w:b w:val="1"/>
                <w:bCs w:val="1"/>
                <w:color w:val="auto"/>
                <w:w w:val="90"/>
              </w:rPr>
              <w:t>to</w:t>
            </w:r>
          </w:p>
        </w:tc>
        <w:tc>
          <w:tcPr>
            <w:tcW w:w="27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24"/>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80" w:type="dxa"/>
            <w:vAlign w:val="bottom"/>
            <w:gridSpan w:val="3"/>
          </w:tcPr>
          <w:p>
            <w:pPr>
              <w:jc w:val="center"/>
              <w:ind w:right="3060"/>
              <w:spacing w:after="0"/>
              <w:rPr>
                <w:sz w:val="20"/>
                <w:szCs w:val="20"/>
                <w:color w:val="auto"/>
              </w:rPr>
            </w:pPr>
            <w:r>
              <w:rPr>
                <w:rFonts w:ascii="Arial" w:cs="Arial" w:eastAsia="Arial" w:hAnsi="Arial"/>
                <w:sz w:val="14"/>
                <w:szCs w:val="14"/>
                <w:b w:val="1"/>
                <w:bCs w:val="1"/>
                <w:color w:val="auto"/>
                <w:w w:val="93"/>
              </w:rPr>
              <w:t>Commission file number 001-34960</w:t>
            </w:r>
          </w:p>
        </w:tc>
      </w:tr>
      <w:tr>
        <w:trPr>
          <w:trHeight w:val="466"/>
        </w:trPr>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5"/>
          </w:tcPr>
          <w:p>
            <w:pPr>
              <w:jc w:val="center"/>
              <w:ind w:right="1020"/>
              <w:spacing w:after="0"/>
              <w:rPr>
                <w:sz w:val="20"/>
                <w:szCs w:val="20"/>
                <w:color w:val="auto"/>
              </w:rPr>
            </w:pPr>
            <w:r>
              <w:rPr>
                <w:rFonts w:ascii="Arial" w:cs="Arial" w:eastAsia="Arial" w:hAnsi="Arial"/>
                <w:sz w:val="32"/>
                <w:szCs w:val="32"/>
                <w:b w:val="1"/>
                <w:bCs w:val="1"/>
                <w:color w:val="auto"/>
              </w:rPr>
              <w:t>GENERAL MOTORS COMPANY</w:t>
            </w:r>
          </w:p>
        </w:tc>
      </w:tr>
      <w:tr>
        <w:trPr>
          <w:trHeight w:val="182"/>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40" w:type="dxa"/>
            <w:vAlign w:val="bottom"/>
            <w:gridSpan w:val="4"/>
          </w:tcPr>
          <w:p>
            <w:pPr>
              <w:jc w:val="center"/>
              <w:ind w:right="20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r>
      <w:tr>
        <w:trPr>
          <w:trHeight w:val="324"/>
        </w:trPr>
        <w:tc>
          <w:tcPr>
            <w:tcW w:w="3960" w:type="dxa"/>
            <w:vAlign w:val="bottom"/>
            <w:gridSpan w:val="4"/>
          </w:tcPr>
          <w:p>
            <w:pPr>
              <w:jc w:val="center"/>
              <w:ind w:left="828"/>
              <w:spacing w:after="0"/>
              <w:rPr>
                <w:sz w:val="20"/>
                <w:szCs w:val="20"/>
                <w:color w:val="auto"/>
              </w:rPr>
            </w:pPr>
            <w:r>
              <w:rPr>
                <w:rFonts w:ascii="Arial" w:cs="Arial" w:eastAsia="Arial" w:hAnsi="Arial"/>
                <w:sz w:val="14"/>
                <w:szCs w:val="14"/>
                <w:b w:val="1"/>
                <w:bCs w:val="1"/>
                <w:color w:val="auto"/>
                <w:w w:val="99"/>
              </w:rPr>
              <w:t>STATE OF DELAWARE</w:t>
            </w:r>
          </w:p>
        </w:tc>
        <w:tc>
          <w:tcPr>
            <w:tcW w:w="5560" w:type="dxa"/>
            <w:vAlign w:val="bottom"/>
            <w:gridSpan w:val="2"/>
          </w:tcPr>
          <w:p>
            <w:pPr>
              <w:jc w:val="center"/>
              <w:ind w:left="2708"/>
              <w:spacing w:after="0"/>
              <w:rPr>
                <w:sz w:val="20"/>
                <w:szCs w:val="20"/>
                <w:color w:val="auto"/>
              </w:rPr>
            </w:pPr>
            <w:r>
              <w:rPr>
                <w:rFonts w:ascii="Arial" w:cs="Arial" w:eastAsia="Arial" w:hAnsi="Arial"/>
                <w:sz w:val="14"/>
                <w:szCs w:val="14"/>
                <w:b w:val="1"/>
                <w:bCs w:val="1"/>
                <w:color w:val="auto"/>
                <w:w w:val="93"/>
              </w:rPr>
              <w:t>27-0756180</w:t>
            </w:r>
          </w:p>
        </w:tc>
        <w:tc>
          <w:tcPr>
            <w:tcW w:w="120" w:type="dxa"/>
            <w:vAlign w:val="bottom"/>
          </w:tcPr>
          <w:p>
            <w:pPr>
              <w:spacing w:after="0"/>
              <w:rPr>
                <w:sz w:val="24"/>
                <w:szCs w:val="24"/>
                <w:color w:val="auto"/>
              </w:rPr>
            </w:pPr>
          </w:p>
        </w:tc>
      </w:tr>
      <w:tr>
        <w:trPr>
          <w:trHeight w:val="169"/>
        </w:trPr>
        <w:tc>
          <w:tcPr>
            <w:tcW w:w="3960" w:type="dxa"/>
            <w:vAlign w:val="bottom"/>
            <w:gridSpan w:val="4"/>
          </w:tcPr>
          <w:p>
            <w:pPr>
              <w:jc w:val="center"/>
              <w:ind w:left="808"/>
              <w:spacing w:after="0"/>
              <w:rPr>
                <w:sz w:val="20"/>
                <w:szCs w:val="20"/>
                <w:color w:val="auto"/>
              </w:rPr>
            </w:pPr>
            <w:r>
              <w:rPr>
                <w:rFonts w:ascii="Arial" w:cs="Arial" w:eastAsia="Arial" w:hAnsi="Arial"/>
                <w:sz w:val="14"/>
                <w:szCs w:val="14"/>
                <w:i w:val="1"/>
                <w:iCs w:val="1"/>
                <w:color w:val="auto"/>
                <w:w w:val="95"/>
              </w:rPr>
              <w:t>(State or other jurisdiction of</w:t>
            </w:r>
          </w:p>
        </w:tc>
        <w:tc>
          <w:tcPr>
            <w:tcW w:w="2780" w:type="dxa"/>
            <w:vAlign w:val="bottom"/>
          </w:tcPr>
          <w:p>
            <w:pPr>
              <w:spacing w:after="0"/>
              <w:rPr>
                <w:sz w:val="14"/>
                <w:szCs w:val="14"/>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3960" w:type="dxa"/>
            <w:vAlign w:val="bottom"/>
            <w:gridSpan w:val="4"/>
          </w:tcPr>
          <w:p>
            <w:pPr>
              <w:jc w:val="center"/>
              <w:ind w:left="828"/>
              <w:spacing w:after="0"/>
              <w:rPr>
                <w:sz w:val="20"/>
                <w:szCs w:val="20"/>
                <w:color w:val="auto"/>
              </w:rPr>
            </w:pPr>
            <w:r>
              <w:rPr>
                <w:rFonts w:ascii="Arial" w:cs="Arial" w:eastAsia="Arial" w:hAnsi="Arial"/>
                <w:sz w:val="14"/>
                <w:szCs w:val="14"/>
                <w:i w:val="1"/>
                <w:iCs w:val="1"/>
                <w:color w:val="auto"/>
                <w:w w:val="97"/>
              </w:rPr>
              <w:t>Incorporation or Organization)</w:t>
            </w:r>
          </w:p>
        </w:tc>
        <w:tc>
          <w:tcPr>
            <w:tcW w:w="2780" w:type="dxa"/>
            <w:vAlign w:val="bottom"/>
          </w:tcPr>
          <w:p>
            <w:pPr>
              <w:spacing w:after="0"/>
              <w:rPr>
                <w:sz w:val="15"/>
                <w:szCs w:val="15"/>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7"/>
              </w:rPr>
              <w:t>Identification No.)</w:t>
            </w:r>
          </w:p>
        </w:tc>
      </w:tr>
      <w:tr>
        <w:trPr>
          <w:trHeight w:val="338"/>
        </w:trPr>
        <w:tc>
          <w:tcPr>
            <w:tcW w:w="3960" w:type="dxa"/>
            <w:vAlign w:val="bottom"/>
            <w:gridSpan w:val="4"/>
          </w:tcPr>
          <w:p>
            <w:pPr>
              <w:jc w:val="center"/>
              <w:ind w:left="828"/>
              <w:spacing w:after="0"/>
              <w:rPr>
                <w:sz w:val="20"/>
                <w:szCs w:val="20"/>
                <w:color w:val="auto"/>
              </w:rPr>
            </w:pPr>
            <w:r>
              <w:rPr>
                <w:rFonts w:ascii="Arial" w:cs="Arial" w:eastAsia="Arial" w:hAnsi="Arial"/>
                <w:sz w:val="14"/>
                <w:szCs w:val="14"/>
                <w:b w:val="1"/>
                <w:bCs w:val="1"/>
                <w:color w:val="auto"/>
                <w:w w:val="92"/>
              </w:rPr>
              <w:t>300 Renaissance Center, Detroit, Michigan</w:t>
            </w:r>
          </w:p>
        </w:tc>
        <w:tc>
          <w:tcPr>
            <w:tcW w:w="5560" w:type="dxa"/>
            <w:vAlign w:val="bottom"/>
            <w:gridSpan w:val="2"/>
          </w:tcPr>
          <w:p>
            <w:pPr>
              <w:jc w:val="center"/>
              <w:ind w:left="2708"/>
              <w:spacing w:after="0"/>
              <w:rPr>
                <w:sz w:val="20"/>
                <w:szCs w:val="20"/>
                <w:color w:val="auto"/>
              </w:rPr>
            </w:pPr>
            <w:r>
              <w:rPr>
                <w:rFonts w:ascii="Arial" w:cs="Arial" w:eastAsia="Arial" w:hAnsi="Arial"/>
                <w:sz w:val="14"/>
                <w:szCs w:val="14"/>
                <w:b w:val="1"/>
                <w:bCs w:val="1"/>
                <w:color w:val="auto"/>
                <w:w w:val="93"/>
              </w:rPr>
              <w:t>48265-3000</w:t>
            </w:r>
          </w:p>
        </w:tc>
        <w:tc>
          <w:tcPr>
            <w:tcW w:w="120" w:type="dxa"/>
            <w:vAlign w:val="bottom"/>
          </w:tcPr>
          <w:p>
            <w:pPr>
              <w:spacing w:after="0"/>
              <w:rPr>
                <w:sz w:val="24"/>
                <w:szCs w:val="24"/>
                <w:color w:val="auto"/>
              </w:rPr>
            </w:pPr>
          </w:p>
        </w:tc>
      </w:tr>
      <w:tr>
        <w:trPr>
          <w:trHeight w:val="192"/>
        </w:trPr>
        <w:tc>
          <w:tcPr>
            <w:tcW w:w="3960" w:type="dxa"/>
            <w:vAlign w:val="bottom"/>
            <w:gridSpan w:val="4"/>
          </w:tcPr>
          <w:p>
            <w:pPr>
              <w:jc w:val="center"/>
              <w:ind w:left="80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780" w:type="dxa"/>
            <w:vAlign w:val="bottom"/>
          </w:tcPr>
          <w:p>
            <w:pPr>
              <w:spacing w:after="0"/>
              <w:rPr>
                <w:sz w:val="16"/>
                <w:szCs w:val="16"/>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3"/>
              </w:rPr>
              <w:t>(Zip Code)</w:t>
            </w:r>
          </w:p>
        </w:tc>
      </w:tr>
      <w:tr>
        <w:trPr>
          <w:trHeight w:val="162"/>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40" w:type="dxa"/>
            <w:vAlign w:val="bottom"/>
            <w:gridSpan w:val="4"/>
          </w:tcPr>
          <w:p>
            <w:pPr>
              <w:jc w:val="center"/>
              <w:ind w:right="20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(313) 556-5000</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0"/>
        </w:trPr>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40" w:type="dxa"/>
            <w:vAlign w:val="bottom"/>
            <w:gridSpan w:val="4"/>
          </w:tcPr>
          <w:p>
            <w:pPr>
              <w:jc w:val="center"/>
              <w:ind w:right="20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96"/>
        </w:trPr>
        <w:tc>
          <w:tcPr>
            <w:tcW w:w="1840" w:type="dxa"/>
            <w:vAlign w:val="bottom"/>
          </w:tcPr>
          <w:p>
            <w:pPr>
              <w:spacing w:after="0"/>
              <w:rPr>
                <w:sz w:val="24"/>
                <w:szCs w:val="24"/>
                <w:color w:val="auto"/>
              </w:rPr>
            </w:pPr>
          </w:p>
        </w:tc>
        <w:tc>
          <w:tcPr>
            <w:tcW w:w="2120" w:type="dxa"/>
            <w:vAlign w:val="bottom"/>
            <w:gridSpan w:val="3"/>
          </w:tcPr>
          <w:p>
            <w:pPr>
              <w:jc w:val="center"/>
              <w:ind w:right="888"/>
              <w:spacing w:after="0"/>
              <w:rPr>
                <w:sz w:val="20"/>
                <w:szCs w:val="20"/>
                <w:color w:val="auto"/>
              </w:rPr>
            </w:pPr>
            <w:r>
              <w:rPr>
                <w:rFonts w:ascii="Arial" w:cs="Arial" w:eastAsia="Arial" w:hAnsi="Arial"/>
                <w:sz w:val="14"/>
                <w:szCs w:val="14"/>
                <w:b w:val="1"/>
                <w:bCs w:val="1"/>
                <w:color w:val="auto"/>
                <w:w w:val="93"/>
              </w:rPr>
              <w:t>Title of Each Class</w:t>
            </w:r>
          </w:p>
        </w:tc>
        <w:tc>
          <w:tcPr>
            <w:tcW w:w="2780" w:type="dxa"/>
            <w:vAlign w:val="bottom"/>
          </w:tcPr>
          <w:p>
            <w:pPr>
              <w:spacing w:after="0"/>
              <w:rPr>
                <w:sz w:val="24"/>
                <w:szCs w:val="24"/>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Common Stock</w:t>
            </w:r>
          </w:p>
        </w:tc>
        <w:tc>
          <w:tcPr>
            <w:tcW w:w="960" w:type="dxa"/>
            <w:vAlign w:val="bottom"/>
          </w:tcPr>
          <w:p>
            <w:pPr>
              <w:spacing w:after="0"/>
              <w:rPr>
                <w:sz w:val="18"/>
                <w:szCs w:val="18"/>
                <w:color w:val="auto"/>
              </w:rPr>
            </w:pPr>
          </w:p>
        </w:tc>
        <w:tc>
          <w:tcPr>
            <w:tcW w:w="5680" w:type="dxa"/>
            <w:vAlign w:val="bottom"/>
            <w:gridSpan w:val="3"/>
          </w:tcPr>
          <w:p>
            <w:pPr>
              <w:jc w:val="center"/>
              <w:ind w:left="2588"/>
              <w:spacing w:after="0"/>
              <w:rPr>
                <w:sz w:val="20"/>
                <w:szCs w:val="20"/>
                <w:color w:val="auto"/>
              </w:rPr>
            </w:pPr>
            <w:r>
              <w:rPr>
                <w:rFonts w:ascii="Arial" w:cs="Arial" w:eastAsia="Arial" w:hAnsi="Arial"/>
                <w:sz w:val="14"/>
                <w:szCs w:val="14"/>
                <w:color w:val="auto"/>
                <w:w w:val="93"/>
              </w:rPr>
              <w:t>New York Stock Exchange/Toronto Stock Exchange</w:t>
            </w:r>
          </w:p>
        </w:tc>
      </w:tr>
      <w:tr>
        <w:trPr>
          <w:trHeight w:val="203"/>
        </w:trPr>
        <w:tc>
          <w:tcPr>
            <w:tcW w:w="3960" w:type="dxa"/>
            <w:vAlign w:val="bottom"/>
            <w:gridSpan w:val="4"/>
          </w:tcPr>
          <w:p>
            <w:pPr>
              <w:jc w:val="center"/>
              <w:ind w:left="828"/>
              <w:spacing w:after="0"/>
              <w:rPr>
                <w:sz w:val="20"/>
                <w:szCs w:val="20"/>
                <w:color w:val="auto"/>
              </w:rPr>
            </w:pPr>
            <w:r>
              <w:rPr>
                <w:rFonts w:ascii="Arial" w:cs="Arial" w:eastAsia="Arial" w:hAnsi="Arial"/>
                <w:sz w:val="14"/>
                <w:szCs w:val="14"/>
                <w:color w:val="auto"/>
                <w:w w:val="93"/>
              </w:rPr>
              <w:t>Warrants (expiring December 31, 2015)</w:t>
            </w:r>
          </w:p>
        </w:tc>
        <w:tc>
          <w:tcPr>
            <w:tcW w:w="2780" w:type="dxa"/>
            <w:vAlign w:val="bottom"/>
          </w:tcPr>
          <w:p>
            <w:pPr>
              <w:spacing w:after="0"/>
              <w:rPr>
                <w:sz w:val="17"/>
                <w:szCs w:val="17"/>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New York Stock Exchange</w:t>
            </w:r>
          </w:p>
        </w:tc>
      </w:tr>
      <w:tr>
        <w:trPr>
          <w:trHeight w:val="203"/>
        </w:trPr>
        <w:tc>
          <w:tcPr>
            <w:tcW w:w="3960" w:type="dxa"/>
            <w:vAlign w:val="bottom"/>
            <w:gridSpan w:val="4"/>
          </w:tcPr>
          <w:p>
            <w:pPr>
              <w:jc w:val="center"/>
              <w:ind w:left="828"/>
              <w:spacing w:after="0"/>
              <w:rPr>
                <w:sz w:val="20"/>
                <w:szCs w:val="20"/>
                <w:color w:val="auto"/>
              </w:rPr>
            </w:pPr>
            <w:r>
              <w:rPr>
                <w:rFonts w:ascii="Arial" w:cs="Arial" w:eastAsia="Arial" w:hAnsi="Arial"/>
                <w:sz w:val="14"/>
                <w:szCs w:val="14"/>
                <w:color w:val="auto"/>
                <w:w w:val="94"/>
              </w:rPr>
              <w:t>Warrants (expiring July 10, 2016)</w:t>
            </w:r>
          </w:p>
        </w:tc>
        <w:tc>
          <w:tcPr>
            <w:tcW w:w="2780" w:type="dxa"/>
            <w:vAlign w:val="bottom"/>
          </w:tcPr>
          <w:p>
            <w:pPr>
              <w:spacing w:after="0"/>
              <w:rPr>
                <w:sz w:val="17"/>
                <w:szCs w:val="17"/>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New York Stock Exchange</w:t>
            </w:r>
          </w:p>
        </w:tc>
      </w:tr>
      <w:tr>
        <w:trPr>
          <w:trHeight w:val="203"/>
        </w:trPr>
        <w:tc>
          <w:tcPr>
            <w:tcW w:w="3960" w:type="dxa"/>
            <w:vAlign w:val="bottom"/>
            <w:gridSpan w:val="4"/>
          </w:tcPr>
          <w:p>
            <w:pPr>
              <w:jc w:val="center"/>
              <w:ind w:left="828"/>
              <w:spacing w:after="0"/>
              <w:rPr>
                <w:sz w:val="20"/>
                <w:szCs w:val="20"/>
                <w:color w:val="auto"/>
              </w:rPr>
            </w:pPr>
            <w:r>
              <w:rPr>
                <w:rFonts w:ascii="Arial" w:cs="Arial" w:eastAsia="Arial" w:hAnsi="Arial"/>
                <w:sz w:val="14"/>
                <w:szCs w:val="14"/>
                <w:color w:val="auto"/>
                <w:w w:val="94"/>
              </w:rPr>
              <w:t>Warrants (expiring July 10, 2019)</w:t>
            </w:r>
          </w:p>
        </w:tc>
        <w:tc>
          <w:tcPr>
            <w:tcW w:w="2780" w:type="dxa"/>
            <w:vAlign w:val="bottom"/>
          </w:tcPr>
          <w:p>
            <w:pPr>
              <w:spacing w:after="0"/>
              <w:rPr>
                <w:sz w:val="17"/>
                <w:szCs w:val="17"/>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New York Stock Exchange</w:t>
            </w:r>
          </w:p>
        </w:tc>
      </w:tr>
    </w:tbl>
    <w:p>
      <w:pPr>
        <w:spacing w:after="0" w:line="9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Securities registered pursuant to Section 12 (g) of the Act: None</w:t>
      </w:r>
    </w:p>
    <w:p>
      <w:pPr>
        <w:spacing w:after="0" w:line="8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10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0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firstLine="10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10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39" w:lineRule="exact"/>
        <w:rPr>
          <w:sz w:val="24"/>
          <w:szCs w:val="24"/>
          <w:color w:val="auto"/>
        </w:rPr>
      </w:pPr>
    </w:p>
    <w:p>
      <w:pPr>
        <w:ind w:left="2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p>
    <w:p>
      <w:pPr>
        <w:spacing w:after="0" w:line="136" w:lineRule="exact"/>
        <w:rPr>
          <w:sz w:val="24"/>
          <w:szCs w:val="24"/>
          <w:color w:val="auto"/>
        </w:rPr>
      </w:pPr>
    </w:p>
    <w:p>
      <w:pPr>
        <w:ind w:left="4480"/>
        <w:spacing w:after="0"/>
        <w:rPr>
          <w:sz w:val="20"/>
          <w:szCs w:val="20"/>
          <w:color w:val="auto"/>
        </w:rPr>
      </w:pPr>
      <w:r>
        <w:rPr>
          <w:rFonts w:ascii="Arial" w:cs="Arial" w:eastAsia="Arial" w:hAnsi="Arial"/>
          <w:sz w:val="14"/>
          <w:szCs w:val="14"/>
          <w:color w:val="auto"/>
        </w:rPr>
        <w:t>Do not check if smaller reporting company</w:t>
      </w:r>
    </w:p>
    <w:p>
      <w:pPr>
        <w:spacing w:after="0" w:line="8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160" w:firstLine="108"/>
        <w:spacing w:after="0" w:line="273" w:lineRule="auto"/>
        <w:rPr>
          <w:sz w:val="20"/>
          <w:szCs w:val="20"/>
          <w:color w:val="auto"/>
        </w:rPr>
      </w:pPr>
      <w:r>
        <w:rPr>
          <w:rFonts w:ascii="Arial" w:cs="Arial" w:eastAsia="Arial" w:hAnsi="Arial"/>
          <w:sz w:val="14"/>
          <w:szCs w:val="14"/>
          <w:color w:val="auto"/>
        </w:rPr>
        <w:t>The aggregate market value of the voting stock held by non-affiliates of the registrant (assuming only for purposes of this computation that directors and executive officers may be affiliates) was approximately $46.1 billion on June 30, 2013.</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As of January 30, 2014 the number of shares outstanding of common stock was 1,589,788,282 shares.</w:t>
      </w:r>
    </w:p>
    <w:p>
      <w:pPr>
        <w:spacing w:after="0" w:line="213"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left="80"/>
        <w:spacing w:after="0"/>
        <w:rPr>
          <w:sz w:val="20"/>
          <w:szCs w:val="20"/>
          <w:color w:val="auto"/>
        </w:rPr>
      </w:pPr>
      <w:r>
        <w:rPr>
          <w:rFonts w:ascii="Arial" w:cs="Arial" w:eastAsia="Arial" w:hAnsi="Arial"/>
          <w:sz w:val="14"/>
          <w:szCs w:val="14"/>
          <w:color w:val="auto"/>
        </w:rPr>
        <w:t>Portions of the registrant's definitive Proxy Statement related to the Annual Stockholders Meeting to be filed subsequently are incorporated by reference into Part III of this Form 10-K.</w:t>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PART I</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22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Business</w:t>
            </w:r>
          </w:p>
        </w:tc>
        <w:tc>
          <w:tcPr>
            <w:tcW w:w="8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w w:val="93"/>
              </w:rPr>
              <w:t>Risk Factors</w:t>
            </w:r>
          </w:p>
        </w:tc>
        <w:tc>
          <w:tcPr>
            <w:tcW w:w="8720" w:type="dxa"/>
            <w:vAlign w:val="bottom"/>
          </w:tcPr>
          <w:p>
            <w:pPr>
              <w:spacing w:after="0"/>
              <w:rPr>
                <w:sz w:val="17"/>
                <w:szCs w:val="17"/>
                <w:color w:val="auto"/>
              </w:rPr>
            </w:pP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rPr>
              <w:t>Properties</w:t>
            </w:r>
          </w:p>
        </w:tc>
        <w:tc>
          <w:tcPr>
            <w:tcW w:w="8720" w:type="dxa"/>
            <w:vAlign w:val="bottom"/>
          </w:tcPr>
          <w:p>
            <w:pPr>
              <w:spacing w:after="0"/>
              <w:rPr>
                <w:sz w:val="17"/>
                <w:szCs w:val="17"/>
                <w:color w:val="auto"/>
              </w:rPr>
            </w:pP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PART II</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26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59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Income Statements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Balance Sheets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70">
              <w:r>
                <w:rPr>
                  <w:rFonts w:ascii="Arial" w:cs="Arial" w:eastAsia="Arial" w:hAnsi="Arial"/>
                  <w:sz w:val="18"/>
                  <w:szCs w:val="18"/>
                  <w:color w:val="0000FF"/>
                </w:rPr>
                <w:t>67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Statements of Equity</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69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69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Acquisition of Businesses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78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79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81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83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 net</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83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84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Property, net</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87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Goodwill</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89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Intangible Assets, net</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91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98">
              <w:r>
                <w:rPr>
                  <w:rFonts w:ascii="Arial" w:cs="Arial" w:eastAsia="Arial" w:hAnsi="Arial"/>
                  <w:sz w:val="18"/>
                  <w:szCs w:val="18"/>
                  <w:color w:val="0000FF"/>
                </w:rPr>
                <w:t>93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Accrued Liabilities, Other Liabilities and Deferred Income Taxes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100">
              <w:r>
                <w:rPr>
                  <w:rFonts w:ascii="Arial" w:cs="Arial" w:eastAsia="Arial" w:hAnsi="Arial"/>
                  <w:sz w:val="18"/>
                  <w:szCs w:val="18"/>
                  <w:color w:val="0000FF"/>
                </w:rPr>
                <w:t>95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Short-Term and Long-Term Debt</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00">
              <w:r>
                <w:rPr>
                  <w:rFonts w:ascii="Arial" w:cs="Arial" w:eastAsia="Arial" w:hAnsi="Arial"/>
                  <w:sz w:val="18"/>
                  <w:szCs w:val="18"/>
                  <w:color w:val="0000FF"/>
                </w:rPr>
                <w:t>95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15.</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right"/>
              <w:spacing w:after="0" w:line="202"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17">
              <w:r>
                <w:rPr>
                  <w:rFonts w:ascii="Arial" w:cs="Arial" w:eastAsia="Arial" w:hAnsi="Arial"/>
                  <w:sz w:val="18"/>
                  <w:szCs w:val="18"/>
                  <w:color w:val="0000FF"/>
                </w:rPr>
                <w:t>112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17.</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right"/>
              <w:spacing w:after="0" w:line="202" w:lineRule="exact"/>
              <w:rPr>
                <w:rFonts w:ascii="Arial" w:cs="Arial" w:eastAsia="Arial" w:hAnsi="Arial"/>
                <w:sz w:val="18"/>
                <w:szCs w:val="18"/>
                <w:color w:val="0000FF"/>
                <w:w w:val="86"/>
              </w:rPr>
            </w:pPr>
            <w:hyperlink w:anchor="page117">
              <w:r>
                <w:rPr>
                  <w:rFonts w:ascii="Arial" w:cs="Arial" w:eastAsia="Arial" w:hAnsi="Arial"/>
                  <w:sz w:val="18"/>
                  <w:szCs w:val="18"/>
                  <w:color w:val="0000FF"/>
                  <w:w w:val="86"/>
                </w:rPr>
                <w:t>112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116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19.</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right"/>
              <w:spacing w:after="0" w:line="202" w:lineRule="exact"/>
              <w:rPr>
                <w:rFonts w:ascii="Arial" w:cs="Arial" w:eastAsia="Arial" w:hAnsi="Arial"/>
                <w:sz w:val="18"/>
                <w:szCs w:val="18"/>
                <w:color w:val="0000FF"/>
                <w:w w:val="86"/>
              </w:rPr>
            </w:pPr>
            <w:hyperlink w:anchor="page125">
              <w:r>
                <w:rPr>
                  <w:rFonts w:ascii="Arial" w:cs="Arial" w:eastAsia="Arial" w:hAnsi="Arial"/>
                  <w:sz w:val="18"/>
                  <w:szCs w:val="18"/>
                  <w:color w:val="0000FF"/>
                  <w:w w:val="86"/>
                </w:rPr>
                <w:t>120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Interest Income and Other Non-Operating Income, net</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27">
              <w:r>
                <w:rPr>
                  <w:rFonts w:ascii="Arial" w:cs="Arial" w:eastAsia="Arial" w:hAnsi="Arial"/>
                  <w:sz w:val="18"/>
                  <w:szCs w:val="18"/>
                  <w:color w:val="0000FF"/>
                </w:rPr>
                <w:t>122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21.</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right"/>
              <w:spacing w:after="0" w:line="202" w:lineRule="exact"/>
              <w:rPr>
                <w:rFonts w:ascii="Arial" w:cs="Arial" w:eastAsia="Arial" w:hAnsi="Arial"/>
                <w:sz w:val="18"/>
                <w:szCs w:val="18"/>
                <w:color w:val="0000FF"/>
                <w:w w:val="86"/>
              </w:rPr>
            </w:pPr>
            <w:hyperlink w:anchor="page127">
              <w:r>
                <w:rPr>
                  <w:rFonts w:ascii="Arial" w:cs="Arial" w:eastAsia="Arial" w:hAnsi="Arial"/>
                  <w:sz w:val="18"/>
                  <w:szCs w:val="18"/>
                  <w:color w:val="0000FF"/>
                  <w:w w:val="86"/>
                </w:rPr>
                <w:t>122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29">
              <w:r>
                <w:rPr>
                  <w:rFonts w:ascii="Arial" w:cs="Arial" w:eastAsia="Arial" w:hAnsi="Arial"/>
                  <w:sz w:val="18"/>
                  <w:szCs w:val="18"/>
                  <w:color w:val="0000FF"/>
                </w:rPr>
                <w:t>124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23.</w:t>
            </w:r>
          </w:p>
        </w:tc>
        <w:tc>
          <w:tcPr>
            <w:tcW w:w="87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gridSpan w:val="3"/>
            <w:shd w:val="clear" w:color="auto" w:fill="CCEEFF"/>
          </w:tcPr>
          <w:p>
            <w:pPr>
              <w:jc w:val="right"/>
              <w:spacing w:after="0" w:line="202" w:lineRule="exact"/>
              <w:rPr>
                <w:rFonts w:ascii="Arial" w:cs="Arial" w:eastAsia="Arial" w:hAnsi="Arial"/>
                <w:sz w:val="18"/>
                <w:szCs w:val="18"/>
                <w:color w:val="0000FF"/>
                <w:w w:val="86"/>
              </w:rPr>
            </w:pPr>
            <w:hyperlink w:anchor="page131">
              <w:r>
                <w:rPr>
                  <w:rFonts w:ascii="Arial" w:cs="Arial" w:eastAsia="Arial" w:hAnsi="Arial"/>
                  <w:sz w:val="18"/>
                  <w:szCs w:val="18"/>
                  <w:color w:val="0000FF"/>
                  <w:w w:val="86"/>
                </w:rPr>
                <w:t>126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Supplementary Quarterly Financial Information (Unaudited)</w:t>
            </w:r>
          </w:p>
        </w:tc>
        <w:tc>
          <w:tcPr>
            <w:tcW w:w="560" w:type="dxa"/>
            <w:vAlign w:val="bottom"/>
            <w:gridSpan w:val="5"/>
          </w:tcPr>
          <w:p>
            <w:pPr>
              <w:jc w:val="right"/>
              <w:ind w:right="20"/>
              <w:spacing w:after="0" w:line="202" w:lineRule="exact"/>
              <w:rPr>
                <w:rFonts w:ascii="Arial" w:cs="Arial" w:eastAsia="Arial" w:hAnsi="Arial"/>
                <w:sz w:val="18"/>
                <w:szCs w:val="18"/>
                <w:color w:val="0000FF"/>
              </w:rPr>
            </w:pPr>
            <w:hyperlink w:anchor="page132">
              <w:r>
                <w:rPr>
                  <w:rFonts w:ascii="Arial" w:cs="Arial" w:eastAsia="Arial" w:hAnsi="Arial"/>
                  <w:sz w:val="18"/>
                  <w:szCs w:val="18"/>
                  <w:color w:val="0000FF"/>
                </w:rPr>
                <w:t>127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FF"/>
              </w:rPr>
            </w:pPr>
            <w:hyperlink w:anchor="page133">
              <w:r>
                <w:rPr>
                  <w:rFonts w:ascii="Arial" w:cs="Arial" w:eastAsia="Arial" w:hAnsi="Arial"/>
                  <w:sz w:val="18"/>
                  <w:szCs w:val="18"/>
                  <w:color w:val="0000FF"/>
                </w:rPr>
                <w:t>128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3"/>
        </w:trPr>
        <w:tc>
          <w:tcPr>
            <w:tcW w:w="980" w:type="dxa"/>
            <w:vAlign w:val="bottom"/>
          </w:tcPr>
          <w:p>
            <w:pPr>
              <w:spacing w:after="0"/>
              <w:rPr>
                <w:sz w:val="17"/>
                <w:szCs w:val="17"/>
                <w:color w:val="auto"/>
              </w:rPr>
            </w:pPr>
          </w:p>
        </w:tc>
        <w:tc>
          <w:tcPr>
            <w:tcW w:w="1100" w:type="dxa"/>
            <w:vAlign w:val="bottom"/>
          </w:tcPr>
          <w:p>
            <w:pPr>
              <w:ind w:left="340"/>
              <w:spacing w:after="0" w:line="202" w:lineRule="exact"/>
              <w:rPr>
                <w:sz w:val="20"/>
                <w:szCs w:val="20"/>
                <w:color w:val="auto"/>
              </w:rPr>
            </w:pPr>
            <w:r>
              <w:rPr>
                <w:rFonts w:ascii="Arial" w:cs="Arial" w:eastAsia="Arial" w:hAnsi="Arial"/>
                <w:sz w:val="18"/>
                <w:szCs w:val="18"/>
                <w:color w:val="auto"/>
              </w:rPr>
              <w:t>Note 26.</w:t>
            </w:r>
          </w:p>
        </w:tc>
        <w:tc>
          <w:tcPr>
            <w:tcW w:w="8780" w:type="dxa"/>
            <w:vAlign w:val="bottom"/>
          </w:tcPr>
          <w:p>
            <w:pPr>
              <w:ind w:left="120"/>
              <w:spacing w:after="0" w:line="202" w:lineRule="exact"/>
              <w:rPr>
                <w:sz w:val="20"/>
                <w:szCs w:val="20"/>
                <w:color w:val="auto"/>
              </w:rPr>
            </w:pPr>
            <w:r>
              <w:rPr>
                <w:rFonts w:ascii="Arial" w:cs="Arial" w:eastAsia="Arial" w:hAnsi="Arial"/>
                <w:sz w:val="18"/>
                <w:szCs w:val="18"/>
                <w:color w:val="auto"/>
              </w:rPr>
              <w:t>Supplemental Information for the Consolidated Statements of Cash Flows</w:t>
            </w:r>
          </w:p>
        </w:tc>
        <w:tc>
          <w:tcPr>
            <w:tcW w:w="540" w:type="dxa"/>
            <w:vAlign w:val="bottom"/>
            <w:gridSpan w:val="2"/>
          </w:tcPr>
          <w:p>
            <w:pPr>
              <w:jc w:val="right"/>
              <w:spacing w:after="0" w:line="202" w:lineRule="exact"/>
              <w:rPr>
                <w:rFonts w:ascii="Arial" w:cs="Arial" w:eastAsia="Arial" w:hAnsi="Arial"/>
                <w:sz w:val="18"/>
                <w:szCs w:val="18"/>
                <w:color w:val="0000FF"/>
              </w:rPr>
            </w:pPr>
            <w:hyperlink w:anchor="page137">
              <w:r>
                <w:rPr>
                  <w:rFonts w:ascii="Arial" w:cs="Arial" w:eastAsia="Arial" w:hAnsi="Arial"/>
                  <w:sz w:val="18"/>
                  <w:szCs w:val="18"/>
                  <w:color w:val="0000FF"/>
                </w:rPr>
                <w:t>132</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38">
              <w:r>
                <w:rPr>
                  <w:rFonts w:ascii="Arial" w:cs="Arial" w:eastAsia="Arial" w:hAnsi="Arial"/>
                  <w:sz w:val="18"/>
                  <w:szCs w:val="18"/>
                  <w:color w:val="0000FF"/>
                  <w:w w:val="86"/>
                </w:rPr>
                <w:t>133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540" w:type="dxa"/>
            <w:vAlign w:val="bottom"/>
            <w:gridSpan w:val="2"/>
          </w:tcPr>
          <w:p>
            <w:pPr>
              <w:jc w:val="right"/>
              <w:spacing w:after="0" w:line="202" w:lineRule="exact"/>
              <w:rPr>
                <w:rFonts w:ascii="Arial" w:cs="Arial" w:eastAsia="Arial" w:hAnsi="Arial"/>
                <w:sz w:val="18"/>
                <w:szCs w:val="18"/>
                <w:color w:val="0000FF"/>
              </w:rPr>
            </w:pPr>
            <w:hyperlink w:anchor="page138">
              <w:r>
                <w:rPr>
                  <w:rFonts w:ascii="Arial" w:cs="Arial" w:eastAsia="Arial" w:hAnsi="Arial"/>
                  <w:sz w:val="18"/>
                  <w:szCs w:val="18"/>
                  <w:color w:val="0000FF"/>
                </w:rPr>
                <w:t>133</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139">
              <w:r>
                <w:rPr>
                  <w:rFonts w:ascii="Arial" w:cs="Arial" w:eastAsia="Arial" w:hAnsi="Arial"/>
                  <w:sz w:val="18"/>
                  <w:szCs w:val="18"/>
                  <w:color w:val="0000FF"/>
                </w:rPr>
                <w:t>135</w:t>
              </w:r>
            </w:hyperlink>
          </w:p>
        </w:tc>
        <w:tc>
          <w:tcPr>
            <w:tcW w:w="20" w:type="dxa"/>
            <w:vAlign w:val="bottom"/>
            <w:shd w:val="clear" w:color="auto" w:fill="CCEEFF"/>
          </w:tcPr>
          <w:p>
            <w:pPr>
              <w:spacing w:after="0"/>
              <w:rPr>
                <w:sz w:val="21"/>
                <w:szCs w:val="21"/>
                <w:color w:val="auto"/>
              </w:rPr>
            </w:pPr>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III</w:t>
            </w:r>
          </w:p>
        </w:tc>
        <w:tc>
          <w:tcPr>
            <w:tcW w:w="260" w:type="dxa"/>
            <w:vAlign w:val="bottom"/>
            <w:tcBorders>
              <w:top w:val="single" w:sz="8" w:color="CCEE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8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41">
              <w:r>
                <w:rPr>
                  <w:rFonts w:ascii="Arial" w:cs="Arial" w:eastAsia="Arial" w:hAnsi="Arial"/>
                  <w:sz w:val="18"/>
                  <w:szCs w:val="18"/>
                  <w:color w:val="0000FF"/>
                  <w:w w:val="86"/>
                </w:rPr>
                <w:t>136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Executive Compensation</w:t>
            </w:r>
          </w:p>
        </w:tc>
        <w:tc>
          <w:tcPr>
            <w:tcW w:w="540" w:type="dxa"/>
            <w:vAlign w:val="bottom"/>
            <w:gridSpan w:val="2"/>
          </w:tcPr>
          <w:p>
            <w:pPr>
              <w:jc w:val="right"/>
              <w:spacing w:after="0" w:line="202" w:lineRule="exact"/>
              <w:rPr>
                <w:rFonts w:ascii="Arial" w:cs="Arial" w:eastAsia="Arial" w:hAnsi="Arial"/>
                <w:sz w:val="18"/>
                <w:szCs w:val="18"/>
                <w:color w:val="0000FF"/>
              </w:rPr>
            </w:pPr>
            <w:hyperlink w:anchor="page141">
              <w:r>
                <w:rPr>
                  <w:rFonts w:ascii="Arial" w:cs="Arial" w:eastAsia="Arial" w:hAnsi="Arial"/>
                  <w:sz w:val="18"/>
                  <w:szCs w:val="18"/>
                  <w:color w:val="0000FF"/>
                </w:rPr>
                <w:t>136</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880" w:type="dxa"/>
            <w:vAlign w:val="bottom"/>
            <w:tcBorders>
              <w:bottom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41">
              <w:r>
                <w:rPr>
                  <w:rFonts w:ascii="Arial" w:cs="Arial" w:eastAsia="Arial" w:hAnsi="Arial"/>
                  <w:sz w:val="18"/>
                  <w:szCs w:val="18"/>
                  <w:color w:val="0000FF"/>
                  <w:w w:val="86"/>
                </w:rPr>
                <w:t>136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9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2"/>
          </w:tcPr>
          <w:p>
            <w:pPr>
              <w:jc w:val="right"/>
              <w:spacing w:after="0" w:line="202" w:lineRule="exact"/>
              <w:rPr>
                <w:rFonts w:ascii="Arial" w:cs="Arial" w:eastAsia="Arial" w:hAnsi="Arial"/>
                <w:sz w:val="18"/>
                <w:szCs w:val="18"/>
                <w:color w:val="0000FF"/>
              </w:rPr>
            </w:pPr>
            <w:hyperlink w:anchor="page141">
              <w:r>
                <w:rPr>
                  <w:rFonts w:ascii="Arial" w:cs="Arial" w:eastAsia="Arial" w:hAnsi="Arial"/>
                  <w:sz w:val="18"/>
                  <w:szCs w:val="18"/>
                  <w:color w:val="0000FF"/>
                </w:rPr>
                <w:t>136</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8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Accountant Fees and Services</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141">
              <w:r>
                <w:rPr>
                  <w:rFonts w:ascii="Arial" w:cs="Arial" w:eastAsia="Arial" w:hAnsi="Arial"/>
                  <w:sz w:val="18"/>
                  <w:szCs w:val="18"/>
                  <w:color w:val="0000FF"/>
                </w:rPr>
                <w:t>136</w:t>
              </w:r>
            </w:hyperlink>
          </w:p>
        </w:tc>
        <w:tc>
          <w:tcPr>
            <w:tcW w:w="20" w:type="dxa"/>
            <w:vAlign w:val="bottom"/>
            <w:shd w:val="clear" w:color="auto" w:fill="CCEEFF"/>
          </w:tcPr>
          <w:p>
            <w:pPr>
              <w:spacing w:after="0"/>
              <w:rPr>
                <w:sz w:val="21"/>
                <w:szCs w:val="21"/>
                <w:color w:val="auto"/>
              </w:rPr>
            </w:pPr>
          </w:p>
        </w:tc>
      </w:tr>
      <w:tr>
        <w:trPr>
          <w:trHeight w:val="243"/>
        </w:trPr>
        <w:tc>
          <w:tcPr>
            <w:tcW w:w="9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8780" w:type="dxa"/>
            <w:vAlign w:val="bottom"/>
            <w:tcBorders>
              <w:top w:val="single" w:sz="8" w:color="CCEEFF"/>
            </w:tcBorders>
          </w:tcPr>
          <w:p>
            <w:pPr>
              <w:ind w:left="3280"/>
              <w:spacing w:after="0"/>
              <w:rPr>
                <w:sz w:val="20"/>
                <w:szCs w:val="20"/>
                <w:color w:val="auto"/>
              </w:rPr>
            </w:pPr>
            <w:r>
              <w:rPr>
                <w:rFonts w:ascii="Arial" w:cs="Arial" w:eastAsia="Arial" w:hAnsi="Arial"/>
                <w:sz w:val="18"/>
                <w:szCs w:val="18"/>
                <w:b w:val="1"/>
                <w:bCs w:val="1"/>
                <w:color w:val="auto"/>
              </w:rPr>
              <w:t>PART IV</w:t>
            </w:r>
          </w:p>
        </w:tc>
        <w:tc>
          <w:tcPr>
            <w:tcW w:w="260" w:type="dxa"/>
            <w:vAlign w:val="bottom"/>
            <w:tcBorders>
              <w:top w:val="single" w:sz="8" w:color="CCEE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11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8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86"/>
              </w:rPr>
            </w:pPr>
            <w:hyperlink w:anchor="page141">
              <w:r>
                <w:rPr>
                  <w:rFonts w:ascii="Arial" w:cs="Arial" w:eastAsia="Arial" w:hAnsi="Arial"/>
                  <w:sz w:val="18"/>
                  <w:szCs w:val="18"/>
                  <w:color w:val="0000FF"/>
                  <w:w w:val="86"/>
                </w:rPr>
                <w:t>136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Signatures</w:t>
            </w:r>
          </w:p>
        </w:tc>
        <w:tc>
          <w:tcPr>
            <w:tcW w:w="110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0000FF"/>
            </w:tcBorders>
          </w:tcPr>
          <w:p>
            <w:pPr>
              <w:jc w:val="right"/>
              <w:spacing w:after="0" w:line="202" w:lineRule="exact"/>
              <w:rPr>
                <w:rFonts w:ascii="Arial" w:cs="Arial" w:eastAsia="Arial" w:hAnsi="Arial"/>
                <w:sz w:val="18"/>
                <w:szCs w:val="18"/>
                <w:color w:val="0000FF"/>
                <w:w w:val="86"/>
              </w:rPr>
            </w:pPr>
            <w:hyperlink w:anchor="page143">
              <w:r>
                <w:rPr>
                  <w:rFonts w:ascii="Arial" w:cs="Arial" w:eastAsia="Arial" w:hAnsi="Arial"/>
                  <w:sz w:val="18"/>
                  <w:szCs w:val="18"/>
                  <w:color w:val="0000FF"/>
                  <w:w w:val="86"/>
                </w:rPr>
                <w:t>139</w:t>
              </w:r>
            </w:hyperlink>
          </w:p>
        </w:tc>
        <w:tc>
          <w:tcPr>
            <w:tcW w:w="20" w:type="dxa"/>
            <w:vAlign w:val="bottom"/>
          </w:tcPr>
          <w:p>
            <w:pPr>
              <w:spacing w:after="0"/>
              <w:rPr>
                <w:sz w:val="17"/>
                <w:szCs w:val="17"/>
                <w:color w:val="auto"/>
              </w:rPr>
            </w:pPr>
          </w:p>
        </w:tc>
      </w:tr>
    </w:tbl>
    <w:p>
      <w:pPr>
        <w:sectPr>
          <w:pgSz w:w="11900" w:h="16838" w:orient="portrait"/>
          <w:cols w:equalWidth="0" w:num="1">
            <w:col w:w="11420"/>
          </w:cols>
          <w:pgMar w:left="240" w:top="346"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General Motors Company (sometimes referred to as “we,” “our,” “us,” “ourselves,” the “Company,” “General Motors,” or “GM") was incorporated as a Delaware corporation in 2009 and on July 10, 2009 acquired substantially all of the assets and assumed certain liabilities of General Motors Corporation through a Section 363 sale under Chapter 11 of the U.S. Bankruptcy Code (363 Sale). General Motors Corporation is sometimes referred to in this Annual Report on Form 10-K (2013 Form 10-K), for the periods on or before July 9, 2009, as “Old GM," as it is the predecessor entity solely for accounting and financial reporting purposes. On July 10, 2009 in connection with the 363 Sale, General Motors Corporation changed its name to Motors Liquidation Company, which is sometimes referred to in this 2013 Form 10-K for the periods after July 10, 2009 as “MLC.” On December 15, 2011 MLC was dissolved and the Motors Liquidation Company GUC Trust (GUC Trust) assumed responsibility for the affairs of and certain claims against MLC and its debtor subsidiaries that were not concluded prior to MLC's dissolution. MLC transferred to the GUC Trust all of MLC's remaining undistributed shares of our common stock and warrants to acquire our common stock.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total worldwide retail vehicle sales were 9.7 million, 9.3 million and 9.0 million in the years ended December 31, 2013, 2012 and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GMNA primarily meets the demands of customers in North America with vehicles developed, manufactured and/or marketed under the following brands:</w:t>
      </w:r>
    </w:p>
    <w:p>
      <w:pPr>
        <w:spacing w:after="0" w:line="194" w:lineRule="exact"/>
        <w:rPr>
          <w:sz w:val="20"/>
          <w:szCs w:val="20"/>
          <w:color w:val="auto"/>
        </w:rPr>
      </w:pPr>
    </w:p>
    <w:p>
      <w:pPr>
        <w:ind w:left="280"/>
        <w:spacing w:after="0"/>
        <w:tabs>
          <w:tab w:leader="none" w:pos="540" w:val="left"/>
          <w:tab w:leader="none" w:pos="3120" w:val="left"/>
          <w:tab w:leader="none" w:pos="3400" w:val="left"/>
          <w:tab w:leader="none" w:pos="5980" w:val="left"/>
          <w:tab w:leader="none" w:pos="6260" w:val="left"/>
          <w:tab w:leader="none" w:pos="8820" w:val="left"/>
          <w:tab w:leader="none" w:pos="910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tab/>
        <w:t>GMC</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demands of customers outside North America are primarily met with vehicles developed, manufactured and/or marketed under the following brands:</w:t>
      </w:r>
    </w:p>
    <w:p>
      <w:pPr>
        <w:sectPr>
          <w:pgSz w:w="11900" w:h="16838" w:orient="portrait"/>
          <w:cols w:equalWidth="0" w:num="1">
            <w:col w:w="11420"/>
          </w:cols>
          <w:pgMar w:left="240" w:top="341"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6" w:lineRule="exact"/>
        <w:rPr>
          <w:sz w:val="20"/>
          <w:szCs w:val="20"/>
          <w:color w:val="auto"/>
        </w:rPr>
      </w:pPr>
    </w:p>
    <w:p>
      <w:pPr>
        <w:sectPr>
          <w:pgSz w:w="11900" w:h="16838" w:orient="portrait"/>
          <w:cols w:equalWidth="0" w:num="8">
            <w:col w:w="340" w:space="220"/>
            <w:col w:w="1860" w:space="720"/>
            <w:col w:w="60" w:space="220"/>
            <w:col w:w="1860" w:space="720"/>
            <w:col w:w="60" w:space="220"/>
            <w:col w:w="1840" w:space="720"/>
            <w:col w:w="60" w:space="220"/>
            <w:col w:w="2300"/>
          </w:cols>
          <w:pgMar w:left="240" w:top="341"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60" w:space="720"/>
            <w:col w:w="60" w:space="220"/>
            <w:col w:w="1860" w:space="720"/>
            <w:col w:w="60" w:space="220"/>
            <w:col w:w="5140"/>
          </w:cols>
          <w:pgMar w:left="240" w:top="341" w:right="239" w:bottom="1440" w:gutter="0" w:footer="0" w:header="0"/>
          <w:type w:val="continuous"/>
        </w:sectPr>
      </w:pPr>
    </w:p>
    <w:p>
      <w:pPr>
        <w:spacing w:after="0" w:line="5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At December 31, 2013 we also had equity ownership stakes directly or indirectly in entities through various regional subsidiaries, primarily in Asia that design, manufacture and market vehicles under the following brands:</w:t>
      </w:r>
    </w:p>
    <w:p>
      <w:pPr>
        <w:sectPr>
          <w:pgSz w:w="11900" w:h="16838" w:orient="portrait"/>
          <w:cols w:equalWidth="0" w:num="1">
            <w:col w:w="11420"/>
          </w:cols>
          <w:pgMar w:left="240" w:top="341" w:right="239" w:bottom="1440" w:gutter="0" w:footer="0" w:header="0"/>
          <w:type w:val="continuous"/>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5" w:lineRule="exact"/>
        <w:rPr>
          <w:sz w:val="20"/>
          <w:szCs w:val="20"/>
          <w:color w:val="auto"/>
        </w:rPr>
      </w:pPr>
    </w:p>
    <w:p>
      <w:pPr>
        <w:sectPr>
          <w:pgSz w:w="11900" w:h="16838" w:orient="portrait"/>
          <w:cols w:equalWidth="0" w:num="8">
            <w:col w:w="340" w:space="220"/>
            <w:col w:w="1860" w:space="720"/>
            <w:col w:w="60" w:space="220"/>
            <w:col w:w="1860" w:space="720"/>
            <w:col w:w="60" w:space="220"/>
            <w:col w:w="1840" w:space="720"/>
            <w:col w:w="60" w:space="220"/>
            <w:col w:w="2300"/>
          </w:cols>
          <w:pgMar w:left="240" w:top="341"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11" w:lineRule="exact"/>
        <w:rPr>
          <w:sz w:val="20"/>
          <w:szCs w:val="20"/>
          <w:color w:val="auto"/>
        </w:rPr>
      </w:pPr>
    </w:p>
    <w:p>
      <w:pPr>
        <w:sectPr>
          <w:pgSz w:w="11900" w:h="16838" w:orient="portrait"/>
          <w:cols w:equalWidth="0" w:num="6">
            <w:col w:w="340" w:space="220"/>
            <w:col w:w="1860" w:space="720"/>
            <w:col w:w="60" w:space="220"/>
            <w:col w:w="1860" w:space="720"/>
            <w:col w:w="60" w:space="220"/>
            <w:col w:w="5140"/>
          </w:cols>
          <w:pgMar w:left="240" w:top="341" w:right="239" w:bottom="1440" w:gutter="0" w:footer="0" w:header="0"/>
          <w:type w:val="continuous"/>
        </w:sectPr>
      </w:pPr>
    </w:p>
    <w:p>
      <w:pPr>
        <w:spacing w:after="0" w:line="6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we sell to our dealers for consumer retail sales, we also sell cars and trucks to fleet customers, including daily rental car companies, commercial fleet customers, leasing companies and governments. We sell vehicles to fleet customers directly or through our network of dealers. Our retail and fleet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Competitive Position</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Information in this 2013 Form 10-K relating to our relative position in the global automotive industry is based upon the good faith estimates of management and includes all sales by joint ventures on a total vehicle basis, not based on the percentage of ownership in the joint venture. Market share information in this 2013 Form 10-K is based on retail vehicle sales volume. Retail vehicle sales data, which represents estimated sales to the end customer, including fleets, does not correlate directly to the revenue we recognize during the period. However, retail vehicle sales data is indicative of the underlying demand for our vehicles. Worldwide market share and vehicle sales data excludes the markets of Cuba, Iran, North Korea, Sudan and Syria.</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sales volume includes vehicles produced by certain joint ventures. The joint venture agreements with SAIC-GM-Wuling Automobile Co., Ltd. (SGMW) and FAW-GM Light Duty Commercial Vehicle Co., Ltd. (FAW-GM) allow for significant rights as a member as well as the contractual right to report SGMW and FAW-GM joint venture sales in China.</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global automotive industry is highly competitive. The principal factors that determine consumer vehicle preferences in the markets in which we operate include price, quality, available options, style, safety, reliability, fuel economy and functionality. Market leadership in individual countries in which we compete varies widely.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Wholesale and Retail Vehicle Sales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Wholesale vehicle sales data, which represents sales directly to dealers and others, is the measure that correlates vehicle sales to our revenue from the sale of vehicles, which is the largest component of automotive Net sales and revenue. Wholesale vehicle sales exclude vehicles produced by nonconsolidated joint ventures. The following table summarizes total wholesale vehicle sales of new vehicles by automotive segment (vehicles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4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GME</w:t>
            </w: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460" w:type="dxa"/>
            <w:vAlign w:val="bottom"/>
            <w:gridSpan w:val="3"/>
          </w:tcPr>
          <w:p>
            <w:pPr>
              <w:jc w:val="right"/>
              <w:ind w:right="28"/>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4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GMSA</w:t>
            </w:r>
          </w:p>
        </w:tc>
        <w:tc>
          <w:tcPr>
            <w:tcW w:w="1160" w:type="dxa"/>
            <w:vAlign w:val="bottom"/>
          </w:tcPr>
          <w:p>
            <w:pPr>
              <w:jc w:val="right"/>
              <w:spacing w:after="0"/>
              <w:rPr>
                <w:sz w:val="20"/>
                <w:szCs w:val="20"/>
                <w:color w:val="auto"/>
              </w:rPr>
            </w:pPr>
            <w:r>
              <w:rPr>
                <w:rFonts w:ascii="Arial" w:cs="Arial" w:eastAsia="Arial" w:hAnsi="Arial"/>
                <w:sz w:val="18"/>
                <w:szCs w:val="18"/>
                <w:color w:val="auto"/>
              </w:rPr>
              <w:t>1,053</w:t>
            </w:r>
          </w:p>
        </w:tc>
        <w:tc>
          <w:tcPr>
            <w:tcW w:w="1460" w:type="dxa"/>
            <w:vAlign w:val="bottom"/>
            <w:gridSpan w:val="3"/>
          </w:tcPr>
          <w:p>
            <w:pPr>
              <w:jc w:val="right"/>
              <w:ind w:right="28"/>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1,090</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4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6,445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year ended December 31, 2013 71.3% of our retail vehicle sales volume was generated outside the U.S. The following table summarizes total industry retail sales volume, or estimated sales volume where retail sales volume is not available, of new vehicles of domestic and foreign makes and the related competitive position by geographic region (vehicles in thousands):</w:t>
      </w:r>
    </w:p>
    <w:p>
      <w:pPr>
        <w:spacing w:after="0" w:line="119"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32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13335</wp:posOffset>
            </wp:positionV>
            <wp:extent cx="5179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GM as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9"/>
              </w:rPr>
              <w:t>GM as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 % of</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 % of</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51"/>
              <w:spacing w:after="0"/>
              <w:rPr>
                <w:sz w:val="20"/>
                <w:szCs w:val="20"/>
                <w:color w:val="auto"/>
              </w:rPr>
            </w:pPr>
            <w:r>
              <w:rPr>
                <w:rFonts w:ascii="Arial" w:cs="Arial" w:eastAsia="Arial" w:hAnsi="Arial"/>
                <w:sz w:val="18"/>
                <w:szCs w:val="18"/>
                <w:color w:val="auto"/>
              </w:rPr>
              <w:t>GM</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8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8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Europe</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Germany</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10,074</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10,248</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China(d)</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18,697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Other(d)</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18,676</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18,834</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15,944</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Total Asia/Pacific, Middle East and Africa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34,641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Worldwide(e)</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84,595</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9,715</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80,908</w:t>
            </w: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9,297</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76,225</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9,024</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Cars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Crossovers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2,786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14,794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2,596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13,048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2"/>
        <w:spacing w:after="0" w:line="24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North America vehicle sales primarily represent sales to the end customer. Europe, Asia/Pacific, Middle East and Africa and South America vehicle sales primarily represent estimated sales to the end customer. In countries where end customer data is not readily available other data sources, such as wholesale or forecast volumes, are used to estimate vehicle sales.</w:t>
      </w:r>
    </w:p>
    <w:p>
      <w:pPr>
        <w:spacing w:after="0" w:line="1" w:lineRule="exact"/>
        <w:rPr>
          <w:sz w:val="20"/>
          <w:szCs w:val="20"/>
          <w:color w:val="auto"/>
        </w:rPr>
      </w:pPr>
    </w:p>
    <w:p>
      <w:pPr>
        <w:ind w:left="340" w:right="20" w:hanging="323"/>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b) Certain fleet sales that are accounted for as operating leases are included in vehicle sales at the time of delivery to the daily rental car companies; however, revenue is not</w:t>
      </w:r>
      <w:r>
        <w:rPr>
          <w:rFonts w:ascii="Arial" w:cs="Arial" w:eastAsia="Arial" w:hAnsi="Arial"/>
          <w:sz w:val="18"/>
          <w:szCs w:val="18"/>
          <w:color w:val="auto"/>
        </w:rPr>
        <w:t xml:space="preserve"> </w:t>
      </w:r>
      <w:r>
        <w:rPr>
          <w:rFonts w:ascii="Arial" w:cs="Arial" w:eastAsia="Arial" w:hAnsi="Arial"/>
          <w:sz w:val="16"/>
          <w:szCs w:val="16"/>
          <w:color w:val="auto"/>
        </w:rPr>
        <w:t>recognized at the date of initial delivery due to guaranteed repurchase obligations.</w:t>
      </w: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Vehicle sales data may include rounding differences.</w:t>
      </w:r>
    </w:p>
    <w:p>
      <w:pPr>
        <w:spacing w:after="0" w:line="15"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vehicle sales for joint ventures in the table below. Joint venture vehicle sales for General Motors India Private Limited and Chevrolet Sales India Private Limited (collectively GM India) are included in the table below through August 31, 2012. Refer to Notes 3 and 8 to our consolidated financial statements for further detail on our joint ventures and the acquisition of GM India.</w:t>
      </w:r>
    </w:p>
    <w:p>
      <w:pPr>
        <w:spacing w:after="0" w:line="208" w:lineRule="exact"/>
        <w:rPr>
          <w:sz w:val="20"/>
          <w:szCs w:val="20"/>
          <w:color w:val="auto"/>
        </w:rPr>
      </w:pPr>
    </w:p>
    <w:p>
      <w:pPr>
        <w:ind w:left="878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19685</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14"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72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2011</w:t>
            </w:r>
          </w:p>
        </w:tc>
      </w:tr>
      <w:tr>
        <w:trPr>
          <w:trHeight w:val="264"/>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Joint venture sales in China</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Shanghai General Motors Co., Ltd (SGM)</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1,200</w:t>
            </w:r>
          </w:p>
        </w:tc>
      </w:tr>
      <w:tr>
        <w:trPr>
          <w:trHeight w:val="264"/>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SAIC General Motors Sales Co., Ltd.</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1,512</w:t>
            </w:r>
          </w:p>
        </w:tc>
        <w:tc>
          <w:tcPr>
            <w:tcW w:w="10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SGMW and FAW-GM</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1,644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1,342</w:t>
            </w:r>
          </w:p>
        </w:tc>
      </w:tr>
      <w:tr>
        <w:trPr>
          <w:trHeight w:val="264"/>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Joint venture sales in India</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GM India</w:t>
            </w: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w:t>
            </w:r>
          </w:p>
        </w:tc>
      </w:tr>
    </w:tbl>
    <w:p>
      <w:pPr>
        <w:spacing w:after="0" w:line="179" w:lineRule="exact"/>
        <w:rPr>
          <w:sz w:val="20"/>
          <w:szCs w:val="20"/>
          <w:color w:val="auto"/>
        </w:rPr>
      </w:pPr>
    </w:p>
    <w:p>
      <w:pPr>
        <w:jc w:val="both"/>
        <w:ind w:left="340" w:hanging="332"/>
        <w:spacing w:after="0" w:line="25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vehicle sales volumes in the year ended December 31, 2013 reflect continued recovery in the U.S. despite an intense competitive environment. Growth was largely attributed to new portfolio entries. Our vehicle sales volumes in the year ended December 31, 2012 reflect an intensified competitive environment in the U.S., including aggressive competitor pricing and media spending, as well as key competitor new product launches. Our vehicle sales volumes in the year ended December 31, 2011 reflect the moderate improvement in certain facets of the U.S. economy which contributed to a slow but steady improvement in U.S. industry vehicle sales, as well as increased volumes in Russia and China.</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Fleet Sales and Deliveries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sales and market share data provided previously includes both retail and fleet vehicle sales. Certain fleet transactions, particularly daily rental, are generally less profitable than retail sales.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vehicle sales. Fleet sales data may include rounding differences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2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2011</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4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GME</w:t>
            </w:r>
          </w:p>
        </w:tc>
        <w:tc>
          <w:tcPr>
            <w:tcW w:w="4020" w:type="dxa"/>
            <w:vAlign w:val="bottom"/>
            <w:gridSpan w:val="2"/>
          </w:tcPr>
          <w:p>
            <w:pPr>
              <w:jc w:val="right"/>
              <w:ind w:right="108"/>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564</w:t>
            </w:r>
          </w:p>
        </w:tc>
      </w:tr>
      <w:tr>
        <w:trPr>
          <w:trHeight w:val="27"/>
        </w:trPr>
        <w:tc>
          <w:tcPr>
            <w:tcW w:w="45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GMSA</w:t>
            </w:r>
          </w:p>
        </w:tc>
        <w:tc>
          <w:tcPr>
            <w:tcW w:w="4020" w:type="dxa"/>
            <w:vAlign w:val="bottom"/>
            <w:gridSpan w:val="2"/>
          </w:tcPr>
          <w:p>
            <w:pPr>
              <w:jc w:val="right"/>
              <w:ind w:right="108"/>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246</w:t>
            </w:r>
          </w:p>
        </w:tc>
      </w:tr>
      <w:tr>
        <w:trPr>
          <w:trHeight w:val="27"/>
        </w:trPr>
        <w:tc>
          <w:tcPr>
            <w:tcW w:w="45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4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1,847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1,927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5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vehicle sales</w:t>
            </w:r>
          </w:p>
        </w:tc>
        <w:tc>
          <w:tcPr>
            <w:tcW w:w="4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432"/>
        </w:trPr>
        <w:tc>
          <w:tcPr>
            <w:tcW w:w="10400" w:type="dxa"/>
            <w:vAlign w:val="bottom"/>
            <w:gridSpan w:val="7"/>
          </w:tcPr>
          <w:p>
            <w:pPr>
              <w:ind w:left="180"/>
              <w:spacing w:after="0"/>
              <w:rPr>
                <w:sz w:val="20"/>
                <w:szCs w:val="20"/>
                <w:color w:val="auto"/>
              </w:rPr>
            </w:pPr>
            <w:r>
              <w:rPr>
                <w:rFonts w:ascii="Arial" w:cs="Arial" w:eastAsia="Arial" w:hAnsi="Arial"/>
                <w:sz w:val="18"/>
                <w:szCs w:val="18"/>
                <w:color w:val="auto"/>
                <w:w w:val="97"/>
              </w:rPr>
              <w:t>The following table summarizes U.S. fleet sales and those sales as a percentage of total U.S. vehicle sales (vehicles in thousands):</w:t>
            </w:r>
          </w:p>
        </w:tc>
        <w:tc>
          <w:tcPr>
            <w:tcW w:w="1020" w:type="dxa"/>
            <w:vAlign w:val="bottom"/>
          </w:tcPr>
          <w:p>
            <w:pPr>
              <w:spacing w:after="0"/>
              <w:rPr>
                <w:sz w:val="24"/>
                <w:szCs w:val="24"/>
                <w:color w:val="auto"/>
              </w:rPr>
            </w:pPr>
          </w:p>
        </w:tc>
      </w:tr>
      <w:tr>
        <w:trPr>
          <w:trHeight w:val="459"/>
        </w:trPr>
        <w:tc>
          <w:tcPr>
            <w:tcW w:w="4560" w:type="dxa"/>
            <w:vAlign w:val="bottom"/>
          </w:tcPr>
          <w:p>
            <w:pPr>
              <w:spacing w:after="0"/>
              <w:rPr>
                <w:sz w:val="24"/>
                <w:szCs w:val="24"/>
                <w:color w:val="auto"/>
              </w:rPr>
            </w:pPr>
          </w:p>
        </w:tc>
        <w:tc>
          <w:tcPr>
            <w:tcW w:w="2720" w:type="dxa"/>
            <w:vAlign w:val="bottom"/>
          </w:tcPr>
          <w:p>
            <w:pPr>
              <w:jc w:val="right"/>
              <w:ind w:right="1430"/>
              <w:spacing w:after="0"/>
              <w:rPr>
                <w:sz w:val="20"/>
                <w:szCs w:val="20"/>
                <w:color w:val="auto"/>
              </w:rPr>
            </w:pPr>
            <w:r>
              <w:rPr>
                <w:rFonts w:ascii="Arial" w:cs="Arial" w:eastAsia="Arial" w:hAnsi="Arial"/>
                <w:sz w:val="18"/>
                <w:szCs w:val="18"/>
                <w:color w:val="auto"/>
              </w:rPr>
              <w:t>4</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2011</w:t>
            </w: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417</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Other fleet sales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217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242</w:t>
            </w:r>
          </w:p>
        </w:tc>
        <w:tc>
          <w:tcPr>
            <w:tcW w:w="1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222</w:t>
            </w:r>
          </w:p>
        </w:tc>
      </w:tr>
      <w:tr>
        <w:trPr>
          <w:trHeight w:val="27"/>
        </w:trPr>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656</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673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8080" w:type="dxa"/>
            <w:vAlign w:val="bottom"/>
            <w:gridSpan w:val="2"/>
          </w:tcPr>
          <w:p>
            <w:pPr>
              <w:ind w:left="40"/>
              <w:spacing w:after="0"/>
              <w:rPr>
                <w:sz w:val="20"/>
                <w:szCs w:val="20"/>
                <w:color w:val="auto"/>
              </w:rPr>
            </w:pPr>
            <w:r>
              <w:rPr>
                <w:rFonts w:ascii="Arial" w:cs="Arial" w:eastAsia="Arial" w:hAnsi="Arial"/>
                <w:sz w:val="18"/>
                <w:szCs w:val="18"/>
                <w:b w:val="1"/>
                <w:bCs w:val="1"/>
                <w:color w:val="auto"/>
              </w:rPr>
              <w:t>Fleet sales as a percentage of total vehicle sales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Trucks</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24.2%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25.3%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Total vehicles</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23.6%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25.9%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Pricing</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Several methods are used to promote our products, including the use of dealer, retail and fleet incentives such as customer rebates and finance rate support. The level of incentives is dependent in large part upon the level of competition in the markets in which we operate and the level of demand for our products. In 2014 we will continue to price vehicles competitively, including offering strategic and tactical incentives as required. We believe this strategy, coupled with sound inventory management, will continue to strengthen the reputation of our brands and result in competitive prices.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Cyclical Nature of Business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Retail sales are cyclical and production varies from month to month. Vehicle model changeovers occur throughout the year as a result of new market entries. The market for vehicles depends on general economic conditions, credit availability and consumer spending.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Relationship with Dealers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market vehicles worldwide primarily through a network of independent authorized retail dealers. These outlets include distributors, dealers and authorized sales, service and parts outlets.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number of authorized dealerships: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2013</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2012</w:t>
            </w:r>
          </w:p>
        </w:tc>
        <w:tc>
          <w:tcPr>
            <w:tcW w:w="158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7,745</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1,162</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20,706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20,754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20,876</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 location. Our dealers often offer more than one GM brand at a single dealership in a number of our markets in order to enhance dealer profitability. Authorized dealers offer parts, accessories, service and repairs for GM vehicles in the product lines that they sell using GM parts and accessories. Our dealers are authorized to service GM vehicles under our limited warranty program and those repairs are to be made only with GM parts. Our dealers generally provide their customers access to credit or lease financing, vehicle insurance and extended service contracts provided by GM Financial, Ally Financial, Inc. (Ally Financial) and other financial institutions.</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as dealers maintain the primary sales and service interface with the end consumer of our products. In addition to the terms of our contracts with our dealers we are regulated by various country and state franchise laws that may supersede those contractual terms and impose specific regulatory requirements and standards for initiating dealer network changes, pursuing terminations for cause and other contractual matters.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Product Development and Intellectual Property</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Costs for research, manufacturing engineering, product engineering, and design and development activities relate primarily to developing new products or services or improving existing products or services including activities related to vehicle emissions control, improved fuel economy and the safety of drivers and passengers. In the years ended December 31, 2013, 2012 and 2011 research and development expenses were $7.2 billion, $7.4 billion and $8.1 billion.</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top priority for research is to continue to develop and advance our alternative propulsion strategy because energy diversity and environmental leadership are critical elements of our overall business strategy. Our objective is to be the recognized industry leader in fuel efficiency through the development of a wide variety of technologies to reduce petroleum consumption.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Fuel Efficiency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fully committed to improving fuel efficiency and meeting regulatory standards through a combination of strategies including: (1) extensive technology improvements to conventional powertrains; (2) increased use of smaller displacement engines and improved and advanced automatic transmissions; and (3) vehicle improvements including increased use of lighter, front-wheel drive architectures.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Alternative Fuel Vehicles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Alternative fuels offer the greatest near-term potential to reduce liquid petroleum consumption in the transportation sector. Leveraging experience and capability developed around these technologies in our global operations we continue to develop FlexFuel vehicles that can run on gasoline-ethanol blend fuels as well as vehicles that run on compressed natural gas (CNG) and liquefied petroleum gas (LPG).</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currently offer 16 FlexFuel vehicles in the U.S. for the 2014 model year plus an additional four models to fleet and commercial customers capable of operating on gasoline, E85 ethanol or any combination of the two. We continue to study the future role FlexFuel vehicles may play in the U.S. in light of recent regulatory developments and the rate of development of the refueling infrastructure. In 2013 94% of vehicle sales in Brazil were FlexFuel vehicles capable of running on 100% ethanol blends. We also market FlexFuel vehicles in Australia, Thailand and other global markets where biofuels have emerged in the marketplace.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support the development of biodiesel blend fuels, which are clean-burning alternative diesel fuels produced from renewable sources, and we provide biodiesel capabilities in other markets reflecting the availability of biodiesel blend fuels.</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produce CNG bi-fuel capable vehicles in Europe such as the Opel Zafira, and in the U.S., the Chevrolet Express and GMC Savana fullsize vans are offered to fleet and commercial customers, that are capable of switching between gasoline or diesel and CNG. We also produce the CNG bi-fuel Chevrolet Silverado and GMC Sierra 2500 HD pick-up trucks that are available to both commercial and retail customers. In addition we recently announced the offering of a CNG bi-fuel Chevrolet Impala full-size sedan to both fleet and retail markets starting in the summer of 2014. We offer LPG capable vehicles globally in select markets reflecting the infrastructure, regulatory focus and natural resource availability of the markets in which they are sold.</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Hybrid, Plug-In, Extended Range and Battery Electric Vehicles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investing significantly in multiple technologies offering increasing levels of vehicle electrification including eAssist, plug-in hybrid, extended range and battery electric vehicles. We currently offer 7 models in the U.S. featuring some form of electrification and continue to develop plug-in hybrid electric vehicle technology (PHEV) and extended range electric vehicles such as the Chevrolet Volt, Opel Ampera and Cadillac ELR. In 2013 we introduced the Chevrolet Spark EV and plan to invest heavily to support the expansion of our electric vehicle offerings and in-house development and manufacturing capabilities of advanced batteries, electric motors and power control systems.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Hydrogen Fuel Cell Technology</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As part of our long-term strategy to reduce petroleum consumption and greenhouse gas emissions we are committed to continuing development of our hydrogen fuel cell technology. Our Chevrolet Equinox fuel cell electric vehicle demonstration programs, such as Project Driveway, have accumulated nearly 3 million miles of real-world driving by consumers, celebrities, business partners and government agencies. These programs are helping us identify consumer and infrastructure needs to understand the business case for potential production of this technology.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and Honda entered into a long-term agreement to co-develop a next-generation fuel cell system and hydrogen storage technologies, aiming for the 2020 timeframe. The collaboration expects to succeed by sharing expertise, economies of scale and common sourcing strategies and builds upon GM's and Honda’s strengths as leaders in hydrogen fuel cell technology.</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OnStar</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OnStar, LLC (OnStar) is a wholly-owned subsidiary of GM serving more than 6.5 million subscribers in the U.S., Canada and Mexico and, through a joint venture, China. OnStar is a provider of connected safety, security and mobility solutions and advanced information technology and is available on the majority of our 2014 model year vehicles. OnStar's key services include automatic crash response, stolen vehicle assistance, remote door unlock, turn-by-turn navigation, vehicle diagnostics and hands-free calling.</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OnStar has developed a system based on the findings of a Center for Disease Control and Prevention expert panel which allows OnStar advisors to alert first responders when a vehicle crash is likely to have caused serious injury to the occupants. OnStar also launched a mobile application to provide subscribers with up-to-date vehicle information such as oil level, tire pressure and fuel level as well as providing remote start, remote door unlock and navigation services from a mobile phone.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Development</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vehicle development activities are integrated into a single global organization. This strategy builds on earlier efforts to consolidate and standardize our approach to vehicle development. We define a global architecture as a specific range of performance characteristics and dimensions supporting a common set of major underbody components and subsystems with common interfaces.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 centralized organization is responsible for many of the non-visible parts of the vehicle such as steering, suspension, the brake system, the heating, ventilation and air conditioning system and the electrical system. This team works very closely with the global architecture development teams around the world, who are responsible for components that are unique to each brand, such as exterior and interior design, tuning of the vehicle to meet the brand character requirements and final validation to meet applicable government requirements.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generate and hold a significant number of patents in a number of countries in connection with the operation of our business. While none of these patents by itself is material to our business as a whole, these patents are very important to our operations and continued technological development. We hold a number of trademarks and service marks that are very important to our identity and recognition in the marketplace.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Raw Materials, Services and Supplies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purchase a wide variety of raw materials, parts, supplies, energy, freight, transportation and other services from numerous suppliers for use in the manufacture of our products. The raw materials are primarily composed of steel, aluminum, resins, copper, lead and platinum group metals. We have not experienced any significant shortages of raw materials and normally do not carry substantial inventories of such raw materials in excess of levels reasonably required to meet our production requirements.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we purchase systems, components, parts and supplies from a single source and may be at an increased risk for supply disruptions. The inability or unwillingness of these sources to supply us with parts and supplies could have a material adverse effect on our production capacity. Purchases from our two largest suppliers have ranged from approximately 10% to 11% of our total purchases from 2011 to 2013.</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Emissions Control</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subject to laws and regulations that require us to control automotive emissions, including vehicle exhaust emission standards, vehicle evaporative emission standards and onboard diagnostic (OBD) system requirements. Advanced OBD systems are used to identify and diagnose problems with emission control systems. Problems detected by the OBD system may increase warranty costs and the chance for recall. Emission and OBD requirements become more challenging each year as vehicles must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meet lower emission standards and new diagnostics are required and will continue to become even more stringent throughout the world.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North America</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U.S. federal government imposes stringent emission control requirements on vehicles sold in the U.S. and additional requirements are imposed by various state governments. Canada’s federal government is aligned with the U.S. federal requirements. These requirements include vehicle exhaust emission standards, vehicle evaporative emission standards and OBD system requirements. Each model year we must obtain certification for each test group that our vehicles will meet emission requirements from the U.S. Environmental Protection Agency (EPA) before we can sell vehicles in the U.S. and Canada and from the California Air Resources Board (CARB) before we can sell vehicles in California and other states that have adopted the California emissions requirements. Fleet-wide emissions compliance must also be achieved based on a sales-weighted fleet average.</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While we believe all our products are currently in compliance with EPA and CARB regulatory requirements, both agencies have ongoing “in-use” evaluations of compliance for products from all manufacturers. It is possible that we or either agency could identify potential non-compliance, which could lead to some type of field action to remedy the issue. Testing is conducted at various times. This includes pre-production testing of vehicles as part of certification and in-use testing of customer vehicles at specified mileages.</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CARB has adopted its next round of emission requirements which phase in with the 2015 model year. These requirements include more stringent exhaust emission and evaporative emission standards. The EPA has proposed similar requirements which if adopted are expected to phase in with the 2017 model year. These new requirements will also increase the time and mileage periods over which manufacturers are responsible for a vehicle's emission performance.</w:t>
      </w:r>
    </w:p>
    <w:p>
      <w:pPr>
        <w:spacing w:after="0" w:line="14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California law requires that 12% of 2014 model year cars and certain light-duty trucks sold in the state must be zero emission vehicles (ZEV) such as electric vehicles or hydrogen fuel cell vehicles. The requirement is based on a complex system of credits that vary in magnitude by vehicle type and model year. Manufacturers have the option of meeting a portion of this requirement with partial ZEV credit for vehicles that meet very stringent exhaust and evaporative emission standards and have extended emission system warranties. Additional portions of the ZEV requirement can be met with vehicles that meet these partial ZEV requirements and incorporate advanced technology such as hybrid and plug-in hybrid electric propulsion systems meeting specified criteria. We are complying with the ZEV requirements using a variety of means including producing vehicles certified to the ZEV and partial ZEV requirements. CARB has adopted 2018 model year and later requirements for increasing volumes of ZEVs to achieve greenhouse gas as well as criteria pollutant emission reductions to help achieve the state's long-term greenhouse gas reduction goals. A portion of this requirement may be met with PHEVs that meet specified criteria including an extended emission system warranty.</w:t>
      </w:r>
    </w:p>
    <w:p>
      <w:pPr>
        <w:spacing w:after="0" w:line="18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Clean Air Act permits states that have areas with air quality compliance issues to adopt the California car and light-duty truck emission standards in lieu of the federal requirements. Thirteen states as well as the Province of Quebec currently have these standards in effect, and 10 of these 13 states have adopted the ZEV requirements. Additional states could also adopt the California standards in the future.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Vehicles equipped with heavy-duty engines are also subject to stringent emission requirements. We also certify heavy-duty engines for installation in other manufacturers' products. We are using a system of credits to help meet these stringent standards as permitted by EPA and CARB regulations. We are meeting OBD requirements for heavy-duty vehicles with certain hardware and software changes.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Mexico we must obtain model year certification from the Federal Environmental Protection Agency for each engine family and vehicle line before we can sell vehicles. Stringent light-duty vehicle emission requirements applicable to vehicles sold in Mexico are enforced starting 18 months after nationwide availability of Ultra Low Sulfur Fuels. Emission requirements applicable to medium- and heavy-duty trucks powered by gasoline, CNG or LPG were upgraded in 2012. Stringent emission requirements applicable to medium- and heavy-duty trucks powered by diesel have been proposed but no enforcement date has been established yet.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Regulations to control the emissions of greenhouse gases are discussed under “Automotive Fuel Economy” since we believe these regulations are effectively a form of a fuel economy requirement.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Emissions are regulated by two different entities: the European Commission (EC) and the United Nations Economic Commission for Europe (UNECE). The EC imposes harmonized emission control requirements on vehicles sold in all 28 European Union (EU) Member States and other countries apply regulations under the framework of the UNECE. We must demonstrate that vehicles will meet emission requirements in witness tests and type approval from an approval authority before we can sell vehicles in the EU Member States. Type approval requires the manufacturer to provide a representative vehicle to the evaluating agency who then determines if the particular type of vehicle is fully compliant with the applicable regulations. The regulatory requirements include random testing of newly assembled vehicles and a manufacturer in-use surveillance program. EU and UNECE requirements are equivalent in terms of stringency and implementation.</w:t>
      </w:r>
    </w:p>
    <w:p>
      <w:pPr>
        <w:spacing w:after="0" w:line="18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A new level of exhaust emission standards for cars and light-duty trucks, Euro 5, was effective in 2011. Future European emission standards focus particularly on further reducing emissions from diesel vehicles. The Euro 6 emission levels will become effective in 2017. The new requirements will require additional technologies and further increase the cost of diesel engines, which currently cost more than gasoline engines. To comply with Euro 6 standards we expect that we will need to implement technologies identical to those being developed to meet U.S. emission standards. These technologies will put additional cost pressures on the already challenging European market for small- and mid-size diesel vehicles. Gasoline engines are also affected by the new requirements. The measures for gasoline vehicles that require technology to reduce exhaust pollutant emissions will have adverse effects on vehicle fuel economy which drives additional technology cost to maintain fuel economy.</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long-term, notwithstanding the already low vehicle emissions in Europe, the EC will continue devising regulatory requirements on the emission test cycle, real driving emission, low temperature testing, fuel evaporation and OBD.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International Operations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China has implemented Euro 4 standards with European OBD requirements nationwide for newly registered vehicles. Beijing currently requires many elements of Euro 5 standards for newly registered vehicles. Beijing, Shanghai and the Pearl River delta area are expected to require additional elements of Euro 5 standards in 2014. Nationwide implementation of Euro 5 is expected between 2015 and 2017. Beijing is considering the implementation of Euro 6 or EPA standards as early as 2016 and Onboard Refueling Vapor Recovery as early as 2017. For diesel-powered vehicles China has implemented Euro 4 standards for new type approvals of both light-duty diesel vehicles and all new registrations of heavy-duty diesel vehicles. Enforcement of Euro 4 standards for new diesel light-duty registrations began in 2013.</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South Korea has implemented the Euro 5 emission standards with European OBD requirements for diesel-powered vehicles and the CARB standards for gasoline/LPG-powered vehicles. Commencing in 2014 new type-approvals will require the vehicle to meet Euro 6 diesel standards. The government is also considering the introduction of amendments to the low-emission vehicle program, LEVIII of the CARB standards, for gasoline/LPG-powered vehicles with the planned implementation in 2016.</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India has implemented Euro 4 equivalent emission norms in 13 major cities of the country, where sulfur gasoline and diesel fuels (BS IV Fuel) are required and have been made available. Euro 4 norms are expected to apply in additional cities as BS IV fuels are made available in 2014 and 2015 in a phased manner.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South America</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Certain countries follow the U.S. test procedures, standards and OBD requirements and others follow the EU test procedures, standards and OBD requirements with different levels of stringency. Brazil implemented national L5 low emission vehicle standards for passenger cars and light commercial vehicles in 2009. L6 standards for light diesel vehicles were implemented in 2012 and mandate OBD installation for light diesel vehicles in 2015. L6 standards for light gasoline vehicles are to be implemented in 2014 for new vehicles and 2015 for all models. Argentina implemented Euro 4 standards starting with new vehicle registrations in 2009 and the implementation of Euro 5 standards has been delayed from 2014 to 2015 for new vehicles and from 2016 to 2017 for all vehicles. Chile has enforced Euro 5 or U.S. Tier 2 Bin 5 emission standards for diesel vehicles and will implement Euro 5 or U.S. Tier 2 Bin 5 standards for gasoline vehicles in September 2014.</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Industrial Environmental Control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Matters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operations are subject to a wide range of environmental protection laws including those laws regulating air emissions, water discharges,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 Refer to Note 17 to our consolidated financial statements for additional information on environmental matters including site remediation.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Facility Management</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To mitigate the effects our worldwide operations have on the environment we are committed to convert as many of our worldwide facilities as possible to landfill-free facilities. At December 31, 2013 85 (or over 50%) of our manufacturing facilities were landfill-free facilities. Additionally we have 25 non-manufacturing facilities that are landfill free. At our landfill-free manufacturing facilities approximately 96% of waste materials are recycled or reused and 4% is converted to energy at waste-to-energy facilities. Including construction, demolition and remediation wastes, we estimate that we recycled, reused, or composted over 2 million metric tons of waste materials at our global manufacturing operations and estimate that we converted approximately 75,000 metric tons of waste materials to energy at waste-to-energy facilities in the year ended December 31, 2013.</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2013 we surpassed our internal 2020 Manufacturing Commitment initiative to reduce total waste on a kg/vehicle basis by 10%, having reduced total waste by more than 45 kg/vehicle (including metals and foundry-related wastes). Total waste includes all byproducts from routine manufacturing operations, excluding construction, demolition and remediation wastes and materials that are sent for direct reuse (without processing).</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providing environmental benefits our landfill-free program and total waste reduction commitments generate revenue from the sale of production by-products, reduce our energy costs, and help to reduce the risks and financial liabilities associated with waste disposal.</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make progress on our other 2020 Manufacturing commitments including the implementation of our global energy strategy with a goal to increase our use of renewable energy and improve our energy efficiency. Our data collection and management system is designed to monitor and measure energy use as well as calculate the related CO</w:t>
      </w:r>
      <w:r>
        <w:rPr>
          <w:rFonts w:ascii="Arial" w:cs="Arial" w:eastAsia="Arial" w:hAnsi="Arial"/>
          <w:sz w:val="12"/>
          <w:szCs w:val="12"/>
          <w:color w:val="auto"/>
        </w:rPr>
        <w:t>2</w:t>
      </w:r>
      <w:r>
        <w:rPr>
          <w:rFonts w:ascii="Arial" w:cs="Arial" w:eastAsia="Arial" w:hAnsi="Arial"/>
          <w:sz w:val="18"/>
          <w:szCs w:val="18"/>
          <w:color w:val="auto"/>
        </w:rPr>
        <w:t xml:space="preserve"> emissions including collecting and verifying energy, water and other environmental data from our facilities. Our approach to addressing climate change includes setting a greenhouse gas emissions reduction target, collecting accurate data, and by publicly reporting progress against our target.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Fuel Economy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North America</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Corporate Average Fuel Economy (CAFE) reporting is required for three separate fleets: domestically produced cars, imported cars and light-duty trucks. Beginning with the 2011 model year both car and light-duty truck standards were established using targets for various vehicle sizes and vehicle model sales volumes. In 2014 our domestic car standard is estimated to be 33.8 mpg, our import car standard is estimated at 37.2 mpg, and our light-duty truck standard is estimated to be 24.5 mpg. Our current product plan is expected to be compliant with the federal CAFE program.</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August 2012 the EPA and the National Highway Transportation Safety Administration (NHTSA) finalized a coordinated national program consisting of new requirements for the 2017 through 2025 model year light-duty vehicles that will reduce greenhouse gas emissions and improve fuel economy. This regulation represents a continuation of the national program that has been established for the 2012 through 2016 model year light-duty vehicles. This program includes EPA and NHTSA standards that will require an industry-wide standard by 2016. Our current product plan projects compliance with both federal programs through 2016.</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CARB regulates greenhouse gas emissions from vehicles (which is the same as regulating fuel economy). This California program is currently established for the 2009 through 2016 model years. CARB has agreed that compliance with the federal program is deemed to be compliant with the California program for the 2012 through 2016 model years.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 Canadian governmental agency implemented greenhouse gas standards that were harmonized with U.S. standards beginning with the 2011 model year. However these regulations do not require the separation of car fleet into domestic and import vehicles. The Province of Quebec had previously adopted standards for the 2009 through 2016 model years that were equivalent to the California program but has revised their regulations to allow compliance with the national standards effective with the 2012 model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Mexico has adopted fuel economy targets similar to the U.S. for 2012-2016 model years. The Mexico standards offer additional flexibilities when compared to the U.S. requirements to account for the differences in terrain type, vehicle mix and fuel quality. Discussions for post 2016 standards are expected to begin in 2014 calendar year.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w:t>
      </w:r>
    </w:p>
    <w:p>
      <w:pPr>
        <w:spacing w:after="0" w:line="22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Legislation regulating fleet average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emissions was implemented for passenger cars in 2012. Based on a target function of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to vehicle weight, each automobile manufacturer must meet a specific sales-weighted fleet average target. The fleet average requirement began phasing in during 2012 with full compliance required by 2015. Automobile manufacturers can earn super-credits for the sales volume of vehicles having a specific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value. This is intended to encourage the early introduction of ultra-low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vehicles such as the Chevrolet Volt and Opel Ampera by providing an additional incentive to reduce the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fleet average. Automobile manufacturers may gain credit for eco-innovations for those technologies which improve real-world fuel economy but may not show in the test cycle, such as solar panels on vehicles. There is also a 5% credit for FlexFuel vehicles if more than 30% of refueling stations in an EU Member State sell E85. Further regulatory detail is being developed. The legislation sets a target for 2020 with an impact assessment required to further assess and develop this requirement. We are developing a compliance plan by adopting operational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targets for each market entry in Europe.</w:t>
      </w:r>
    </w:p>
    <w:p>
      <w:pPr>
        <w:spacing w:after="0" w:line="16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2011 the EU adopted a standard to regulate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emissions from light commercial vehicles. This regulation is modeled after the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regulation for passenger cars. It proposes that new light commercial vehicles meet a fleet average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target with a phase-in of compliance from 2014 and full compliance required by 2016. The manufacturer-specific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compliance target will be determined as a function of the weight of the vehicle with all standard equipment and fuel (vehicle curb weight). Flexibilities such as eco-innovations and super credits are part of the regulatory proposal as well. An EU long-term target for 2020 has been adopted for light commercial vehicles. We have developed a compliance plan by adopting operational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targets for each market entry in Europe.</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July 2012 the EU Commission released a regulatory proposal outlining the regulatory implementation for passenger cars and light commercial vehicles targets effective in 2020. Implementation of the target has been delayed with final release expected in early 2014. While the passenger car target is expected to remain in place beginning in 2020, in that first year (2020) only 95% of the Original Equipment Manufacturers (OEMs) fleet is required to comply. Full 100% compliance will be required in 2021. The individual manufacturer targets will continue to be determined based on the average vehicle mass. Other compliance flexibilities will be limited adding additional challenges to compliance with the CO</w:t>
      </w:r>
      <w:r>
        <w:rPr>
          <w:rFonts w:ascii="Arial" w:cs="Arial" w:eastAsia="Arial" w:hAnsi="Arial"/>
          <w:sz w:val="11"/>
          <w:szCs w:val="11"/>
          <w:color w:val="auto"/>
        </w:rPr>
        <w:t>2</w:t>
      </w:r>
      <w:r>
        <w:rPr>
          <w:rFonts w:ascii="Arial" w:cs="Arial" w:eastAsia="Arial" w:hAnsi="Arial"/>
          <w:sz w:val="17"/>
          <w:szCs w:val="17"/>
          <w:color w:val="auto"/>
        </w:rPr>
        <w:t xml:space="preserve"> fleet target.</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Effective in November 2012 an EC regulation required low-rolling resistance tires, tire pressure monitoring systems and gear shift indicators, which we adopted in 2011. An additional EC regulation has been adopted that will require labeling of tires for noise, fuel efficiency and rolling resistance, affecting vehicles at the point of sale as well as the sale of tires in the aftermarket.</w:t>
      </w:r>
    </w:p>
    <w:p>
      <w:pPr>
        <w:spacing w:after="0" w:line="176" w:lineRule="exact"/>
        <w:rPr>
          <w:sz w:val="20"/>
          <w:szCs w:val="20"/>
          <w:color w:val="auto"/>
        </w:rPr>
      </w:pPr>
    </w:p>
    <w:p>
      <w:pPr>
        <w:jc w:val="both"/>
        <w:ind w:firstLine="162"/>
        <w:spacing w:after="0" w:line="348" w:lineRule="auto"/>
        <w:rPr>
          <w:sz w:val="20"/>
          <w:szCs w:val="20"/>
          <w:color w:val="auto"/>
        </w:rPr>
      </w:pPr>
      <w:r>
        <w:rPr>
          <w:rFonts w:ascii="Arial" w:cs="Arial" w:eastAsia="Arial" w:hAnsi="Arial"/>
          <w:sz w:val="16"/>
          <w:szCs w:val="16"/>
          <w:color w:val="auto"/>
        </w:rPr>
        <w:t>Seventeen EU Member States have introduced fuel consumption or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based vehicle taxation schemes. Tax measures are within the jurisdiction of the EU Member States. We are faced with significant challenges relative to the predictability of future tax laws and differences in the tax schemes and thresholds.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International Operations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face new or increasingly more stringent fuel economy standards in many countries. China has established new Phase 3 fuel economy standards supplementing the current Phase 2 pass-fail system with a corporate fleet average scheme based on vehicle curb weight for the 2012 through 2015 model years. Implementation began in 2012 with full compliance required by 2015. China has continued its retail subsidies for consumers for fuel efficient vehicles, extended range and plug-in, battery electric and fuel cell vehicles. China is now working on a more aggressive Phase 4 fuel economy standard that is expected to apply to the 2016 through 2020 model years.</w:t>
      </w:r>
    </w:p>
    <w:p>
      <w:pPr>
        <w:spacing w:after="0" w:line="183"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6"/>
          <w:szCs w:val="16"/>
          <w:color w:val="auto"/>
        </w:rPr>
        <w:t>In Korea fuel economy/CO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targets for 2012 through 2015 were implemented as part of the government's low carbon/green growth strategy. These targets are based on each vehicle's curb weight and in general are set at levels more stringent than fuel economy targets in the U.S. but less stringent than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targets in the EU. The targets began being phased in during 2012 with full compliance by 2015 with manufacturers having the option to certify based on either fuel consumption or CO</w:t>
      </w:r>
      <w:r>
        <w:rPr>
          <w:rFonts w:ascii="Arial" w:cs="Arial" w:eastAsia="Arial" w:hAnsi="Arial"/>
          <w:sz w:val="11"/>
          <w:szCs w:val="11"/>
          <w:color w:val="auto"/>
        </w:rPr>
        <w:t>2</w:t>
      </w:r>
      <w:r>
        <w:rPr>
          <w:rFonts w:ascii="Arial" w:cs="Arial" w:eastAsia="Arial" w:hAnsi="Arial"/>
          <w:sz w:val="16"/>
          <w:szCs w:val="16"/>
          <w:color w:val="auto"/>
        </w:rPr>
        <w:t xml:space="preserve"> emissions. Each manufacturer has been given a corporate target to meet based on its overall industry fleet fuel economy/CO</w:t>
      </w:r>
      <w:r>
        <w:rPr>
          <w:rFonts w:ascii="Arial" w:cs="Arial" w:eastAsia="Arial" w:hAnsi="Arial"/>
          <w:sz w:val="11"/>
          <w:szCs w:val="11"/>
          <w:color w:val="auto"/>
        </w:rPr>
        <w:t>2</w:t>
      </w:r>
      <w:r>
        <w:rPr>
          <w:rFonts w:ascii="Arial" w:cs="Arial" w:eastAsia="Arial" w:hAnsi="Arial"/>
          <w:sz w:val="16"/>
          <w:szCs w:val="16"/>
          <w:color w:val="auto"/>
        </w:rPr>
        <w:t xml:space="preserve"> average. GM Korea Company's (GM Korea) current product portfolio is expected to comply with the targets by 2015. However, in 2014 the Korean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government plans to set more stringent fuel economy targets for 2016 and beyond that will likely reach the level in Japan by 2020 and the level in the EU by 2025.</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Saudi Arabia the government is developing a footprint-based fuel economy standard modeled on the U.S. system, which would likely commence in 2016 using the U.S. target value curves from 2011 or 2012. The Saudi program is not expected to include the alternative fuel/advanced technology vehicle and other credits from the U.S. program.</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India the government is developing a weight-based CO</w:t>
      </w:r>
      <w:r>
        <w:rPr>
          <w:rFonts w:ascii="Arial" w:cs="Arial" w:eastAsia="Arial" w:hAnsi="Arial"/>
          <w:sz w:val="12"/>
          <w:szCs w:val="12"/>
          <w:color w:val="auto"/>
        </w:rPr>
        <w:t>2</w:t>
      </w:r>
      <w:r>
        <w:rPr>
          <w:rFonts w:ascii="Arial" w:cs="Arial" w:eastAsia="Arial" w:hAnsi="Arial"/>
          <w:sz w:val="18"/>
          <w:szCs w:val="18"/>
          <w:color w:val="auto"/>
        </w:rPr>
        <w:t>/fuel efficiency regulation that is likely to be implemented in 2017. It is expected that the regulatory standards could be similar but less stringent than levels required in the EU with tighter standards planned for 2022.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Australia the current government's agenda no longer includes the adoption of attribute-based CO</w:t>
      </w:r>
      <w:r>
        <w:rPr>
          <w:rFonts w:ascii="Arial" w:cs="Arial" w:eastAsia="Arial" w:hAnsi="Arial"/>
          <w:sz w:val="12"/>
          <w:szCs w:val="12"/>
          <w:color w:val="auto"/>
        </w:rPr>
        <w:t>2</w:t>
      </w:r>
      <w:r>
        <w:rPr>
          <w:rFonts w:ascii="Arial" w:cs="Arial" w:eastAsia="Arial" w:hAnsi="Arial"/>
          <w:sz w:val="18"/>
          <w:szCs w:val="18"/>
          <w:color w:val="auto"/>
        </w:rPr>
        <w:t xml:space="preserve"> standards.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South America</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Brazil the government has set new fuel economy requirements called INOVAR AUTO. OEMs have mandatory fleet average compliance required by October 2017 with a reduction from 2012 levels. The Brazilian government provides indirect tax incentives to eligible participant companies that meet certain requirements including these energy efficiency targets. The level of potential indirect tax incentives varies based on the degree and timing to which the targets are met. Participating companies that fail to meet the required criteria are subject to clawback provisions and specific fines.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Chile every new passenger vehicle up to a certain vehicle weight is required to be tested under Euro procedure in order to determine its reference values to be included in the new mandatory fuel economy label. As a result of this process the label indicates the fuel consumption values for city, highway and combined city-highway and the CO</w:t>
      </w:r>
      <w:r>
        <w:rPr>
          <w:rFonts w:ascii="Arial" w:cs="Arial" w:eastAsia="Arial" w:hAnsi="Arial"/>
          <w:sz w:val="12"/>
          <w:szCs w:val="12"/>
          <w:color w:val="auto"/>
        </w:rPr>
        <w:t>2</w:t>
      </w:r>
      <w:r>
        <w:rPr>
          <w:rFonts w:ascii="Arial" w:cs="Arial" w:eastAsia="Arial" w:hAnsi="Arial"/>
          <w:sz w:val="18"/>
          <w:szCs w:val="18"/>
          <w:color w:val="auto"/>
        </w:rPr>
        <w:t xml:space="preserve"> emission values.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Chemical Regulations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continually monitor the implementation of chemical regulations to maintain compliance and evaluate their effect on our business, suppliers and the automotive industry.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North America</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Governmental agencies in both the U.S. and Canada continue to introduce new regulations and legislation related to the selection and use of safer chemical alternatives, green chemistry, life cycle assessment and product stewardship initiatives. These initiatives will give broad regulatory authority to ban or restrict the use of certain chemical substances and potentially affect automobile manufacturers' responsibilities for vehicle life-cycle, including chemical substance selection for product development and manufacturing. These emerging regulations will potentially lead to increases in costs and supply chain complexity.</w:t>
      </w:r>
    </w:p>
    <w:p>
      <w:pPr>
        <w:spacing w:after="0" w:line="15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California two chemical initiatives will become effective in 2014: the brake pad reformulation law and the safer consumer products regulations. The brake pad reformulation law requires brake and vehicle manufacturers to ensure brakes produced after January 2014 meet limits for the amounts of certain heavy metals and are properly certified and labeled. Under the safer consumer products regulation, California EPA will begin regulating specific consumer products that contain chemicals of concern. It is not yet known when vehicle components will be targeted.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2007 the EU implemented its regulatory requirements, EU REACH regulation, to register, evaluate, authorize and restrict the use of chemical substances. This regulation requires chemical substances manufactured in or imported into the EU in quantities of one metric ton or more per year to be registered with the European Chemicals Agency before 2018. During the pre-registration phase, Old GM and its suppliers registered those substances identified by this regulation. It is to be phased-in over a 10-year period. Under this regulation, “substances of very high concern” may either require authorization for further use or may be restricted in the future. This could potentially increase the cost of certain alternative substances that are used to manufacture vehicles and parts, or result in a supply chain disruption when a substance is no longer available to meet production timelines. Our research and development initiatives may be diverted to address future requirements.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Safety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U.S. if a vehicle or vehicle equipment does not comply with a safety standard or if a vehicle defect creates an unreasonable safety risk the manufacturer is required to notify owners and provide a remedy. We are required to report certain information relating to certain customer complaints, warranty claims, field reports and notices and claims involving property damage, injuries and fatalities in the U.S. and claims involving fatalities outside the U.S. We are also required to report certain information concerning safety recalls and other safety campaigns outside the U.S.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Outside the U.S. safety standards and recall regulations often have the same purpose as the U.S. standards but may differ in their requirements and test procedures. Other countries sometimes pass regulations which are more stringent than U.S. standards. Many countries require type approval while the U.S. and Canada require self-certification.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Vehicular Noise Control</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U.S. passenger cars and light-duty trucks are subject to state and local motor vehicle noise regulations. We identify the most stringent state and local requirements and validate to those requirements. Medium to heavy-duty trucks are regulated at the federal level. Federal truck regulations preempt all U.S. state or local noise regulations for trucks over a gross vehicle weight rating of 10,000 lbs.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Outside the U.S. noise regulations have been established by authorities at the national and supranational level (e.g., EC or UNECE). We believe that our vehicles meet all applicable noise regulations in the markets where they are sold. The EC has proposed new noise regulations that would mandate a significant decrease in vehicle noise emissions. These proposals are coupled with a new test procedure to better estimate the actual in-use noise emission of vehicles. The proposals of the EC also form the basis for amendment to UNECE vehicle regulations, with the expected effect that maximum noise regulations will become more stringent in all markets outside of North America. At this point, the final noise emission levels as well as the implementation timing of the final regulations are uncertain.</w:t>
      </w:r>
    </w:p>
    <w:p>
      <w:pPr>
        <w:spacing w:after="0" w:line="19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While current noise emission requirements regulate maximum allowable noise levels, formal proposals are under development to regulate minimum sound levels. These proposals stem from concern that relatively quiet vehicles, specifically hybrids and electrics, may not be readily heard by pedestrians. In the U.S., NHTSA issued a Notice of Proposed Rulemaking on January 14, 2013 and the U.S. Department of Transportation indicated a final rule is expected to be published in 2015. The UNECE is developing a Global Technical Regulation, sponsored by the U.S., Japan, and the EU, for manufacturers to equip vehicles with pedestrian alerting devices where the vehicle fails to meet minimum sound emission levels.</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committed to designing and manufacturing vehicles to comply with these regulations and potential noise emission regulations that may come from these proposals.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Potential Effect of Regulations</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are actively working on aggressive near-term and long-term plans to develop and bring to market technologies designed to further reduce emissions, mitigate remediation expenses related to environmental liabilities, improve fuel efficiency, monitor and enhance the safety features of our vehicles and provide additional value and benefits to our customers. This is illustrated by our commitment to marketing more hybrid vehicles, our accelerated commitment to developing electrically powered vehicles, our use of biofuels in our expanded portfolio of FlexFuel vehicles and enhancements to conventional internal combustion engine technology which have contributed to the fuel efficiency of our vehicles. The conversion of many of our manufacturing facilities to landfill-free status has shown our commitment to mitigate potential environmental liability. We believe that the development and global implementation of new, cost-effective energy technologies in all sectors is the most effective way to improve energy efficiency, reduce greenhouse gas emissions and mitigate environmental liabilities.</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Despite these advanced technology efforts, our ability to satisfy fuel economy,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and other emissions requirements is contingent on various future economic, consumer, legislative and regulatory factors that we cannot control or predict with certainty. If we are not able to comply with specific new requirements, which include higher CAFE standards and state CO</w:t>
      </w:r>
      <w:r>
        <w:rPr>
          <w:rFonts w:ascii="Arial" w:cs="Arial" w:eastAsia="Arial" w:hAnsi="Arial"/>
          <w:sz w:val="16"/>
          <w:szCs w:val="16"/>
          <w:color w:val="auto"/>
          <w:vertAlign w:val="subscript"/>
        </w:rPr>
        <w:t>2</w:t>
      </w:r>
      <w:r>
        <w:rPr>
          <w:rFonts w:ascii="Arial" w:cs="Arial" w:eastAsia="Arial" w:hAnsi="Arial"/>
          <w:sz w:val="16"/>
          <w:szCs w:val="16"/>
          <w:color w:val="auto"/>
        </w:rPr>
        <w:t xml:space="preserve"> requirements such as those which require the CARB to regulate greenhouse gas emissions from vehicles, then we could be subject to sizeable civil penalties or have to restrict product offerings drastically to remain in compliance. Environmental liabilities for which we may be responsible are not reasonably estimable and could be substantial. Violations of safety or emissions standards could result in the recall of one or more of our products, negotiated remedial actions, possible fines or a combination of any of those items. We must also cover the cost of repairs conducted under emission defect and performance warranties which apply for specified periods of time and mileage. In turn any of these actions could have substantial adverse effects on our operations including facility idling, reduced employment, increased costs and loss of revenue.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Legislation</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subject to a variety of U.S. federal rules and regulations including the Employee Retirement Income Security Act of 1974, as amended and the Pension Protection Act of 2006 which govern the manner in which we fund and administer our pension plans. In July 2012 the U.S. government enacted the Moving Ahead for Progress in the 21st Century Act which allows plan sponsors funding relief for U.S. pension plans through the application of higher funding interest rates. Under current economic conditions we expect the new law to further delay required contributions to our U.S. pension plans. The new law does not impact our reported funded status.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Export Control</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are subject to U.S. export control laws and regulations and most countries in which we do business have applicable export controls. Our Office of Export Compliance and our global Export Compliance Officers are responsible for working with our business units to ensure compliance with these laws and regulations.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is our captive automotive finance company that has been operating since 1992. GM Financial conducts its business in North America and, as a result of the 2013 acquisition of the Ally Financial international operations, in Europe and Latin America. GM Financial expects to complete in 2014 the acquisition of Ally Financial's equity interest in GMAC-SAIC Automotive Finance Company Limited (GMAC-SAIC) that conducts automotive finance and financial services operations in China.</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automobile finance programs in North America include sub-prime lending and full spectrum leasing. The sub-prime lending programs predominantly offer financing to consumers who have limited access to automobile financing through banks and credit unions. The typical borrower has experienced prior credit difficulties or has limited credit history and generally has a credit bureau score ranging from 500 through 700. Since GM Financial provides financing in a relatively high-risk market it expects to sustain a higher level of credit losses than other more traditional sources of financing. The full spectrum leasing product is offered through our franchised dealers and targets prime and sub-prime consumers leasing new vehicles. GM Financial seeks to provide competitive alternatives to existing marketplace lease offerings in our franchised dealers. GM Financial services its loan and lease portfolio at regional centers using automated servicing and collection systems.</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2012 and March 2013, GM Financial launched the U.S. and Canadian commercial lending platforms to further support our franchised dealerships and their affiliates. These platforms are centered on floor plan financing of dealer vehicle inventory and dealer loans to finance dealer sites, facilities, facility improvements and working capital. These loans are made on a secured basis.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international consumer lending programs focus on financing prime quality consumers purchasing our new and used vehicles. In many countries GM Financial also offers financial leases, a lease/retail hybrid product that includes a balloon payment at expiration, and finance-related insurance products through third parties, such as credit life, gap and extended warranty coverage. Commercial products offered to dealer customers include new and used vehicle inventory financing, inventory insurance, working capital and capital improvement loans. Other commercial products include fleet financing and storage center financing.</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primarily finances its loan, lease and commercial origination volume through the use of secured and unsecured bank lines, through public and private securitization transactions where such markets are developed and, to a lesser extent in Latin America, through public financing programs including the issuance of commercial paper and other financing programs.</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Financial retains an interest in the securitization transactions in the form of restricted cash accounts and overcollateralization, whereby more receivables are transferred to the securitization trusts than the amount of asset-backed securities issued by the securitization trusts, as well as the estimated future excess cash flows expected to be received by GM Financial over the life of the securitization. Excess cash flows result from the difference between the finance charges received from the obligors on the receivables and the interest paid to investors in the asset-backed securities net of credit losses and expenses.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Excess cash flows in the securitization trusts are initially utilized to fund credit enhancement requirements in order to attain specific credit ratings for the asset-backed securities issued by the securitization trusts. Once targeted credit enhancement requirements are reached and maintained excess cash flows are distributed to GM Financial. In addition to excess cash flows GM Financial receives monthly base servicing fees and collects other fees such as late charges as servicer for securitization trusts.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At December 31, 2013 we employed 219,000 employees of whom 142,000 (65%) were hourly employees and 77,000 (35%) were salaried employees. The following table summarizes worldwide employment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2013</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2012</w:t>
            </w:r>
          </w:p>
        </w:tc>
        <w:tc>
          <w:tcPr>
            <w:tcW w:w="158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20" w:type="dxa"/>
            <w:vAlign w:val="bottom"/>
          </w:tcPr>
          <w:p>
            <w:pPr>
              <w:spacing w:after="0"/>
              <w:rPr>
                <w:sz w:val="21"/>
                <w:szCs w:val="21"/>
                <w:color w:val="auto"/>
              </w:rPr>
            </w:pPr>
          </w:p>
        </w:tc>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GMIO(b)</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Financial(c)</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97"/>
        </w:trPr>
        <w:tc>
          <w:tcPr>
            <w:tcW w:w="20" w:type="dxa"/>
            <w:vAlign w:val="bottom"/>
          </w:tcPr>
          <w:p>
            <w:pPr>
              <w:spacing w:after="0"/>
              <w:rPr>
                <w:sz w:val="24"/>
                <w:szCs w:val="24"/>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Worldwide</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r>
      <w:tr>
        <w:trPr>
          <w:trHeight w:val="109"/>
        </w:trPr>
        <w:tc>
          <w:tcPr>
            <w:tcW w:w="20" w:type="dxa"/>
            <w:vAlign w:val="bottom"/>
          </w:tcPr>
          <w:p>
            <w:pPr>
              <w:spacing w:after="0"/>
              <w:rPr>
                <w:sz w:val="9"/>
                <w:szCs w:val="9"/>
                <w:color w:val="auto"/>
              </w:rPr>
            </w:pPr>
          </w:p>
        </w:tc>
        <w:tc>
          <w:tcPr>
            <w:tcW w:w="638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U.S. - Salaried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 Hourly</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2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_________</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jc w:val="both"/>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in GMNA employees in the year ended December 31, 2013 includes an increase of approximately 4,000 employees due to insourcing of certain information technology support functions that were previously provided by outside parties and an increase of approximately 3,000 employees due to increase in launches and ramp up in manufacturing volume.</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in GMIO employees in the year ended December 31, 2012 includes an increase of 4,000 employees due to the acquisition of GM India. Refer to Note 3 to our consolidated financial statements for detail regarding the acquisition.</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in GM Financial employees in the year ended December 31, 2013 is due to the acquisition of certain Ally Financial international operations.</w:t>
      </w:r>
    </w:p>
    <w:p>
      <w:pPr>
        <w:spacing w:after="0" w:line="20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December 31, 2013 51,000 of our U.S. employees (or 59%) were represented by unions, a majority of which were represented by the International Union, United Automobile, Aerospace and Agriculture Implement Workers of America (UAW).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names and ages as of February 6, 2014 of our executive officers and their positions and offices with GM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Name and (Age)</w:t>
            </w:r>
          </w:p>
        </w:tc>
        <w:tc>
          <w:tcPr>
            <w:tcW w:w="120" w:type="dxa"/>
            <w:vAlign w:val="bottom"/>
            <w:vMerge w:val="restart"/>
          </w:tcPr>
          <w:p>
            <w:pPr>
              <w:spacing w:after="0"/>
              <w:rPr>
                <w:sz w:val="14"/>
                <w:szCs w:val="14"/>
                <w:color w:val="auto"/>
              </w:rPr>
            </w:pPr>
          </w:p>
        </w:tc>
        <w:tc>
          <w:tcPr>
            <w:tcW w:w="29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Present GM Position (and Effective Date)</w:t>
            </w:r>
          </w:p>
        </w:tc>
        <w:tc>
          <w:tcPr>
            <w:tcW w:w="120" w:type="dxa"/>
            <w:vAlign w:val="bottom"/>
            <w:vMerge w:val="restart"/>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b w:val="1"/>
                <w:bCs w:val="1"/>
                <w:color w:val="auto"/>
                <w:w w:val="94"/>
              </w:rPr>
              <w:t>Positions Held During the Past Five Years if Other than Present GM Position (and Effective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Mary T. Barra (52)</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Chief Executive Officer and Member of the</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Global Product Development, Purchasing &amp; Supply Chain</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Board of Directors (2014)</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Global Product Development (2011)</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Global Human Resources (2009)</w:t>
            </w:r>
          </w:p>
        </w:tc>
        <w:tc>
          <w:tcPr>
            <w:tcW w:w="0" w:type="dxa"/>
            <w:vAlign w:val="bottom"/>
          </w:tcPr>
          <w:p>
            <w:pPr>
              <w:spacing w:after="0"/>
              <w:rPr>
                <w:sz w:val="1"/>
                <w:szCs w:val="1"/>
                <w:color w:val="auto"/>
              </w:rPr>
            </w:pPr>
          </w:p>
        </w:tc>
      </w:tr>
      <w:tr>
        <w:trPr>
          <w:trHeight w:val="233"/>
        </w:trPr>
        <w:tc>
          <w:tcPr>
            <w:tcW w:w="2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Global Manufacturing Engineering (2008)</w:t>
            </w:r>
          </w:p>
        </w:tc>
        <w:tc>
          <w:tcPr>
            <w:tcW w:w="0" w:type="dxa"/>
            <w:vAlign w:val="bottom"/>
          </w:tcPr>
          <w:p>
            <w:pPr>
              <w:spacing w:after="0"/>
              <w:rPr>
                <w:sz w:val="1"/>
                <w:szCs w:val="1"/>
                <w:color w:val="auto"/>
              </w:rPr>
            </w:pP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Daniel Ammann (41)</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President (2014)</w:t>
            </w:r>
          </w:p>
        </w:tc>
        <w:tc>
          <w:tcPr>
            <w:tcW w:w="5800" w:type="dxa"/>
            <w:vAlign w:val="bottom"/>
          </w:tcPr>
          <w:p>
            <w:pPr>
              <w:ind w:left="20"/>
              <w:spacing w:after="0"/>
              <w:rPr>
                <w:sz w:val="20"/>
                <w:szCs w:val="20"/>
                <w:color w:val="auto"/>
              </w:rPr>
            </w:pPr>
            <w:r>
              <w:rPr>
                <w:rFonts w:ascii="Arial" w:cs="Arial" w:eastAsia="Arial" w:hAnsi="Arial"/>
                <w:sz w:val="16"/>
                <w:szCs w:val="16"/>
                <w:color w:val="auto"/>
              </w:rPr>
              <w:t>Executive Vice President &amp; Chief Financial Officer (2013)</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&amp; Chief Financial Officer (2011)</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GM Vice President, Finance &amp; Treasurer (2010)</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w w:val="93"/>
              </w:rPr>
              <w:t>Morgan Stanley - Managing Director and Head of Industrial Investment Banking (2004)</w:t>
            </w: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Jaime Ardila (58)</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&amp; President, South</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&amp; President, South America (2010)</w:t>
            </w:r>
          </w:p>
        </w:tc>
        <w:tc>
          <w:tcPr>
            <w:tcW w:w="0" w:type="dxa"/>
            <w:vAlign w:val="bottom"/>
          </w:tcPr>
          <w:p>
            <w:pPr>
              <w:spacing w:after="0"/>
              <w:rPr>
                <w:sz w:val="1"/>
                <w:szCs w:val="1"/>
                <w:color w:val="auto"/>
              </w:rPr>
            </w:pPr>
          </w:p>
        </w:tc>
      </w:tr>
      <w:tr>
        <w:trPr>
          <w:trHeight w:val="233"/>
        </w:trPr>
        <w:tc>
          <w:tcPr>
            <w:tcW w:w="2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America (2013)</w:t>
            </w: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and Managing Director of GM Mercosur (2007)</w:t>
            </w:r>
          </w:p>
        </w:tc>
        <w:tc>
          <w:tcPr>
            <w:tcW w:w="0" w:type="dxa"/>
            <w:vAlign w:val="bottom"/>
          </w:tcPr>
          <w:p>
            <w:pPr>
              <w:spacing w:after="0"/>
              <w:rPr>
                <w:sz w:val="1"/>
                <w:szCs w:val="1"/>
                <w:color w:val="auto"/>
              </w:rPr>
            </w:pPr>
          </w:p>
        </w:tc>
      </w:tr>
      <w:tr>
        <w:trPr>
          <w:trHeight w:val="220"/>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Alan S. Batey (50)</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800" w:type="dxa"/>
            <w:vAlign w:val="bottom"/>
          </w:tcPr>
          <w:p>
            <w:pPr>
              <w:ind w:left="20"/>
              <w:spacing w:after="0"/>
              <w:rPr>
                <w:sz w:val="20"/>
                <w:szCs w:val="20"/>
                <w:color w:val="auto"/>
              </w:rPr>
            </w:pPr>
            <w:r>
              <w:rPr>
                <w:rFonts w:ascii="Arial" w:cs="Arial" w:eastAsia="Arial" w:hAnsi="Arial"/>
                <w:sz w:val="16"/>
                <w:szCs w:val="16"/>
                <w:color w:val="auto"/>
                <w:w w:val="92"/>
              </w:rPr>
              <w:t>Senior Vice President, Global Chevrolet and Brand Chief and U. S. Sales and Marketing</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North America (2014)</w:t>
            </w:r>
          </w:p>
        </w:tc>
        <w:tc>
          <w:tcPr>
            <w:tcW w:w="5800" w:type="dxa"/>
            <w:vAlign w:val="bottom"/>
          </w:tcPr>
          <w:p>
            <w:pPr>
              <w:ind w:left="2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w w:val="96"/>
              </w:rPr>
              <w:t>GM Vice President, U.S. Sales and Service, and Interim GM Chief Marketing Officer</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Vice President, U.S. Chevrolet Sales and Service (2010)</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Chairman &amp; Managing Director, Holden, Ltd. (2009)</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Executive Director, Sales, Marketing &amp; Aftersales, Holden, Ltd. (2006)</w:t>
            </w: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James B. DeLuca (52)</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Manufacturing, GM International Operations (2013)</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Manufacturing (2014)</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Quality, GM International Operations (2009)</w:t>
            </w: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Vice President, Quality, GM Asia Pacific and GM Daewoo Auto &amp; Technology (2007)</w:t>
            </w:r>
          </w:p>
        </w:tc>
        <w:tc>
          <w:tcPr>
            <w:tcW w:w="0" w:type="dxa"/>
            <w:vAlign w:val="bottom"/>
          </w:tcPr>
          <w:p>
            <w:pPr>
              <w:spacing w:after="0"/>
              <w:rPr>
                <w:sz w:val="1"/>
                <w:szCs w:val="1"/>
                <w:color w:val="auto"/>
              </w:rPr>
            </w:pPr>
          </w:p>
        </w:tc>
      </w:tr>
      <w:tr>
        <w:trPr>
          <w:trHeight w:val="459"/>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 and (Age)</w:t>
            </w:r>
          </w:p>
        </w:tc>
        <w:tc>
          <w:tcPr>
            <w:tcW w:w="120" w:type="dxa"/>
            <w:vAlign w:val="bottom"/>
            <w:vMerge w:val="restart"/>
          </w:tcPr>
          <w:p>
            <w:pPr>
              <w:spacing w:after="0"/>
              <w:rPr>
                <w:sz w:val="14"/>
                <w:szCs w:val="14"/>
                <w:color w:val="auto"/>
              </w:rPr>
            </w:pPr>
          </w:p>
        </w:tc>
        <w:tc>
          <w:tcPr>
            <w:tcW w:w="29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Present GM Position (and Effective Date)</w:t>
            </w:r>
          </w:p>
        </w:tc>
        <w:tc>
          <w:tcPr>
            <w:tcW w:w="120" w:type="dxa"/>
            <w:vAlign w:val="bottom"/>
            <w:vMerge w:val="restart"/>
          </w:tcPr>
          <w:p>
            <w:pPr>
              <w:spacing w:after="0"/>
              <w:rPr>
                <w:sz w:val="14"/>
                <w:szCs w:val="14"/>
                <w:color w:val="auto"/>
              </w:rPr>
            </w:pPr>
          </w:p>
        </w:tc>
        <w:tc>
          <w:tcPr>
            <w:tcW w:w="5800" w:type="dxa"/>
            <w:vAlign w:val="bottom"/>
          </w:tcPr>
          <w:p>
            <w:pPr>
              <w:ind w:left="80"/>
              <w:spacing w:after="0"/>
              <w:rPr>
                <w:sz w:val="20"/>
                <w:szCs w:val="20"/>
                <w:color w:val="auto"/>
              </w:rPr>
            </w:pPr>
            <w:r>
              <w:rPr>
                <w:rFonts w:ascii="Arial" w:cs="Arial" w:eastAsia="Arial" w:hAnsi="Arial"/>
                <w:sz w:val="14"/>
                <w:szCs w:val="14"/>
                <w:b w:val="1"/>
                <w:bCs w:val="1"/>
                <w:color w:val="auto"/>
                <w:w w:val="94"/>
              </w:rPr>
              <w:t>Positions Held During the Past Five Years if Other than Present GM Position (and Effective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Stefan Jacoby (55)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Consolidated</w:t>
            </w:r>
          </w:p>
        </w:tc>
        <w:tc>
          <w:tcPr>
            <w:tcW w:w="5800" w:type="dxa"/>
            <w:vAlign w:val="bottom"/>
          </w:tcPr>
          <w:p>
            <w:pPr>
              <w:ind w:left="20"/>
              <w:spacing w:after="0"/>
              <w:rPr>
                <w:sz w:val="20"/>
                <w:szCs w:val="20"/>
                <w:color w:val="auto"/>
              </w:rPr>
            </w:pPr>
            <w:r>
              <w:rPr>
                <w:rFonts w:ascii="Arial" w:cs="Arial" w:eastAsia="Arial" w:hAnsi="Arial"/>
                <w:sz w:val="16"/>
                <w:szCs w:val="16"/>
                <w:color w:val="auto"/>
              </w:rPr>
              <w:t>Volvo Car Corporation - Global Chief Executive Officer and President (2010)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International Operations (2013)</w:t>
            </w:r>
          </w:p>
        </w:tc>
        <w:tc>
          <w:tcPr>
            <w:tcW w:w="5800" w:type="dxa"/>
            <w:vAlign w:val="bottom"/>
          </w:tcPr>
          <w:p>
            <w:pPr>
              <w:ind w:left="20"/>
              <w:spacing w:after="0"/>
              <w:rPr>
                <w:sz w:val="20"/>
                <w:szCs w:val="20"/>
                <w:color w:val="auto"/>
              </w:rPr>
            </w:pPr>
            <w:r>
              <w:rPr>
                <w:rFonts w:ascii="Arial" w:cs="Arial" w:eastAsia="Arial" w:hAnsi="Arial"/>
                <w:sz w:val="16"/>
                <w:szCs w:val="16"/>
                <w:color w:val="auto"/>
              </w:rPr>
              <w:t>Volkswagen Group of America - Chief Executive Officer and President (2007)</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Timothy E. Lee (63)(a)</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Chairman, GM</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Executive Vice President, Global Manufacturing &amp; Chairman, GM China, Inc. (2013)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China, Inc. (2014)</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Executive Vice President, Global Manufacturing &amp; President, International Operations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GM Vice President, Global Manufacturing &amp; President, International Operations (2012)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 Vice President &amp; President, International Operations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Group Vice President, Global Manufacturing and Labor (2009)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 North America Vice President, Manufacturing (2006)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Michael P. Millikin (65)</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General</w:t>
            </w: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&amp; General Counsel (2011)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Counsel (2013)</w:t>
            </w:r>
          </w:p>
        </w:tc>
        <w:tc>
          <w:tcPr>
            <w:tcW w:w="5800" w:type="dxa"/>
            <w:vAlign w:val="bottom"/>
          </w:tcPr>
          <w:p>
            <w:pPr>
              <w:ind w:left="20"/>
              <w:spacing w:after="0"/>
              <w:rPr>
                <w:sz w:val="20"/>
                <w:szCs w:val="20"/>
                <w:color w:val="auto"/>
              </w:rPr>
            </w:pPr>
            <w:r>
              <w:rPr>
                <w:rFonts w:ascii="Arial" w:cs="Arial" w:eastAsia="Arial" w:hAnsi="Arial"/>
                <w:sz w:val="16"/>
                <w:szCs w:val="16"/>
                <w:color w:val="auto"/>
              </w:rPr>
              <w:t>GM Vice President &amp; General Counsel (2009)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Associate General Counsel (2005)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Karl-Thomas Neumann (52)</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CEO, Adam Opel AG &amp; President, GM Europe (2013)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 &amp; Chairman of the Management</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Volkswagen Group China - Chief Executive Officer and President (2010)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Board of Adam Opel AG (2013)</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Volkswagen Group - Executive Vice President, Electromobility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Continental AG - Chief Executive Officer &amp; Chief Technology Officer, Division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Powertrain and President, Division Chassis &amp; Safety (2008)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Mark L. Reuss (50)</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w:t>
            </w:r>
          </w:p>
        </w:tc>
        <w:tc>
          <w:tcPr>
            <w:tcW w:w="5800" w:type="dxa"/>
            <w:vAlign w:val="bottom"/>
          </w:tcPr>
          <w:p>
            <w:pPr>
              <w:ind w:left="20"/>
              <w:spacing w:after="0"/>
              <w:rPr>
                <w:sz w:val="20"/>
                <w:szCs w:val="20"/>
                <w:color w:val="auto"/>
              </w:rPr>
            </w:pPr>
            <w:r>
              <w:rPr>
                <w:rFonts w:ascii="Arial" w:cs="Arial" w:eastAsia="Arial" w:hAnsi="Arial"/>
                <w:sz w:val="16"/>
                <w:szCs w:val="16"/>
                <w:color w:val="auto"/>
              </w:rPr>
              <w:t>Executive Vice President &amp; President, North America (2013)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Development, Purchasing &amp; Supply Chain</w:t>
            </w:r>
          </w:p>
        </w:tc>
        <w:tc>
          <w:tcPr>
            <w:tcW w:w="5800" w:type="dxa"/>
            <w:vAlign w:val="bottom"/>
          </w:tcPr>
          <w:p>
            <w:pPr>
              <w:ind w:left="20"/>
              <w:spacing w:after="0"/>
              <w:rPr>
                <w:sz w:val="20"/>
                <w:szCs w:val="20"/>
                <w:color w:val="auto"/>
              </w:rPr>
            </w:pPr>
            <w:r>
              <w:rPr>
                <w:rFonts w:ascii="Arial" w:cs="Arial" w:eastAsia="Arial" w:hAnsi="Arial"/>
                <w:sz w:val="16"/>
                <w:szCs w:val="16"/>
                <w:color w:val="auto"/>
              </w:rPr>
              <w:t>GM Vice President &amp; President, North America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GM Vice President, Global Vehicle Engineering (2009)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President &amp; Managing Director, GM Holden, Ltd. (2008)</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Charles K. Stevens, III (54)</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Chief Financial</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Financial Officer, GM North America (2010)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Officer (2014)</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Interim Chief Financial Officer, GM South America (2011)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Executive Director, Finance, GM de Mexico (2008)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Matthew Tsien (53)</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800" w:type="dxa"/>
            <w:vAlign w:val="bottom"/>
          </w:tcPr>
          <w:p>
            <w:pPr>
              <w:ind w:left="20"/>
              <w:spacing w:after="0"/>
              <w:rPr>
                <w:sz w:val="20"/>
                <w:szCs w:val="20"/>
                <w:color w:val="auto"/>
              </w:rPr>
            </w:pPr>
            <w:r>
              <w:rPr>
                <w:rFonts w:ascii="Arial" w:cs="Arial" w:eastAsia="Arial" w:hAnsi="Arial"/>
                <w:sz w:val="16"/>
                <w:szCs w:val="16"/>
                <w:color w:val="auto"/>
              </w:rPr>
              <w:t>GM Consolidated International Operations Vice President, Planning, Program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China, Inc. (2014)</w:t>
            </w:r>
          </w:p>
        </w:tc>
        <w:tc>
          <w:tcPr>
            <w:tcW w:w="5800" w:type="dxa"/>
            <w:vAlign w:val="bottom"/>
          </w:tcPr>
          <w:p>
            <w:pPr>
              <w:ind w:left="20"/>
              <w:spacing w:after="0"/>
              <w:rPr>
                <w:sz w:val="20"/>
                <w:szCs w:val="20"/>
                <w:color w:val="auto"/>
              </w:rPr>
            </w:pPr>
            <w:r>
              <w:rPr>
                <w:rFonts w:ascii="Arial" w:cs="Arial" w:eastAsia="Arial" w:hAnsi="Arial"/>
                <w:sz w:val="16"/>
                <w:szCs w:val="16"/>
                <w:color w:val="auto"/>
              </w:rPr>
              <w:t>Management, &amp; Strategic Alliances China (2012)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Executive Vice President, SAIC GM Wuling (2009)</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Thomas Timko (45)</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GM Vice President, Controller &amp; Chief</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Applied Materials Inc. - Corporate Vice President, Chief Accounting Officer,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Accounting Officer (2013)</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Controller (2010)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Delphi Automotive Corporation - Chief Accounting Officer and Controller (2006)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Retiring effective April 1, 2014.</w:t>
      </w:r>
    </w:p>
    <w:p>
      <w:pPr>
        <w:spacing w:after="0" w:line="20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There are no family relationships as defined in Item 401 of Regulation S-K between any of the officers named above and there is no arrangement or understanding between any of the officers named above and any other person pursuant to which he or she was selected as an officer. Each of the officers named above was elected by the Board of Directors or a committee of the Board of Directors to hold office until the next annual election of officers and until his or her successor is elected and qualified or until his or her earlier resignation or removal. The Board of Directors elects the officers immediately following each annual meeting of the stockholders and may appoint other officers between annual meetings.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Data</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Operating segment data and principal geographic area data for the years ended December 31, 2013, 2012 and 2011 are summarized in Note 25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Our Reports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internet website address is www.gm.com. In addition to the information about us and our subsidiaries contained in this 2013 Form 10-K information about us can be found on our website including information on our corporate governance principles. Our website and information included in or linked to our website are not part of this 2013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 factors described below. While we describe each risk separately, some of these risks are interrelated and certain risks could trigger the applicability of other risks described 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business is highly dependent on sales volume. There is no assurance that the global automobile market will not suffer a significant downturn.</w:t>
      </w:r>
    </w:p>
    <w:p>
      <w:pPr>
        <w:spacing w:after="0" w:line="24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business and financial results are highly sensitive to sales volume. A number of economic and market conditions drive changes in vehicle sales, including real estate values, levels of unemployment, the availability of credit, fluctuations in the cost of fuel and consumer confidence. We cannot predict future economic and market conditions with certainty and any change in economic and market conditions that negatively affects sales volumes could materially adversely affect our results of operations and financial condition.</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Our ability to maintain profitability over the long-term is dependent upon our ability to introduce new and improved vehicle models that are able to attract a sufficient number of consumers.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ability to maintain profitability over the long-term depends on our ability to entice consumers to consider our products when purchasing a new vehicle. The automotive industry, particularly in the U.S., is very competitive with market participants routinely introducing new and improved vehicle models designed to meet consumer expectations, and in the past our competitors have been very successful in persuading customers that previously purchased our products to purchase their vehicles instead. Producing new and improved vehicle models on a basis competitive with the models introduced by our competitors and changing any negative perception, in light of Old GM's bankruptcy, will be critical to our long-term profitability. We will launch a substantial number of new vehicles in 2014. A successful launch of our new vehicles is critical to our short term profitability.</w:t>
      </w:r>
    </w:p>
    <w:p>
      <w:pPr>
        <w:spacing w:after="0" w:line="17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pace of our development and introduction of new and improved vehicles depends on our ability to implement successfully improved technological innovations in design, engineering and manufacturing, which requires extensive capital investment. In some cases the technologies that we plan to employ, such as hydrogen fuel cells and advanced battery technology, are not yet commercially practical and depend on significant future technological advances by us and by our suppliers. There can be no assurance that our competitors and others pursuing similar technologies and other competing technologies will not acquire similar or superior technologies sooner than we do or on an exclusive basis or at a significant price advantage. If we are unable to achieve these goals, we may not be able to maintain profitability over the long-term.</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Shortages of and volatility in the price of oil have caused and may have a material adverse effect on our business due to shifts in consumer vehicle demand.</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Volatile oil prices in recent years have tended to cause a shift in consumer demand towards smaller, more fuel-efficient vehicles, which provide lower profit margins. Any increases in the price of oil in the U.S. or in our other markets or any sustained shortage of oil, including as a result of political instability in the Middle East, South America and African nations, could weaken the demand for our higher margin fullsize pick-up trucks and sport utility vehicles, which could reduce our market share in affected markets, decrease profitability and have a material adverse effect on our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future competitiveness and ability to achieve long-term profitability depends on our ability to control our costs, which requires us to successfully implement restructuring initiatives throughout our automotive operations.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are continuing to implement a number of cost reduction and productivity improvement initiatives in our automotive operations, including labor modifications and substantial restructuring initiatives. Our future competitiveness depends upon our continued success in implementing these initiatives throughout our automotive operations. While some of the elements of cost reduction are within our control, others such as interest rates or return on investments, which influence our expense for pensions, depend more on external factors, and there can be no assurance that such external factors will not materially adversely affect our ability to reduce our costs. Reducing costs may prove difficult due to our focus on increasing advertising and our belief that engineering expenses necessary to improve the performance, safety and customer satisfaction of our vehicles are likely to increase.</w:t>
      </w:r>
    </w:p>
    <w:p>
      <w:pPr>
        <w:spacing w:after="0" w:line="178"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Our automotive manufacturing operations are dependent upon the continued ability of our suppliers to provide us with systems, components and parts and any disruption in our suppliers' operations could disrupt our production schedule and adversely affect our operations.</w:t>
      </w:r>
    </w:p>
    <w:p>
      <w:pPr>
        <w:spacing w:after="0" w:line="12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Our automotive operations are dependent upon the continued ability of our suppliers to deliver the systems, components and parts that we need to manufacture our products. Our use of “just-in-time” manufacturing processes results in our having minimal inventories of the systems, components and parts we need to conduct our automotive manufacturing operations. As a result our ability to maintain production is dependent upon the continued ability of our suppliers to deliver sufficient quantities of systems, components and parts at such times as allow us to meet our production schedules. In some instances we purchase systems, components, parts and supplies from a single source and may be at an increased risk for supply disruptions. Where we experience supply disruptions, we may not be able to develop alternate sourcing quickly. Any disruption of our production schedule caused by an unexpected shortage of systems, components or parts even for a relatively short period of time could cause us to alter production schedules or suspend production entirely and thus could adversely affect our financial results.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Increase in cost, disruption of supply or shortage of raw materials could materially harm our business.</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use various raw materials in our business including steel, non-ferrous metals such as aluminum and copper, and precious metals such as platinum and palladium. The prices for these raw materials fluctuate depending on market conditions. In recent years freight charges and raw material costs increased. Substantial increases in the prices for our raw materials increase our operating costs and could reduce our profitability if we cannot recoup the increased costs through increased vehicle prices. Some of these raw materials, such as corrosion-resistant steel, are only available from a limited number of suppliers. We cannot guarantee that we will be able to maintain favorable arrangements and relationships with these suppliers. An increase in the cost or a sustained interruption in the supply or shortage of some of these raw materials, which may be caused by a deterioration of our relationships with suppliers or by events such as labor strikes, could negatively affect our net revenues and profitability to a material extent.</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that has excess manufacturing capacity and attempts by our competitors to sell more vehicles could have a significant negative effect on our vehicle pricing, market share and operating results.</w:t>
      </w:r>
    </w:p>
    <w:p>
      <w:pPr>
        <w:spacing w:after="0" w:line="1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global automotive industry is highly competitive and overall manufacturing capacity in the industry exceeds demand. Many manufacturers have relatively high fixed labor costs as well as significant limitations on their ability to close facilities and reduce fixed costs. Our competitors may respond to these relatively high fixed costs by attempting to sell more vehicles by adding vehicle enhancements, providing subsidized financing or leasing programs, offering option package discounts or other marketing incentives, or reducing vehicle prices in certain markets. Manufacturers in lower cost countries such as China and India have emerged as competitors in key emerging markets and announced their intention of exporting their products to established markets as a bargain alternative to entry-level automobiles. These actions have had, and are expected to continue to have, a significant negative effect on our vehicle pricing, market share and operating results, and present a significant risk to our ability to enhance our revenue per vehicle.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competitors may be able to benefit from the cost savings offered by industry consolidation or alliances.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Designing, manufacturing and selling vehicles is capital intensive and requires substantial investments in manufacturing, machinery, research and development, product design, engineering, technology and marketing in order to meet both consumer preferences and regulatory requirements. Large original equipment manufacturers are able to benefit from economies of scale by leveraging their investments and activities on a global basis across brands and nameplates. If our competitors consolidate or enter into other strategic agreements such as alliances, they may be able to take better advantage of these economies of scale. We believe that competitors may be able to benefit from the cost savings offered by consolidation or alliances, which could adversely affect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competitiveness with respect to those competitors. Competitors could use consolidation or alliances as a means of enhancing their competitiveness or liquidity position, which could also materially adversely affect our business.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Our business plan contemplates that we restructure our operations in various European countries, but we may not succeed in doing so, and our failure to restructure these operations in a cost-effective and non-disruptive manner could have a material adverse effect on our business and results of operations.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2013 the European automotive industry continued to be severely affected by the ongoing sovereign debt crisis, high unemployment and a lack of consumer confidence coupled with overcapacity.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response we are executing various actions to strengthen our European operations and increase our competitiveness. The key areas of the plan include:</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our product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revised brand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management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material, development and production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synergies from the alliance between us and Peugeot S.A. (PSA).</w:t>
      </w:r>
    </w:p>
    <w:p>
      <w:pPr>
        <w:spacing w:after="0" w:line="21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Notwithstanding the above we believe it is likely that adverse economic conditions and their effect on the European automotive industry will not improve significantly in the short-term and we expect to continue to incur losses in the region as a result. In addition the success of our plan will depend on a combination of our ability to execute the actions contemplated, as well as external factors, which are outside of our control. Our inability to successfully restructure our European operations and implement our plan could have a material adverse effect on our results of operations and financial condition.</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Our defined benefit pension plans are currently underfunded and our pension funding requirements could increase significantly due to a reduction in funded status as a result of a variety of factors, including weak performance of financial markets, declining interest rates and investments that do not achieve adequate returns.</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Our employee benefit plans currently hold a significant amount of equity and fixed income securities. A detailed description of the investment funds and strategies is disclosed in Note 15 to our consolidated financial statements, which also describes significant concentrations of risk to the plan investments.</w:t>
      </w:r>
    </w:p>
    <w:p>
      <w:pPr>
        <w:spacing w:after="0" w:line="12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There are additional risks due to the complexity and magnitude of our investments. Examples include implementation of significant changes in investment policy, insufficient market capacity to absorb a particular investment strategy or high volume transactions and the inability to quickly rebalance illiquid and long-term investments.</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Our future funding requirement for our U.S. defined benefit pension plans qualified with the Internal Revenue Service depend upon the future performance of assets placed in trusts for these plans, the level of interest rates used to determine funding levels, the level of benefits provided for by the plans and any changes in government laws and regulations. Future funding requirements generally increase if the discount rate decreases or if actual asset returns are lower than expected asset returns, as other factors are held constant. Our potential funding requirements are described in “Management's Discussion and Analysis of Financial Conditions and Results of Operations -- Contractual Obligations and Other Long-Term Liabilities.”</w:t>
      </w:r>
    </w:p>
    <w:p>
      <w:pPr>
        <w:spacing w:after="0" w:line="1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Factors which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pension plans outside the U.S., we could be required to contribute more funds, which would negatively affect our cash flow.</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We rely on GM Financial to provide financial services to our dealers and customers in a majority of the markets in which we sell vehicles. GM Financial faces a number of business, economic and financial risks that could impair its access to capital and negatively affect its business and operations and its ability to provide leasing, prime and sub-prime financing to consumers and commercial lending to our dealers to support additional sales of our vehicles.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North America GM Financial supports additional consumer leasing of our vehicles and additional sales of our vehicles to consumers requiring sub-prime vehicle financing as well as providing commercial lending to our dealers. In Europe and South America we rely on GM Financial to support additional consumer leasing of our vehicles and additional sales of our vehicles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prime consumers as well as providing commercial lending to our dealers</w:t>
      </w:r>
      <w:r>
        <w:rPr>
          <w:rFonts w:ascii="Arial" w:cs="Arial" w:eastAsia="Arial" w:hAnsi="Arial"/>
          <w:sz w:val="18"/>
          <w:szCs w:val="18"/>
          <w:i w:val="1"/>
          <w:iCs w:val="1"/>
          <w:color w:val="auto"/>
        </w:rPr>
        <w:t>.</w:t>
      </w:r>
      <w:r>
        <w:rPr>
          <w:rFonts w:ascii="Arial" w:cs="Arial" w:eastAsia="Arial" w:hAnsi="Arial"/>
          <w:sz w:val="18"/>
          <w:szCs w:val="18"/>
          <w:color w:val="auto"/>
        </w:rPr>
        <w:t xml:space="preserve"> GM Financial is subject to various risks that could negatively affect its business, operations and access to capital and therefore its ability to provide leasing, prime and sub-prime financing options at competitive rates to consumers of our vehicles and commercial lending to our dealers. Because we rely on GM Financial to serve as an additional source of leasing, prime and sub-prime financing options for consumers and commercial lending to our dealers, any impairment of GM Financial's ability to provide such financial services would negatively affect our efforts to expand our market penetration among consumers who rely on these financial services to acquire new vehicles and dealers who seek financing. The factors that could adversely affect GM Financial's business and operations and impair its ability to provide financing services at competitive rates include:</w:t>
      </w:r>
    </w:p>
    <w:p>
      <w:pPr>
        <w:spacing w:after="0" w:line="18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to close the acquisition of GMAC-SAIC and integrate the acquired Ally Financial international operations into its business successfully;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borrowings under its credit facilities to fund its consumer and dealer finance activities pending securitization;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Its ability to transfer finance receivables and leases to securitization trusts and sell securities in the asset-backed securities market to generate cash proceeds to repay its credit facilities and fund additional finance receivables and leases;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loans and leases in its portfolio, which could be materially affected by delinquencies, defaults or prepayments;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Wholesale auction values of used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than expected vehicle return rates and the residual value performance on vehicles GM Financial leases;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interest rates and currencies.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above factors, alone or in combination, could negatively affect GM Financial's business and operations or its ability to provide leasing, prime and sub-prime financing options to consumers to support additional sales of our vehicles and dealer financing.</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planned investment in new technology in the future is significant and may not be funded at anticipated levels and, even if funded at anticipated levels, may not result in successful vehicle applications.</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intend to invest significant capital resources to support our products and to develop new technology. In addition we plan to invest heavily in alternative fuel and advanced propulsion technologies between 2014 and 2015, largely to support our planned expansion of hybrid and electric vehicles. Moreover if our future operations do not provide us with the cash flow we anticipate, we may be forced to reduce, delay or cancel our planned investments in new technology.</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some cases the technologies that we plan to employ, such as hydrogen fuel cells and advanced battery technology, are not yet commercially practical and depend on significant future technological advances by us and by suppliers. There can be no assurance that these advances will occur in a timely or feasible way, that the funds that we have budgeted for these purposes will be adequate or that we will be able to establish our right to these technologies. However our competitors and others are pursuing similar technologies and other competing technologies and there can be no assurance that they will not acquire similar or superior technologies sooner than we do or on an exclusive basis or at a significant price advantage.</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to our information technology networks and systems could interfere with our operations and could compromise the confidentiality of our proprietary information.</w:t>
      </w:r>
    </w:p>
    <w:p>
      <w:pPr>
        <w:spacing w:after="0" w:line="17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rely upon information technology networks and systems, some of which are managed by third-parties, to process, transmit and store electronic information, and to manage or support a variety of business processes and activities, including supply chain management, manufacturing, invoicing and collection of payments from our dealer network and from customers of GM Financial. Additionally we collect and store sensitive data, including intellectual property, proprietary business information, the propriety business information of our dealers and suppliers, as well as personally identifiable information of our customers and employees, in data centers and on information technology networks. The secure operation of these information technology networks, and the processing and maintenance of this information, is critical to our business operations and strategy. Despite security measures and business continuity plans, our information technology networks and systems may be vulnerable to damage, disruptions or shutdowns due to attacks by hackers or breaches due to errors or malfeasance by employees, contractors and others who have access to our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networks and systems, or other disruptions during the process of upgrading or replacing computer software or hardware, power outages, computer viruses, telecommunication or utility failures or natural disasters or other catastrophic events. The occurrence of any of these events could compromise our networks and the information stored there could be accessed, publicly disclosed, lost or stolen. Any such access, disclosure or other loss of information could result in legal claims or proceedings, liability or regulatory penalties under laws protecting the privacy of personal information, disrupt operations and reduce the competitive advantage we hope to derive from our investment in advanced technologies. Our insurance coverage may not be adequate to cover all the costs related to significant security attacks or disruptions resulting from such attacks.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increased fuel economy requirements and reduced greenhouse gas emissions, or changes in existing ones, may have a significant effect on how we do business.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are affected significantly by governmental regulations that can increase costs related to the production of our vehicles and affect our product portfolio. We anticipate that the number and extent of these regulations, and the related costs and changes to our product lineup, will increase significantly in the future. In the U.S. and Europe, for example, governmental regulation is driven primarily by concerns about the environment (including greenhouse gas emissions), vehicle safety, fuel economy and energy security. These government regulatory requirements could significantly affect our plans for global product development and may result in substantial costs, including civil penalties. They may also result in limits on the types of vehicles we sell and where we sell them, which can affect revenue.</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U.S. vehicle fuel economy and greenhouse gas emissions are regulated under a harmonized national program administered by the NHTSA and the EPA. The agencies have set coordinated fuel economy and greenhouse emission standards through the 2025 model year for light duty vehicles and through the 2018 model year for heavy duty trucks. California, which has set its own greenhouse gas emission standards through its AB 1493 Rules, has agreed to accept compliance with the national program as compliance with its state program.</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are committed to meeting or exceeding these U.S. regulatory requirements, and our product plan of record projects compliance with the anticipated national program through the 2021 model year. The standards for the 2022 through 2025 model years may be adjusted as a result of a mid-term review by the agencies. Therefore we believe it is premature to project compliance with possible standards for those years. We expect that to comply with these standards we will be required to sell a significant volume of hybrid electric vehicles,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w:t>
      </w:r>
    </w:p>
    <w:p>
      <w:pPr>
        <w:spacing w:after="0" w:line="16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EU passed legislation, effective in April 2009, that began regulating vehicle CO</w:t>
      </w:r>
      <w:r>
        <w:rPr>
          <w:rFonts w:ascii="Arial" w:cs="Arial" w:eastAsia="Arial" w:hAnsi="Arial"/>
          <w:sz w:val="11"/>
          <w:szCs w:val="11"/>
          <w:color w:val="auto"/>
        </w:rPr>
        <w:t>2</w:t>
      </w:r>
      <w:r>
        <w:rPr>
          <w:rFonts w:ascii="Arial" w:cs="Arial" w:eastAsia="Arial" w:hAnsi="Arial"/>
          <w:sz w:val="16"/>
          <w:szCs w:val="16"/>
          <w:color w:val="auto"/>
        </w:rPr>
        <w:t xml:space="preserve"> emissions in 2012. The legislation sets a target of a fleet average of 95 grams per kilometer for 2020, with the requirements for each manufacturer based on the weight of the vehicles it sells. Additional measures have been proposed or adopted in Europe to regulate features such as tire rolling resistance, vehicle air conditioners, tire pressure monitors, gear shift indicators and others. At the national level 17 EU Member States have adopted some form of fuel consumption or carbon dioxide-based vehicle taxation system, which could result in specific market requirements for us to introduce technology earlier than is required for compliance with the EU emissions standards.</w:t>
      </w:r>
    </w:p>
    <w:p>
      <w:pPr>
        <w:spacing w:after="0" w:line="15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Other governments around the world, such as Canada, China, Brazil, Mexico and South Korea are also creating or have new policies to address these same issues. As in the U.S. these government policies could significantly affect our plans for product development. Due to these regulations we could be subject to sizable civil penalties or have to restrict product offerings drastically to remain in compliance. The regulations will result in substantial costs, which could be difficult to pass through to our customers, and could result in limits on the types of vehicles we sell and where we sell them, which could affect our operations, including facility closings, reduced employment, increased costs and loss of revenue.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significant amount of our operations are conducted by joint ventures that we cannot operate solely for our benefit.</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Many of our operations, particularly in emerging markets, are carried out by joint ventures such as SGM.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In joint ventures we are required to foster our relationships with our co-owners as well as promote the overall success of the joint venture, and if a co-owner changes or relationships deteriorate, our success in the joint venture may be materially adversely affected. The benefits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from a successful joint venture are shared among the co-owners, so that we do not receive all the benefits from our successful joint ventures.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in China is subject to aggressive competition and is sensitive to economic and market conditions.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Maintaining a strong position in the Chinese market is a key component of our global growth strategy. The automotive market in China is highly competitive, with competition from many of the largest global manufacturers and numerous smaller domestic manufacturers. As the size of the Chinese market continues to increase, we anticipate that additional competitors, both international and domestic, will seek to enter the Chinese market and that existing market participants will act aggressively to increase their market share. Increased competition may result in price reductions, reduced margins and our inability to gain or hold market share. In addition our business in China is sensitive to economic and market conditions that drive sales volume in China. If we are unable to maintain our position in the Chinese market or if vehicle sales in China decrease or do not continue to increase, our business and financial results could be materially adversely affected.</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be materially adversely affected by changes or imbalances in foreign currency exchange rates and interest rates.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Given the nature of the automotive industry and global spread of our business, we have significant exposures to risks related to changes in foreign currency exchange rates and interest rates, which can have material adverse effects on our business. In preparing the consolidated financial statements we translate our revenues and expenses outside the U.S. into U.S. Dollars using the average foreign currency exchange rate for the period and the assets and liabilities using the foreign currency exchange rate at the balance sheet date. As a result foreign currency fluctuations and the associated translations could have a material adverse effect on our results of operations and financial condition.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businesses outside the U.S. expose us to additional risks that may materially adversely affect our business.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majority of our vehicles are sold outside the U.S. We are pursuing growth opportunities for our business in a variety of business environments outside the U.S. Operating in a large number of different regions and countries exposes us to political, economic and other risks as well as multiple foreign regulatory requirements that are subject to change, including: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downturns in foreign countries or geographic regions where we have significant operations, such as China;</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tensions between governments and changes in international trade and investment policies, including imposing restrictions on the repatriation of dividends, especially between the U.S. and China;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regulations restricting our ability to sell our products in those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 including fuel economy, vehicle emissions and safety;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Liabilities resulting from U.S. and foreign laws and regulations, including those related to the Foreign Corrupt Practices Act and certain other anti-corruption 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labor regulations and union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Consequences from changes in tax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obtaining financing in foreign countries for local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natural calamities, war and terrorism.</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effects of these risks may, individually or in the aggregate, materially adversely affect our business.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safety standards, or changes in existing ones, may have a significant negative effect on how we do business.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products must satisfy legal safety requirements. Meeting or exceeding government-mandated safety standards is difficult and costly because crashworthiness standards tend to conflict with the need to reduce vehicle weight in order to meet emissions and fuel economy standards. While we are managing our product development and production operations on a global basis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reduce costs and lead times, unique national or regional standards or vehicle rating programs can result in additional costs for product development, testing and manufacturing. Governments often require the implementation of new requirements during the middle of a product cycle, which can be substantially more expensive than accommodating these requirements during the design of a new product.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costs and effect on our reputation of product recalls could materially adversely affect our business.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From time to time we recall our products to address performance, compliance or safety-related issues. The costs we incur in connection with these recalls typically include the cost of the part being replaced and labor to remove and replace the defective part. In addition product recalls can harm our reputation and cause us to lose customers, particularly if those recalls cause consumers to question the safety or reliability of our products. Any costs incurred or lost sales caused by future product recalls could materially adversely affect our business. Conversely not issuing a recall or not issuing a recall on a timely basis can harm our reputation and cause us to lose customers for the same reasons as expressed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At December 31, 2013 we had 104 locations in 25 states and 81 cities or towns in the U.S. excluding our automotive financing operations and dealerships. Of these locations 40 are manufacturing facilities, of which 12 are engaged in the final assembly of our vehicles, other manufactured automotive components and power products. Of the remaining locations 24 are customer care and aftersales operations primarily responsible for distribution and warehouse functions and the remainder are offices or facilities primarily involved in engineering and testing vehicles. Leased properties are primarily composed of warehouses and administration, engineering and sales offices.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16 locations in Canada and we have assembly, manufacturing, distribution, office or warehousing operations in 59 other countries, including equity interests in associated companies which perform assembly, manufacturing or distribution operations. The major facilities outside the U.S. and Canada, which are principally vehicle manufacturing and assembly operations, are located in:</w:t>
      </w:r>
    </w:p>
    <w:p>
      <w:pPr>
        <w:spacing w:after="0" w:line="316"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20"/>
              <w:spacing w:after="0"/>
              <w:rPr>
                <w:sz w:val="20"/>
                <w:szCs w:val="20"/>
                <w:color w:val="auto"/>
              </w:rPr>
            </w:pPr>
            <w:r>
              <w:rPr>
                <w:rFonts w:ascii="Arial" w:cs="Arial" w:eastAsia="Arial" w:hAnsi="Arial"/>
                <w:sz w:val="18"/>
                <w:szCs w:val="18"/>
                <w:color w:val="auto"/>
              </w:rPr>
              <w:t>Argentina</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Colombia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South Africa</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140"/>
              <w:spacing w:after="0"/>
              <w:rPr>
                <w:sz w:val="20"/>
                <w:szCs w:val="20"/>
                <w:color w:val="auto"/>
              </w:rPr>
            </w:pPr>
            <w:r>
              <w:rPr>
                <w:rFonts w:ascii="Arial" w:cs="Arial" w:eastAsia="Arial" w:hAnsi="Arial"/>
                <w:sz w:val="18"/>
                <w:szCs w:val="18"/>
                <w:color w:val="auto"/>
                <w:w w:val="89"/>
              </w:rPr>
              <w:t>Uzbekistan</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Ecuador</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Kenya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South Korea</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140"/>
              <w:spacing w:after="0"/>
              <w:rPr>
                <w:sz w:val="20"/>
                <w:szCs w:val="20"/>
                <w:color w:val="auto"/>
              </w:rPr>
            </w:pPr>
            <w:r>
              <w:rPr>
                <w:rFonts w:ascii="Arial" w:cs="Arial" w:eastAsia="Arial" w:hAnsi="Arial"/>
                <w:sz w:val="18"/>
                <w:szCs w:val="18"/>
                <w:color w:val="auto"/>
                <w:w w:val="94"/>
              </w:rPr>
              <w:t>Venezuela</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40"/>
              <w:spacing w:after="0"/>
              <w:rPr>
                <w:sz w:val="20"/>
                <w:szCs w:val="20"/>
                <w:color w:val="auto"/>
              </w:rPr>
            </w:pPr>
            <w:r>
              <w:rPr>
                <w:rFonts w:ascii="Arial" w:cs="Arial" w:eastAsia="Arial" w:hAnsi="Arial"/>
                <w:sz w:val="18"/>
                <w:szCs w:val="18"/>
                <w:color w:val="auto"/>
              </w:rPr>
              <w:t>Brazil</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Egypt</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Mexico</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Spain</w:t>
            </w: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ind w:left="140"/>
              <w:spacing w:after="0"/>
              <w:rPr>
                <w:sz w:val="20"/>
                <w:szCs w:val="20"/>
                <w:color w:val="auto"/>
              </w:rPr>
            </w:pPr>
            <w:r>
              <w:rPr>
                <w:rFonts w:ascii="Arial" w:cs="Arial" w:eastAsia="Arial" w:hAnsi="Arial"/>
                <w:sz w:val="18"/>
                <w:szCs w:val="18"/>
                <w:color w:val="auto"/>
              </w:rPr>
              <w:t>Vietnam</w:t>
            </w: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40"/>
              <w:spacing w:after="0"/>
              <w:rPr>
                <w:sz w:val="20"/>
                <w:szCs w:val="20"/>
                <w:color w:val="auto"/>
              </w:rPr>
            </w:pPr>
            <w:r>
              <w:rPr>
                <w:rFonts w:ascii="Arial" w:cs="Arial" w:eastAsia="Arial" w:hAnsi="Arial"/>
                <w:sz w:val="18"/>
                <w:szCs w:val="18"/>
                <w:color w:val="auto"/>
              </w:rPr>
              <w:t>Chile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Germany</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Poland</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20"/>
              <w:spacing w:after="0"/>
              <w:rPr>
                <w:sz w:val="20"/>
                <w:szCs w:val="20"/>
                <w:color w:val="auto"/>
              </w:rPr>
            </w:pPr>
            <w:r>
              <w:rPr>
                <w:rFonts w:ascii="Arial" w:cs="Arial" w:eastAsia="Arial" w:hAnsi="Arial"/>
                <w:sz w:val="18"/>
                <w:szCs w:val="18"/>
                <w:color w:val="auto"/>
              </w:rPr>
              <w:t>Thailand</w:t>
            </w: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ind w:left="140"/>
              <w:spacing w:after="0"/>
              <w:rPr>
                <w:sz w:val="20"/>
                <w:szCs w:val="20"/>
                <w:color w:val="auto"/>
              </w:rPr>
            </w:pPr>
            <w:r>
              <w:rPr>
                <w:rFonts w:ascii="Arial" w:cs="Arial" w:eastAsia="Arial" w:hAnsi="Arial"/>
                <w:sz w:val="18"/>
                <w:szCs w:val="18"/>
                <w:color w:val="auto"/>
              </w:rPr>
              <w:t>China</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India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460" w:type="dxa"/>
            <w:vAlign w:val="bottom"/>
          </w:tcPr>
          <w:p>
            <w:pPr>
              <w:ind w:left="120"/>
              <w:spacing w:after="0"/>
              <w:rPr>
                <w:sz w:val="20"/>
                <w:szCs w:val="20"/>
                <w:color w:val="auto"/>
              </w:rPr>
            </w:pPr>
            <w:r>
              <w:rPr>
                <w:rFonts w:ascii="Arial" w:cs="Arial" w:eastAsia="Arial" w:hAnsi="Arial"/>
                <w:sz w:val="18"/>
                <w:szCs w:val="18"/>
                <w:color w:val="auto"/>
              </w:rPr>
              <w:t>Russia</w:t>
            </w:r>
          </w:p>
        </w:tc>
        <w:tc>
          <w:tcPr>
            <w:tcW w:w="820" w:type="dxa"/>
            <w:vAlign w:val="bottom"/>
          </w:tcPr>
          <w:p>
            <w:pPr>
              <w:ind w:left="620"/>
              <w:spacing w:after="0"/>
              <w:rPr>
                <w:sz w:val="20"/>
                <w:szCs w:val="20"/>
                <w:color w:val="auto"/>
              </w:rPr>
            </w:pPr>
            <w:r>
              <w:rPr>
                <w:rFonts w:ascii="Arial" w:cs="Arial" w:eastAsia="Arial" w:hAnsi="Arial"/>
                <w:sz w:val="18"/>
                <w:szCs w:val="18"/>
                <w:color w:val="auto"/>
              </w:rPr>
              <w:t>•</w:t>
            </w:r>
          </w:p>
        </w:tc>
        <w:tc>
          <w:tcPr>
            <w:tcW w:w="176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our subsidiaries, or associated companies in which we own an equity interest, own most of the above facilities.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GM Financial's automotive financing and leasing operations lease facilities for administration and regional credit centers. GM Financial has 20 facilities located in 15 states and 20 cities or towns in the U.S. Of these facilities, three are collections centers, 14 are regional credit centers and the remaining facilities are administrative offices. GM Financial has three facilities located in Canada including one collection center and 26 facilities in European and Latin American countries. The major facilities outside the U.S. and Canada are located in the United Kingdom and Brazil.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properties include facilities which, in our opinion, are suitable and adequate for the manufacture, assembly and distribution of our products.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section summarizes material pending legal proceedings to which the Company is a party, other than ordinary routine litigation incidental to the business. We and the other defendants affiliated with us intend to defend all of the following actions vigorously.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of Canada Limited (GMCL) is defending a class action asserted on behalf of over 200 former GMCL dealers (the Plaintiff Dealers) which entered into wind-down agreements with GMCL in May 2009 asserting various claims related to those agreements. On March 1, 2011 the Ontario Superior Court of Justice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A number of former dealers have opted out of participation in the litigation, leaving 181 dealers in the certified class. The parties are currently conducting discovery. Trial of the class issues is scheduled to occur in the third quarter of 2014.</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April 6, 2010 the UAW filed suit against us in the U.S. District Court for the Eastern District of Michigan claiming that we breached our obligation to contribute $450 million to the UAW Retiree Medical Benefits Trust (New VEBA). The UAW alleges that we were contractually required to make this contribution pursuant to the UAW-Delphi-GM Memorandum of Understanding Delphi Restructuring dated June 22, 2007. We believe this claim is without merit. On December 10, 2013 the court granted our motion for summary judgment and dismissed the claims asserted by the UAW, holding that the relevant agreement is unambiguous and does not require the payment sought. The UAW has appealed.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We believe the Supreme Court’s reasoning is applicable to GM Korea, even though GM Korea’s case remains pending before the Supreme Court. Accordingly we have eliminated the accrual associated with these cases.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 Management Securities Class Action</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On June 29, 2012 a putative securities class action was filed against us and a number of our past and current officers and directors in the United States District Court for the Southern District of New York (George G. Scott v. General Motors Company et al). Purporting to sue on behalf of owners of common stock deriving from our 2010 initial public offering, plaintiff asserts non-fraud prospectus based liability claims under various federal securities statutes alleging that the Company has made false statements about its vehicle inventory controls and production decisions, particularly with respect to fullsize trucks. The plaintiff's complaint requests compensatory damages, rescission and litigation costs, fees and disbursements. On November 21, 2012 the court appointed the Teamster's Local 710 Pension Fund as lead plaintiff in the matter. On February 1, 2013 the plaintiff filed an amended complaint.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Saab Automobile AB Related Litigation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August 6, 2012 Saab Automobile AB and Spyker N.V. filed a complaint in the United States District Court for the Eastern District of Michigan alleging that GM tortuously interfered with their efforts to secure an investment in Saab Automobile AB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Zhejiang Youngman Lotus Automobile Co., Ltd and its affiliates by making public statements in December of 2011 to the effect that we did not favor the proposed transaction. The complaint alleges that absent the challenged statements, Saab Automobile AB would have successfully avoided liquidation and seeks damages of not less than $3.0 billion representing the projected value of Saab Automobile AB through 2016 plus pre- and post-judgment interest, special, punitive and other allowable damages and plaintiffs' reasonable attorneys' fees and costs. On June 18, 2013 the court granted GM’s motion to dismiss the case on multiple alternative grounds. Saab Automobile AB and Spyker N.V. have appealed.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Shares of our common stock have been publicly traded since November 18, 2010 when our common stock was listed and began trading on the New York Stock Exchange and the Toronto Stock Exchange. The following table summarizes the quarterly price ranges of our common stock based on high and low prices from intraday trades on the New York Stock Exchange, the principal market in which the stock is traded: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2013</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2012</w:t>
            </w:r>
          </w:p>
        </w:tc>
        <w:tc>
          <w:tcPr>
            <w:tcW w:w="860" w:type="dxa"/>
            <w:vAlign w:val="bottom"/>
            <w:tcBorders>
              <w:bottom w:val="single" w:sz="8" w:color="auto"/>
            </w:tcBorders>
          </w:tcPr>
          <w:p>
            <w:pPr>
              <w:spacing w:after="0"/>
              <w:rPr>
                <w:sz w:val="22"/>
                <w:szCs w:val="22"/>
                <w:color w:val="auto"/>
              </w:rPr>
            </w:pPr>
          </w:p>
        </w:tc>
      </w:tr>
      <w:tr>
        <w:trPr>
          <w:trHeight w:val="263"/>
        </w:trPr>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35.49</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27.03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19.24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41.85</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28.90</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22.67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January 30, 2014 we had a total of 1.6 billion issued and outstanding shares of common stock held by 403 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So long as any share of our Series A Preferred Stock remains outstanding, no dividend or distribution may be declared or paid on our common stock unless all accrued and unpaid dividends have been paid on our Series A Preferred Stock, subject to exceptions, such as dividends on our common stock payable solely in shares of our common stock. Our secured revolving credit facilities contain certain restrictions on our ability to pay dividends on our common stock, subject to exceptions, such as dividends payable solely in shares of our common stock. At December 31, 2013 there were no dividends in arrears on our Series A Preferred Stock.</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Since our formation, we had not paid any dividends on our common stock through the year ended December 31, 2013. In January 2014 our Board of Directors declared a dividend on common stock in the amount of $0.30 per share payable in March 2014. It is anticipated that dividends on our common stock will be declared and paid quarterly subsequent to the initial dividend declaration. However our payment of dividends in the future, if any, will be determined by our Board of Directors and will be paid out of funds legally available for that purpose. Our payment of dividends in the future will depend on business conditions, our financial condition, earnings, liquidity and capital requirements, the covenants in our secured revolving credit facilities and other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Purchases of Equity Securities for Cash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of common stock were purchased for cash in each of the three months ended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Purchases of Equity Securities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 Yet be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2013 through October 31, 2013</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1,833,227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November 1, 2013 through November 30, 2013</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33,732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2013 through December 31, 2013</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1,989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39.12</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1,868,948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380" w:type="dxa"/>
            <w:vAlign w:val="bottom"/>
          </w:tcPr>
          <w:p>
            <w:pPr>
              <w:jc w:val="right"/>
              <w:ind w:right="65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 = not applicable</w:t>
      </w:r>
    </w:p>
    <w:p>
      <w:pPr>
        <w:spacing w:after="0" w:line="9" w:lineRule="exact"/>
        <w:rPr>
          <w:sz w:val="20"/>
          <w:szCs w:val="20"/>
          <w:color w:val="auto"/>
        </w:rPr>
      </w:pPr>
    </w:p>
    <w:p>
      <w:pPr>
        <w:jc w:val="both"/>
        <w:ind w:left="340" w:hanging="332"/>
        <w:spacing w:after="0" w:line="25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shares of common stock delivered by employees or directors back to us for the payment of taxes resulting from issuance of common stock upon the vesting of Restricted Stock Units and Restricted Stock Awards relating to compensation plans and shares of common stock retained by us for the payment of exercise price upon the exercise of warrants. Refer to Note 23 to our consolidated financial statements for additional details on employee stock incentive plans and Note 21 to our consolidated financial statements for additional details on warrants issued.</w:t>
      </w:r>
    </w:p>
    <w:p>
      <w:pPr>
        <w:spacing w:after="0" w:line="187"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Pursuant to the agreement with the SEC, as described in a no-action letter issued to Old GM by the SEC Staff on July 9, 2009 regarding our filing requirements, the selected financial data below includes the selected financial data of Old GM as it is the Predecessor entity solely for accounting and financial reporting purposes. At July 10, 2009 we applied fresh-start reporting following the guidance in Accounting Standards Codification (ASC) 852, “Reorganizations". The consolidated financial statements for the periods ended on or before July 9, 2009 do not include the effect of any changes in the fair value of assets or liabilities as a result of the application of fresh-start reporting. Our financial information at and for any period after July 10, 2009 is not comparable to Old GM's financial information. Selected financial data is summarized in the following table (dollars in millions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July 10, 2009</w:t>
            </w:r>
          </w:p>
        </w:tc>
        <w:tc>
          <w:tcPr>
            <w:tcW w:w="10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January 1, 2009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Through July 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2009</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 and revenue(a)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57,474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47,115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Reorganization gains, net(b)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128,155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109,003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w w:val="97"/>
              </w:rPr>
              <w:t>Net (income) loss attributable to noncontrolling interests</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stockholders(c)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109,118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w w:val="99"/>
              </w:rPr>
              <w:t>Net income (loss) attributable to common stockholders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3,770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4,859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(4,428)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109,118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(loss) per common share(d)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178.63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Diluted earnings (loss) per common share(d)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178.55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 (as of period end):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Total assets(a)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166,344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149,422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144,603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138,898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136,295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 notes and loans payable(e)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GM Financial notes and loans payable(a)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29,046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10,878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8,538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A Preferred Stock(f)</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6,998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Series B Preferred Stock(g)</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4,855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Equity(h)</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21,957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_________</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GM Financial was consolidated effective October 1, 2010. GM Financial acquired Ally Financial's international operations in Europe and Latin America in the year ended December 31, 2013.</w:t>
      </w:r>
    </w:p>
    <w:p>
      <w:pPr>
        <w:jc w:val="both"/>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period January 1, 2009 through July 9, 2009 Old GM recorded Reorganization gains, net of $128.2 billion directly associated with filing of certain of its direct and indirect subsidiaries voluntary petitions for relief under Chapter 11 of the U.S. Bankruptcy Code in the U.S. Bankruptcy Court for the Southern District of New York, the 363 Sale of Old GM and certain of its direct and indirect subsidiaries and the application of fresh-start reporting.</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year ended December 31, 2012 we recorded Goodwill impairment charges of $27.1 billion, the reversal of deferred tax valuation allowances of $36.3 billion in the U.S. and Canada, pension settlement charges of $2.7 billion and GME long-lived asset impairment charges of $5.5 billion.</w:t>
      </w:r>
    </w:p>
    <w:p>
      <w:pPr>
        <w:jc w:val="both"/>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years ended December 31, 2012 and 2011 we used the two-class method for calculating earnings per share as the Series B Preferred Stock was a participating security due to the applicable market value of our common stock being below $33.00 per common share. Refer to Note 22 to our consolidated financial statements for additional detail.</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December 2010 GM Korea terminated its $1.2 billion credit facility following the repayment of the remaining $1.0 billion under the facility.</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2013 we purchased 120 million shares of our Series A Preferred Stock held by the New VEBA for $3.2 billion. In December 2010 we purchased 84 million shares from the UST for $2.1 billion.</w:t>
      </w:r>
    </w:p>
    <w:p>
      <w:pPr>
        <w:ind w:left="340" w:right="2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December 2013 all of our Series B Preferred Stock automatically converted into 137 million shares of our common stock. Our Series B Preferred Stock was issued in a public offering in November and December 2010.</w:t>
      </w:r>
    </w:p>
    <w:p>
      <w:pPr>
        <w:jc w:val="both"/>
        <w:ind w:left="340" w:hanging="332"/>
        <w:spacing w:after="0" w:line="25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December 2012 we purchased 200 million shares of our common stock for a total of $5.5 billion, which directly reduced shareholder's equity by $5.1 billion and we recorded a charge to earnings of $0.4 billion. Our Series A Preferred Stock was reclassified from temporary equity to permanent equity in the year ended December 31, 2010.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ind w:right="4000"/>
        <w:spacing w:after="0" w:line="470"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Basis of Presentation</w:t>
      </w:r>
    </w:p>
    <w:p>
      <w:pPr>
        <w:spacing w:after="0" w:line="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consolidated financial statements. We analyze the results of our business through our five segments: GMNA, GME, GMIO, GMSA and GM Financial. Consistent with industry practice, market share information includes estimates of industry sales in certain countries where public reporting is not legally required or otherwise available on a consistent basis.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We have retrospectively revised the segment presentation for all periods presented. Refer to Note 25 to our consolidated financial statements for additional information on this change.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vision is to design, build and sell the world’s best vehicles. The primary elements of our strategy to achieve this vision are to:</w:t>
      </w:r>
    </w:p>
    <w:p>
      <w:pPr>
        <w:spacing w:after="0" w:line="225" w:lineRule="exact"/>
        <w:rPr>
          <w:sz w:val="20"/>
          <w:szCs w:val="20"/>
          <w:color w:val="auto"/>
        </w:rPr>
      </w:pPr>
    </w:p>
    <w:p>
      <w:pPr>
        <w:ind w:left="660" w:hanging="490"/>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 a product portfolio of the world’s best vehicles that includes cars, crossovers and trucks, allowing us to maximize sales under any market condition;</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our vehicles globally by targeting developed markets, which are projected to have increases in vehicle demand as the global economy recovers, and further strengthening our position in high growth emerging markets;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 revenue realization and maintain a competitive cost structure to allow us to remain profitable at lower industry volumes and across the lifecycle of our product portfolio;</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strong balance sheet by reducing financial leverage given the high operating leverage of our business model; and</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Ensure that our dealers and customers have consistently available, transparent and competitive financing options through GM Financial and other providers.</w:t>
      </w:r>
    </w:p>
    <w:p>
      <w:pPr>
        <w:spacing w:after="0" w:line="27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are committed to leadership in vehicle design, quality, reliability, telematics and infotainment and safety, as well as to developing key energy efficiency, energy diversity and advanced propulsion technologies, including electric vehicles. Our business is diversified across products and geographic markets. We meet the local sales and service needs of our retail and fleet customers with a global network of independent dealers.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GMNA has sales, manufacturing and distribution operations in the U.S., Canada and Mexico and sales and distribution operations in Central America and the Caribbean. GMNA represented 51.1% of our wholesale vehicle sales volume in 2013 and we had the largest market share, based upon retail vehicle sales, in North America at 16.9%. We grew our retail market share in all four brands as compared to 2012. Our market share growth was driven in part by the success of several product launches during the year, most notably the Corvette Stingray, Chevrolet Impala, Cadillac CTS and the all-new Chevrolet Silverado and GMC Sierra full-size trucks. Our products in the region continued to receive recognitions of excellence including the most initial quality awards as determined by JD Power and Associates as compared to any other automotive manufacturer in 2013.</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GME has sales, manufacturing and distribution operations across Western and Central Europe. GME's wholesale vehicle sales volume, which in addition to Western and Central Europe, includes Eastern Europe (including Russia and the other members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Commonwealth of Independent States among others) represented 16.3% of our wholesale vehicle sales volume in 2013. In 2013 we estimate we had the number four market share, based upon retail vehicle sales, in Europe at 8.3%. GMIO distributed Chevrolet brand vehicles in Europe. These vehicles are reported within market share for Europe, but wholesale vehicle sales volume is recorded by GMIO. Our European operations continue to show signs of improvement underscored by our first Opel and Vauxhall market share increase in 14 years. This market share increase was partially driven by the successful launches of the Opel Mokka, ADAM and Cascada during 2013. Our focus on successfully executing product launches and containing costs has in part contributed to significant year-over-year reduction in EBIT (loss)-adjusted.</w:t>
      </w:r>
    </w:p>
    <w:p>
      <w:pPr>
        <w:spacing w:after="0" w:line="17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an effort to rationalize our manufacturing footprint in GME, we reached agreement with the labor union in Germany to terminate all vehicle and transmission production at our Bochum, Germany facility by the end of 2014. Affected employees will be eligible for a voluntary restructuring separation program. Restructuring charges will be recorded primarily through 2014. Refer to Note 19 to our consolidated financial statements for additional information.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GMIO has sales, manufacturing and distribution operations in Asia/Pacific, the Middle East, Africa and Eastern Europe (including Russia and the other members of the Commonwealth of Independent States among others). GMIO represented 16.2% of our wholesale vehicle sales volume in 2013. The Asia/Pacific, Middle East and Africa region is our largest region by retail vehicle sales volume and represented 40.0% of our global retail vehicle sales volume in 2013. In 2013 we estimate we had the number two market share, based upon retail vehicle sales, in Asia/Pacific, Middle East and Africa at 9.5%. In 2013 we had market share of 14.3% in China. GMIO records the wholesale unit volume and financial results of Chevrolet brand vehicles that it distributes and sells in Europe. Our international operations' results were highlighted by our continued strength in China where we sold over 3 million vehicles. Our strength in the market was in part driven by the successful launches of the new Cadillac XTS, the refreshed Buick LaCrosse and Regal and certain Wuling branded vehicles, as well as continued strong sales of the Buick Encore and Buick Excelle. Our Buick brand continues to be our strongest brand in China with 810,000 vehicles sold in 2013 an increase of 16% from the prior year. In addition we have been making investments in our Cadillac brand in China which included a new assembly plant in Shanghai.</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are addressing many of the challenges in our GMIO operations and have performed strategic assessments on the performance and the manner in which we operate in certain countries. While we are continuing our strategic assessments we announced plans to discontinue offering mainstream Chevrolet vehicles in Europe in 2015 and recorded asset impairment and restructuring charges; announced plans to cease manufacturing at GM Holden Ltd., our subsidiary in Australia (Holden), and recorded asset impairment and restructuring charges; recorded asset impairment charges at GM India; and impaired our remaining goodwill in GMIO. Refer to the "GM International Operations" section of MD&amp;A and Notes 9, 10 and 19 to our consolidated financial statements for additional information.</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GM Korea subsidiary has continuing litigation with more than 10,000 current and former employees over the definition of ordinary wages. As a result of the recent Supreme Court of the Republic of Korea’s favorable decision on a very similar wage litigation case involving another company we now believe an unfavorable outcome on our case given the new precedent is no longer probable and we reversed certain accruals for our cases. Refer to Note 17 to our consolidated financial statements for additional information.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GMSA has sales, manufacturing, distribution and/or financing operations in Brazil, Argentina, Colombia, Ecuador and Venezuela as well as sales and distribution operations in Bolivia, Chile, Paraguay, Peru and Uruguay. GMSA represented 16.4% of our wholesale vehicle sales volume in 2013. In 2013 GMSA derived 63.5% of its wholesale vehicle sales volume from Brazil. In 2013 we estimate we had the number one market share, based upon retail vehicle sales, in South America at 17.5% and the number three market share, based upon retail vehicle sales, in Brazil at 17.3%. Despite foreign currency pressures and challenging political environments across the region, our South American operations experienced continued profitability in 2013 that was driven in part by successful product launches including the Chevrolet Onix, Prisma and Tracker. We have further addressed our cost structure through restructuring efforts and multi-year labor agreements in Brazil.</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Venezuelan operations highlight some of the foreign currency and political pressures. In 2013 the Venezuelan government announced a change in the official fixed exchange rate which resulted in devaluation charges during the year. In addition to currency controls already in place, the Venezuelan government announced pricing controls that, taken with other initiatives, require us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closely monitor and consider our ability to manage and control our Venezuelan subsidiaries. Refer to the "GM South America" section of MD&amp;A for additional information.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focus on strengthening our balance sheet. Initiatives during 2013 included lowering our cost of capital and increased financial flexibility by issuing $4.5 billion in aggregate principal amount of senior unsecured notes. We used proceeds from the issuance to prepay notes issued to the Canadian Health Care Trust (HCT) and to purchase 120 million shares of our Series A Preferred Stock from the New VEBA. Refer to Notes 14 and 21 to our consolidated financial statements for additional information.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part of an effort to release capital from non-core assets and further enhance our financial flexibility we sold our common equity ownership in Ally Financial and our seven percent equity interest in PSA held by GME. Refer to Notes 5 and 12 to our consolidated financial statements for additional information.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United States Treasury divested its remaining ownership stake in our common stock. Also, all of our shares of Series B Preferred Stock mandatorily converted into 137 million shares of our common stock and will result in future annual cash preferred stock dividend savings. Refer to Note 21 to our consolidated financial statements for additional information.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Through ongoing discussions with taxing authorities we remeasured an uncertain tax position resulting in a tax benefit that will reduce future cash taxes.</w:t>
      </w:r>
    </w:p>
    <w:p>
      <w:pPr>
        <w:spacing w:after="0" w:line="2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collective actions during 2013 have helped us achieve investment grade status with a rating agency and we were added to the Standard &amp; Poor's (S&amp;P) 500.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Outlook</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anticipate the 2014 global automotive industry to be up approximately 2% over 2013 or about 85 million vehicles. For 2014 we expect our biggest challenges will be associated with unfavorable foreign currency pressures and planned global restructuring charges of up to $1.1 billion. However we expect to substantially offset these challenges with favorable pricing and by leveraging our continued strength in North America and China. We continue to progress toward our target of mid- to high-single digit margins for mid-decade and expect our 2014 EBIT-adjusted margins to be comparable to 2013. We are also committed to returning capital to our common stockholders and in January 2014 our Board of Directors declared a dividend on common stock in the amount of $0.30 per share payable in March 2014.</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GM Financial purchases automobile finance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Financial's lending products in North America are primarily offered to consumers who typically are unable to obtain financing from traditional sources such as banks and credit unions. GM Financial utilizes a proprietary credit scoring system to differentiate credit applications and to statistically rank-order credit risk in terms of expected default rates, which enables it to evaluate credit applications for approval and tailor loan and lease pricing and structure. GM Financial services its loan and lease portfolios at regional centers using automated servicing and collection systems. Funding for our auto finance activities is primarily obtained through the utilization of our credit facilities and through securitization transactions.</w:t>
      </w:r>
    </w:p>
    <w:p>
      <w:pPr>
        <w:spacing w:after="0" w:line="16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November 2012 GM Financial entered into agreements with Ally Financial to acquire Ally Financial's automotive finance and financial services businesses in Europe and Latin America and Ally Financial's equity interest in GMAC-SAIC that conducts automotive finance and financial services operations in China. The acquisitions will allow GM Financial to support our dealers in markets comprising approximately 80% of our global sales. In the year ended December 31, 2013 GM Financial completed the acquisitions of the operations in Europe and Latin America for $3.3 billion. GM Financial's acquisition of Ally Financial's equity interest in GMAC-SAIC is subject to certain regulatory and other approvals and is expected to close in 2014 for approximately $0.9 billion. Refer to Note 3 to our consolidated financial statements for additional information on these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22"/>
                <w:szCs w:val="22"/>
                <w:color w:val="auto"/>
              </w:rPr>
            </w:pPr>
          </w:p>
        </w:tc>
        <w:tc>
          <w:tcPr>
            <w:tcW w:w="2400" w:type="dxa"/>
            <w:vAlign w:val="bottom"/>
            <w:tcBorders>
              <w:right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Year Ended 2013 vs. 2012 Change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73"/>
              <w:spacing w:after="0" w:line="144" w:lineRule="exact"/>
              <w:rPr>
                <w:sz w:val="20"/>
                <w:szCs w:val="20"/>
                <w:color w:val="auto"/>
              </w:rPr>
            </w:pPr>
            <w:r>
              <w:rPr>
                <w:rFonts w:ascii="Arial" w:cs="Arial" w:eastAsia="Arial" w:hAnsi="Arial"/>
                <w:sz w:val="13"/>
                <w:szCs w:val="13"/>
                <w:b w:val="1"/>
                <w:bCs w:val="1"/>
                <w:color w:val="auto"/>
                <w:w w:val="89"/>
              </w:rPr>
              <w:t>Favorable/</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93"/>
              <w:spacing w:after="0"/>
              <w:rPr>
                <w:sz w:val="20"/>
                <w:szCs w:val="20"/>
                <w:color w:val="auto"/>
              </w:rPr>
            </w:pPr>
            <w:r>
              <w:rPr>
                <w:rFonts w:ascii="Arial" w:cs="Arial" w:eastAsia="Arial" w:hAnsi="Arial"/>
                <w:sz w:val="13"/>
                <w:szCs w:val="13"/>
                <w:b w:val="1"/>
                <w:bCs w:val="1"/>
                <w:color w:val="auto"/>
                <w:w w:val="90"/>
              </w:rPr>
              <w:t>(Unfavorable)</w:t>
            </w:r>
          </w:p>
        </w:tc>
        <w:tc>
          <w:tcPr>
            <w:tcW w:w="12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Volume</w:t>
            </w:r>
          </w:p>
        </w:tc>
        <w:tc>
          <w:tcPr>
            <w:tcW w:w="200" w:type="dxa"/>
            <w:vAlign w:val="bottom"/>
          </w:tcPr>
          <w:p>
            <w:pPr>
              <w:spacing w:after="0"/>
              <w:rPr>
                <w:sz w:val="15"/>
                <w:szCs w:val="15"/>
                <w:color w:val="auto"/>
              </w:rPr>
            </w:pPr>
          </w:p>
        </w:tc>
        <w:tc>
          <w:tcPr>
            <w:tcW w:w="520" w:type="dxa"/>
            <w:vAlign w:val="bottom"/>
          </w:tcPr>
          <w:p>
            <w:pPr>
              <w:jc w:val="right"/>
              <w:ind w:right="150"/>
              <w:spacing w:after="0"/>
              <w:rPr>
                <w:sz w:val="20"/>
                <w:szCs w:val="20"/>
                <w:color w:val="auto"/>
              </w:rPr>
            </w:pPr>
            <w:r>
              <w:rPr>
                <w:rFonts w:ascii="Arial" w:cs="Arial" w:eastAsia="Arial" w:hAnsi="Arial"/>
                <w:sz w:val="13"/>
                <w:szCs w:val="13"/>
                <w:b w:val="1"/>
                <w:bCs w:val="1"/>
                <w:color w:val="auto"/>
              </w:rPr>
              <w:t>Mix</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5"/>
                <w:szCs w:val="15"/>
                <w:color w:val="auto"/>
              </w:rPr>
            </w:pPr>
          </w:p>
        </w:tc>
        <w:tc>
          <w:tcPr>
            <w:tcW w:w="600" w:type="dxa"/>
            <w:vAlign w:val="bottom"/>
          </w:tcPr>
          <w:p>
            <w:pPr>
              <w:jc w:val="right"/>
              <w:ind w:right="190"/>
              <w:spacing w:after="0"/>
              <w:rPr>
                <w:sz w:val="20"/>
                <w:szCs w:val="20"/>
                <w:color w:val="auto"/>
              </w:rPr>
            </w:pPr>
            <w:r>
              <w:rPr>
                <w:rFonts w:ascii="Arial" w:cs="Arial" w:eastAsia="Arial" w:hAnsi="Arial"/>
                <w:sz w:val="13"/>
                <w:szCs w:val="13"/>
                <w:b w:val="1"/>
                <w:bCs w:val="1"/>
                <w:color w:val="auto"/>
              </w:rPr>
              <w:t>Total</w:t>
            </w:r>
          </w:p>
        </w:tc>
      </w:tr>
      <w:tr>
        <w:trPr>
          <w:trHeight w:val="262"/>
        </w:trPr>
        <w:tc>
          <w:tcPr>
            <w:tcW w:w="18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(Dollars in millions)</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6"/>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152,092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150,295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1,797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w:t>
            </w:r>
          </w:p>
        </w:tc>
      </w:tr>
      <w:tr>
        <w:trPr>
          <w:trHeight w:val="264"/>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GM Financial</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3,335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1,961</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1,374</w:t>
            </w:r>
          </w:p>
        </w:tc>
        <w:tc>
          <w:tcPr>
            <w:tcW w:w="1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70.1%</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r>
      <w:tr>
        <w:trPr>
          <w:trHeight w:val="24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155,427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152,256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3,171</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r>
      <w:tr>
        <w:trPr>
          <w:trHeight w:val="20"/>
        </w:trPr>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16"/>
        </w:trPr>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gridSpan w:val="5"/>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gridSpan w:val="5"/>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264"/>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22"/>
                <w:szCs w:val="22"/>
                <w:color w:val="auto"/>
              </w:rPr>
            </w:pPr>
          </w:p>
        </w:tc>
        <w:tc>
          <w:tcPr>
            <w:tcW w:w="2400" w:type="dxa"/>
            <w:vAlign w:val="bottom"/>
            <w:tcBorders>
              <w:right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Year Ended 2012 vs. 2011 Change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73"/>
              <w:spacing w:after="0" w:line="144" w:lineRule="exact"/>
              <w:rPr>
                <w:sz w:val="20"/>
                <w:szCs w:val="20"/>
                <w:color w:val="auto"/>
              </w:rPr>
            </w:pPr>
            <w:r>
              <w:rPr>
                <w:rFonts w:ascii="Arial" w:cs="Arial" w:eastAsia="Arial" w:hAnsi="Arial"/>
                <w:sz w:val="13"/>
                <w:szCs w:val="13"/>
                <w:b w:val="1"/>
                <w:bCs w:val="1"/>
                <w:color w:val="auto"/>
                <w:w w:val="89"/>
              </w:rPr>
              <w:t>Favorable/</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93"/>
              <w:spacing w:after="0"/>
              <w:rPr>
                <w:sz w:val="20"/>
                <w:szCs w:val="20"/>
                <w:color w:val="auto"/>
              </w:rPr>
            </w:pPr>
            <w:r>
              <w:rPr>
                <w:rFonts w:ascii="Arial" w:cs="Arial" w:eastAsia="Arial" w:hAnsi="Arial"/>
                <w:sz w:val="13"/>
                <w:szCs w:val="13"/>
                <w:b w:val="1"/>
                <w:bCs w:val="1"/>
                <w:color w:val="auto"/>
                <w:w w:val="90"/>
              </w:rPr>
              <w:t>(Unfavorable)</w:t>
            </w:r>
          </w:p>
        </w:tc>
        <w:tc>
          <w:tcPr>
            <w:tcW w:w="12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Volume</w:t>
            </w:r>
          </w:p>
        </w:tc>
        <w:tc>
          <w:tcPr>
            <w:tcW w:w="200" w:type="dxa"/>
            <w:vAlign w:val="bottom"/>
          </w:tcPr>
          <w:p>
            <w:pPr>
              <w:spacing w:after="0"/>
              <w:rPr>
                <w:sz w:val="15"/>
                <w:szCs w:val="15"/>
                <w:color w:val="auto"/>
              </w:rPr>
            </w:pPr>
          </w:p>
        </w:tc>
        <w:tc>
          <w:tcPr>
            <w:tcW w:w="520" w:type="dxa"/>
            <w:vAlign w:val="bottom"/>
          </w:tcPr>
          <w:p>
            <w:pPr>
              <w:jc w:val="right"/>
              <w:ind w:right="150"/>
              <w:spacing w:after="0"/>
              <w:rPr>
                <w:sz w:val="20"/>
                <w:szCs w:val="20"/>
                <w:color w:val="auto"/>
              </w:rPr>
            </w:pPr>
            <w:r>
              <w:rPr>
                <w:rFonts w:ascii="Arial" w:cs="Arial" w:eastAsia="Arial" w:hAnsi="Arial"/>
                <w:sz w:val="13"/>
                <w:szCs w:val="13"/>
                <w:b w:val="1"/>
                <w:bCs w:val="1"/>
                <w:color w:val="auto"/>
              </w:rPr>
              <w:t>Mix</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5"/>
                <w:szCs w:val="15"/>
                <w:color w:val="auto"/>
              </w:rPr>
            </w:pPr>
          </w:p>
        </w:tc>
        <w:tc>
          <w:tcPr>
            <w:tcW w:w="600" w:type="dxa"/>
            <w:vAlign w:val="bottom"/>
          </w:tcPr>
          <w:p>
            <w:pPr>
              <w:jc w:val="right"/>
              <w:ind w:right="190"/>
              <w:spacing w:after="0"/>
              <w:rPr>
                <w:sz w:val="20"/>
                <w:szCs w:val="20"/>
                <w:color w:val="auto"/>
              </w:rPr>
            </w:pPr>
            <w:r>
              <w:rPr>
                <w:rFonts w:ascii="Arial" w:cs="Arial" w:eastAsia="Arial" w:hAnsi="Arial"/>
                <w:sz w:val="13"/>
                <w:szCs w:val="13"/>
                <w:b w:val="1"/>
                <w:bCs w:val="1"/>
                <w:color w:val="auto"/>
              </w:rPr>
              <w:t>Total</w:t>
            </w:r>
          </w:p>
        </w:tc>
      </w:tr>
      <w:tr>
        <w:trPr>
          <w:trHeight w:val="262"/>
        </w:trPr>
        <w:tc>
          <w:tcPr>
            <w:tcW w:w="18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(Dollars in millions)</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6"/>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150,295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148,866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1,429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r>
      <w:tr>
        <w:trPr>
          <w:trHeight w:val="264"/>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GM Financial</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1,961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1,410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551</w:t>
            </w:r>
          </w:p>
        </w:tc>
        <w:tc>
          <w:tcPr>
            <w:tcW w:w="1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r>
      <w:tr>
        <w:trPr>
          <w:trHeight w:val="243"/>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152,256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150,276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1,980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2013 Automotive Total net sales and revenue increased due primarily to: (1) favorable vehicle pricing effect due primarily to GMNA of $1.9 billion; (2) favorable vehicle mix due primarily to GMNA of $1.3 billion and GMSA of $0.6 billion; partially offset by (3) Other of $1.9 billion due primarily to unfavorable net foreign currency effect of $2.3 billion due from the weakening of the Brazilian Real, Argentinian Peso and Venezuela Bolivar Fuerte against the U.S. Dollar; partially offset by increased other revenue of $0.4 billion due primarily to increases in OnStar and parts and accessories revenue; and (4) decreased wholesale volumes.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GM Financial Total sales and revenue increased due primarily to: (1) increased finance charge income of $1.0 billion due to growth in the portfolio resulting from the acquisition of Ally Financial’s international operations and increased originations; and (2) increased leased vehicle income of $0.3 billion due to the increased size of the leased asset portfolio.</w:t>
      </w:r>
    </w:p>
    <w:p>
      <w:pPr>
        <w:spacing w:after="0" w:line="18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the year ended December 31, 2012 Automotive Total net sales and revenue increased due primarily to: (1) favorable vehicle mix due primarily to GMSA of $1.6 billion, GMNA of $0.7 billion and GME of $0.4 billion; (2) increased wholesale volumes due primarily to GMNA of $3.8 billion and GMIO of $1.4 billion; partially offset by decreases in GME of $2.4 billion and GMSA of $0.6 billion; (3) favorable vehicle pricing effect due primarily to GMIO of $0.8 billion, GMNA of $0.5 billion and GMSA of $0.5 billion; partially offset by (4) Other of $5.3 billion due primarily to unfavorable net foreign currency effect of $3.7 billion due primarily to the weakening of the Brazilian Real, Euro, Korean Won, Argentinian Peso and South African Zar against the U.S. Dollar; decreased revenues from powertrain and parts sales of $0.7 billion due to decreased volumes; reduction in favorable lease residual adjustments of $0.5 billion; decreased revenues from rental car leases of $0.2 billion; and decreased revenues due to the deconsolidation of VM Motori (VMM) in June 2011 of $0.1 billion.</w:t>
      </w:r>
    </w:p>
    <w:p>
      <w:pPr>
        <w:spacing w:after="0" w:line="192"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year ended December 31, 2012 GM Financial Total sales and revenue increased due primarily to: (1) increased finance charge income of $0.3 billion, due to a larger portfolio; and (2) increased leased vehicles income of $0.2 billion due to the increased size of the leased asset portfolio.</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4"/>
          </w:tcPr>
          <w:p>
            <w:pPr>
              <w:ind w:left="24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22"/>
                <w:szCs w:val="22"/>
                <w:color w:val="auto"/>
              </w:rPr>
            </w:pPr>
          </w:p>
        </w:tc>
        <w:tc>
          <w:tcPr>
            <w:tcW w:w="2400" w:type="dxa"/>
            <w:vAlign w:val="bottom"/>
            <w:tcBorders>
              <w:right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Year Ended 2013 vs. 2012 Change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center"/>
              <w:ind w:right="93"/>
              <w:spacing w:after="0"/>
              <w:rPr>
                <w:sz w:val="20"/>
                <w:szCs w:val="20"/>
                <w:color w:val="auto"/>
              </w:rPr>
            </w:pPr>
            <w:r>
              <w:rPr>
                <w:rFonts w:ascii="Arial" w:cs="Arial" w:eastAsia="Arial" w:hAnsi="Arial"/>
                <w:sz w:val="13"/>
                <w:szCs w:val="13"/>
                <w:b w:val="1"/>
                <w:bCs w:val="1"/>
                <w:color w:val="auto"/>
                <w:w w:val="88"/>
              </w:rPr>
              <w:t>Variance Due To</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27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Favorable/</w:t>
            </w:r>
          </w:p>
        </w:tc>
        <w:tc>
          <w:tcPr>
            <w:tcW w:w="1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93"/>
              <w:spacing w:after="0"/>
              <w:rPr>
                <w:sz w:val="20"/>
                <w:szCs w:val="20"/>
                <w:color w:val="auto"/>
              </w:rPr>
            </w:pPr>
            <w:r>
              <w:rPr>
                <w:rFonts w:ascii="Arial" w:cs="Arial" w:eastAsia="Arial" w:hAnsi="Arial"/>
                <w:sz w:val="13"/>
                <w:szCs w:val="13"/>
                <w:b w:val="1"/>
                <w:bCs w:val="1"/>
                <w:color w:val="auto"/>
              </w:rPr>
              <w:t>2013</w:t>
            </w:r>
          </w:p>
        </w:tc>
        <w:tc>
          <w:tcPr>
            <w:tcW w:w="380" w:type="dxa"/>
            <w:vAlign w:val="bottom"/>
          </w:tcPr>
          <w:p>
            <w:pPr>
              <w:spacing w:after="0"/>
              <w:rPr>
                <w:sz w:val="15"/>
                <w:szCs w:val="15"/>
                <w:color w:val="auto"/>
              </w:rPr>
            </w:pPr>
          </w:p>
        </w:tc>
        <w:tc>
          <w:tcPr>
            <w:tcW w:w="900" w:type="dxa"/>
            <w:vAlign w:val="bottom"/>
          </w:tcPr>
          <w:p>
            <w:pPr>
              <w:jc w:val="right"/>
              <w:ind w:right="391"/>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(Unfavorable)</w:t>
            </w:r>
          </w:p>
        </w:tc>
        <w:tc>
          <w:tcPr>
            <w:tcW w:w="1180" w:type="dxa"/>
            <w:vAlign w:val="bottom"/>
          </w:tcPr>
          <w:p>
            <w:pPr>
              <w:jc w:val="right"/>
              <w:ind w:right="47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33"/>
              <w:spacing w:after="0"/>
              <w:rPr>
                <w:sz w:val="20"/>
                <w:szCs w:val="20"/>
                <w:color w:val="auto"/>
              </w:rPr>
            </w:pPr>
            <w:r>
              <w:rPr>
                <w:rFonts w:ascii="Arial" w:cs="Arial" w:eastAsia="Arial" w:hAnsi="Arial"/>
                <w:sz w:val="13"/>
                <w:szCs w:val="13"/>
                <w:b w:val="1"/>
                <w:bCs w:val="1"/>
                <w:color w:val="auto"/>
                <w:w w:val="93"/>
              </w:rPr>
              <w:t>Volume</w:t>
            </w:r>
          </w:p>
        </w:tc>
        <w:tc>
          <w:tcPr>
            <w:tcW w:w="280" w:type="dxa"/>
            <w:vAlign w:val="bottom"/>
          </w:tcPr>
          <w:p>
            <w:pPr>
              <w:spacing w:after="0"/>
              <w:rPr>
                <w:sz w:val="15"/>
                <w:szCs w:val="15"/>
                <w:color w:val="auto"/>
              </w:rPr>
            </w:pPr>
          </w:p>
        </w:tc>
        <w:tc>
          <w:tcPr>
            <w:tcW w:w="640" w:type="dxa"/>
            <w:vAlign w:val="bottom"/>
          </w:tcPr>
          <w:p>
            <w:pPr>
              <w:jc w:val="right"/>
              <w:ind w:right="255"/>
              <w:spacing w:after="0"/>
              <w:rPr>
                <w:sz w:val="20"/>
                <w:szCs w:val="20"/>
                <w:color w:val="auto"/>
              </w:rPr>
            </w:pPr>
            <w:r>
              <w:rPr>
                <w:rFonts w:ascii="Arial" w:cs="Arial" w:eastAsia="Arial" w:hAnsi="Arial"/>
                <w:sz w:val="13"/>
                <w:szCs w:val="13"/>
                <w:b w:val="1"/>
                <w:bCs w:val="1"/>
                <w:color w:val="auto"/>
              </w:rPr>
              <w:t>Mix</w:t>
            </w:r>
          </w:p>
        </w:tc>
        <w:tc>
          <w:tcPr>
            <w:tcW w:w="24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5"/>
                <w:szCs w:val="15"/>
                <w:color w:val="auto"/>
              </w:rPr>
            </w:pPr>
          </w:p>
        </w:tc>
        <w:tc>
          <w:tcPr>
            <w:tcW w:w="600" w:type="dxa"/>
            <w:vAlign w:val="bottom"/>
          </w:tcPr>
          <w:p>
            <w:pPr>
              <w:jc w:val="right"/>
              <w:ind w:right="193"/>
              <w:spacing w:after="0"/>
              <w:rPr>
                <w:sz w:val="20"/>
                <w:szCs w:val="20"/>
                <w:color w:val="auto"/>
              </w:rPr>
            </w:pPr>
            <w:r>
              <w:rPr>
                <w:rFonts w:ascii="Arial" w:cs="Arial" w:eastAsia="Arial" w:hAnsi="Arial"/>
                <w:sz w:val="13"/>
                <w:szCs w:val="13"/>
                <w:b w:val="1"/>
                <w:bCs w:val="1"/>
                <w:color w:val="auto"/>
              </w:rPr>
              <w:t>Total</w:t>
            </w:r>
          </w:p>
        </w:tc>
      </w:tr>
      <w:tr>
        <w:trPr>
          <w:trHeight w:val="262"/>
        </w:trPr>
        <w:tc>
          <w:tcPr>
            <w:tcW w:w="27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tcPr>
          <w:p>
            <w:pPr>
              <w:jc w:val="center"/>
              <w:ind w:right="113"/>
              <w:spacing w:after="0"/>
              <w:rPr>
                <w:sz w:val="20"/>
                <w:szCs w:val="20"/>
                <w:color w:val="auto"/>
              </w:rPr>
            </w:pPr>
            <w:r>
              <w:rPr>
                <w:rFonts w:ascii="Arial" w:cs="Arial" w:eastAsia="Arial" w:hAnsi="Arial"/>
                <w:sz w:val="13"/>
                <w:szCs w:val="13"/>
                <w:b w:val="1"/>
                <w:bCs w:val="1"/>
                <w:color w:val="auto"/>
                <w:w w:val="88"/>
              </w:rPr>
              <w:t>(Dollars in billions)</w:t>
            </w:r>
          </w:p>
        </w:tc>
        <w:tc>
          <w:tcPr>
            <w:tcW w:w="2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134,925</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140,236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5,311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7.3</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5.3</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Automotive gross margin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rPr>
                <w:sz w:val="20"/>
                <w:szCs w:val="20"/>
                <w:color w:val="auto"/>
              </w:rPr>
            </w:pPr>
            <w:r>
              <w:rPr>
                <w:rFonts w:ascii="Arial" w:cs="Arial" w:eastAsia="Arial" w:hAnsi="Arial"/>
                <w:sz w:val="14"/>
                <w:szCs w:val="14"/>
                <w:color w:val="auto"/>
              </w:rPr>
              <w:t>17,167</w:t>
            </w:r>
          </w:p>
        </w:tc>
        <w:tc>
          <w:tcPr>
            <w:tcW w:w="3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10,059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7,108</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22"/>
                <w:szCs w:val="22"/>
                <w:color w:val="auto"/>
              </w:rPr>
            </w:pPr>
          </w:p>
        </w:tc>
        <w:tc>
          <w:tcPr>
            <w:tcW w:w="2440" w:type="dxa"/>
            <w:vAlign w:val="bottom"/>
            <w:tcBorders>
              <w:right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2012 vs. 2011 Change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center"/>
              <w:ind w:right="113"/>
              <w:spacing w:after="0"/>
              <w:rPr>
                <w:sz w:val="20"/>
                <w:szCs w:val="20"/>
                <w:color w:val="auto"/>
              </w:rPr>
            </w:pPr>
            <w:r>
              <w:rPr>
                <w:rFonts w:ascii="Arial" w:cs="Arial" w:eastAsia="Arial" w:hAnsi="Arial"/>
                <w:sz w:val="13"/>
                <w:szCs w:val="13"/>
                <w:b w:val="1"/>
                <w:bCs w:val="1"/>
                <w:color w:val="auto"/>
                <w:w w:val="88"/>
              </w:rPr>
              <w:t>Variance Due To</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27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Favorable/</w:t>
            </w:r>
          </w:p>
        </w:tc>
        <w:tc>
          <w:tcPr>
            <w:tcW w:w="12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93"/>
              <w:spacing w:after="0"/>
              <w:rPr>
                <w:sz w:val="20"/>
                <w:szCs w:val="20"/>
                <w:color w:val="auto"/>
              </w:rPr>
            </w:pPr>
            <w:r>
              <w:rPr>
                <w:rFonts w:ascii="Arial" w:cs="Arial" w:eastAsia="Arial" w:hAnsi="Arial"/>
                <w:sz w:val="13"/>
                <w:szCs w:val="13"/>
                <w:b w:val="1"/>
                <w:bCs w:val="1"/>
                <w:color w:val="auto"/>
              </w:rPr>
              <w:t>2012</w:t>
            </w:r>
          </w:p>
        </w:tc>
        <w:tc>
          <w:tcPr>
            <w:tcW w:w="380" w:type="dxa"/>
            <w:vAlign w:val="bottom"/>
          </w:tcPr>
          <w:p>
            <w:pPr>
              <w:spacing w:after="0"/>
              <w:rPr>
                <w:sz w:val="15"/>
                <w:szCs w:val="15"/>
                <w:color w:val="auto"/>
              </w:rPr>
            </w:pPr>
          </w:p>
        </w:tc>
        <w:tc>
          <w:tcPr>
            <w:tcW w:w="860" w:type="dxa"/>
            <w:vAlign w:val="bottom"/>
          </w:tcPr>
          <w:p>
            <w:pPr>
              <w:jc w:val="right"/>
              <w:ind w:right="371"/>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1240" w:type="dxa"/>
            <w:vAlign w:val="bottom"/>
          </w:tcPr>
          <w:p>
            <w:pPr>
              <w:jc w:val="right"/>
              <w:ind w:right="491"/>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53"/>
              <w:spacing w:after="0"/>
              <w:rPr>
                <w:sz w:val="20"/>
                <w:szCs w:val="20"/>
                <w:color w:val="auto"/>
              </w:rPr>
            </w:pPr>
            <w:r>
              <w:rPr>
                <w:rFonts w:ascii="Arial" w:cs="Arial" w:eastAsia="Arial" w:hAnsi="Arial"/>
                <w:sz w:val="13"/>
                <w:szCs w:val="13"/>
                <w:b w:val="1"/>
                <w:bCs w:val="1"/>
                <w:color w:val="auto"/>
                <w:w w:val="93"/>
              </w:rPr>
              <w:t>Volume</w:t>
            </w:r>
          </w:p>
        </w:tc>
        <w:tc>
          <w:tcPr>
            <w:tcW w:w="260" w:type="dxa"/>
            <w:vAlign w:val="bottom"/>
          </w:tcPr>
          <w:p>
            <w:pPr>
              <w:spacing w:after="0"/>
              <w:rPr>
                <w:sz w:val="15"/>
                <w:szCs w:val="15"/>
                <w:color w:val="auto"/>
              </w:rPr>
            </w:pPr>
          </w:p>
        </w:tc>
        <w:tc>
          <w:tcPr>
            <w:tcW w:w="640" w:type="dxa"/>
            <w:vAlign w:val="bottom"/>
          </w:tcPr>
          <w:p>
            <w:pPr>
              <w:jc w:val="right"/>
              <w:ind w:right="255"/>
              <w:spacing w:after="0"/>
              <w:rPr>
                <w:sz w:val="20"/>
                <w:szCs w:val="20"/>
                <w:color w:val="auto"/>
              </w:rPr>
            </w:pPr>
            <w:r>
              <w:rPr>
                <w:rFonts w:ascii="Arial" w:cs="Arial" w:eastAsia="Arial" w:hAnsi="Arial"/>
                <w:sz w:val="13"/>
                <w:szCs w:val="13"/>
                <w:b w:val="1"/>
                <w:bCs w:val="1"/>
                <w:color w:val="auto"/>
              </w:rPr>
              <w:t>Mix</w:t>
            </w:r>
          </w:p>
        </w:tc>
        <w:tc>
          <w:tcPr>
            <w:tcW w:w="2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3"/>
              <w:spacing w:after="0"/>
              <w:rPr>
                <w:sz w:val="20"/>
                <w:szCs w:val="20"/>
                <w:color w:val="auto"/>
              </w:rPr>
            </w:pPr>
            <w:r>
              <w:rPr>
                <w:rFonts w:ascii="Arial" w:cs="Arial" w:eastAsia="Arial" w:hAnsi="Arial"/>
                <w:sz w:val="13"/>
                <w:szCs w:val="13"/>
                <w:b w:val="1"/>
                <w:bCs w:val="1"/>
                <w:color w:val="auto"/>
              </w:rPr>
              <w:t>Total</w:t>
            </w:r>
          </w:p>
        </w:tc>
      </w:tr>
      <w:tr>
        <w:trPr>
          <w:trHeight w:val="262"/>
        </w:trPr>
        <w:tc>
          <w:tcPr>
            <w:tcW w:w="27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w w:val="99"/>
              </w:rPr>
              <w:t>(Dollars in millions)</w:t>
            </w: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jc w:val="center"/>
              <w:ind w:right="133"/>
              <w:spacing w:after="0"/>
              <w:rPr>
                <w:sz w:val="20"/>
                <w:szCs w:val="20"/>
                <w:color w:val="auto"/>
              </w:rPr>
            </w:pPr>
            <w:r>
              <w:rPr>
                <w:rFonts w:ascii="Arial" w:cs="Arial" w:eastAsia="Arial" w:hAnsi="Arial"/>
                <w:sz w:val="13"/>
                <w:szCs w:val="13"/>
                <w:b w:val="1"/>
                <w:bCs w:val="1"/>
                <w:color w:val="auto"/>
                <w:w w:val="88"/>
              </w:rPr>
              <w:t>(Dollars in billions)</w:t>
            </w: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140,236</w:t>
            </w:r>
          </w:p>
        </w:tc>
        <w:tc>
          <w:tcPr>
            <w:tcW w:w="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130,386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Automotive gross margin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rPr>
                <w:sz w:val="20"/>
                <w:szCs w:val="20"/>
                <w:color w:val="auto"/>
              </w:rPr>
            </w:pPr>
            <w:r>
              <w:rPr>
                <w:rFonts w:ascii="Arial" w:cs="Arial" w:eastAsia="Arial" w:hAnsi="Arial"/>
                <w:sz w:val="14"/>
                <w:szCs w:val="14"/>
                <w:color w:val="auto"/>
              </w:rPr>
              <w:t>10,059</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18,480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(8,421)</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most significant element of our Automotive cost of sales is material cost which makes up approximately two-thirds of the total amount excluding adjustments. The remaining portion includes labor costs, depreciation and amortization, engineering, and policy, product warranty and recall campaigns.</w:t>
      </w:r>
    </w:p>
    <w:p>
      <w:pPr>
        <w:spacing w:after="0" w:line="12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the year ended December 31, 2013 Automotive cost of sales decreased due primarily to: (1) Other of $7.3 billion due to decreased impairment charges of $2.8 billion for long-lived assets and intangible assets; decreased pension settlement losses of $2.5 billion; the favorable effect of $1.3 billion resulting from the reversal of the Korea wage litigation accrual in 2013 compared to accruals related to the litigation in 2012; favorable net foreign currency effect of $0.9 billion due primarily to the weakening of the Brazilian Real against the U.S. Dollar; and reduction in unfavorable warranty and policy adjustments of $0.7 billion; partially offset by increased material and freight costs of $0.4 billion; increased costs of $0.2 billion related to parts and accessories sales; and net increased manufacturing expenses of $0.1 billion due primarily to new launch costs offset by reduced depreciation and amortization; (2) decreased costs related to decreased wholesale volumes; partially offset by (3) unfavorable vehicle mix due primarily to GMNA of $1.3 billion, GMSA of $0.4 billion and GMIO of $0.4 billion.</w:t>
      </w:r>
    </w:p>
    <w:p>
      <w:pPr>
        <w:spacing w:after="0" w:line="19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In the year ended December 31, 2012 Automotive cost of sales increased due primarily to: (1) Other of $5.2 billion due primarily to increased employee costs of $4.1 billion including increased pension settlement losses and decreased net pension and other postretirement benefits (OPEB) income and separation costs; impairment charges of $3.7 billion for long-lived assets and intangible assets; increased manufacturing expense of $1.4 billion due to new launches; increased policy and product warranty expense of $0.2 billion; partially offset by favorable net foreign currency effect of $3.3 billion due primarily to the weakening of the Brazilian Real, Euro, Korean Won, Argentinian Peso and South African Zar against the U.S. Dollar; decreased engineering expense of $0.5 billion; decreased costs of $0.3 billion related to powertrain and parts sales; and decreased costs of $0.1 billion due to the deconsolidation of VMM in June 2011; (2) unfavorable vehicle mix due primarily to GMNA of $1.3 billion, GMSA of $1.2 billion and GME of $0.8 billion; and (3) increased costs related to increased wholesale volumes due primarily to GMNA of $2.7 billion; partially offset by a decrease in GME of $1.9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Operating and Other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center"/>
              <w:ind w:left="502"/>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Year Ended 2013 vs. 2012 Change</w:t>
            </w:r>
          </w:p>
        </w:tc>
        <w:tc>
          <w:tcPr>
            <w:tcW w:w="22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1"/>
              </w:rPr>
              <w:t>Year Ended 2012 vs. 2011 Change</w:t>
            </w:r>
          </w:p>
        </w:tc>
      </w:tr>
      <w:tr>
        <w:trPr>
          <w:trHeight w:val="264"/>
        </w:trPr>
        <w:tc>
          <w:tcPr>
            <w:tcW w:w="29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215"/>
        </w:trPr>
        <w:tc>
          <w:tcPr>
            <w:tcW w:w="2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operating and other</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102.8%  $</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2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year ended December 31, 2013 GM Financial operating and other expenses increased primarily due to: (1) an increase in interest expense of $0.4 billion due to higher average debt outstanding in 2013 compared to 2012, primarily resulting from the acquisition of Ally Financial’s international operations;</w:t>
      </w:r>
    </w:p>
    <w:p>
      <w:pPr>
        <w:jc w:val="both"/>
        <w:ind w:firstLine="8"/>
        <w:spacing w:after="0" w:line="255" w:lineRule="auto"/>
        <w:tabs>
          <w:tab w:leader="none" w:pos="2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employee and other operating costs of $0.4 billion due primarily to the acquisition of Ally Financial’s international operations and an increase in headcount; (3) an increase in the provision for loan losses of $0.2 billion due primarily to growth of the consumer loan portfolio; and (4) an increase in depreciation expense of $0.2 billion due primarily to the increased size of the leased asset portfolio.</w:t>
      </w:r>
    </w:p>
    <w:p>
      <w:pPr>
        <w:spacing w:after="0" w:line="19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year ended December 31, 2012 GM Financial operating and other expenses increased primarily due to: (1) an increase in depreciation expense of $0.1 billion due to the increased size of the leased asset portfolio; (2) an increase in the provision for loan losses of $0.1 billion due primarily to growth of the consumer loan portfolio; (3) an increase in interest expense of $0.1 billion due to higher average debt outstanding in 2012 compared to 2011; and (4) an increase in employee costs of $0.1 billion due primarily to a 9% increase in employee headcount to support growth in GM Financial's business.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center"/>
              <w:ind w:left="502"/>
              <w:spacing w:after="0"/>
              <w:rPr>
                <w:sz w:val="20"/>
                <w:szCs w:val="20"/>
                <w:color w:val="auto"/>
              </w:rPr>
            </w:pPr>
            <w:r>
              <w:rPr>
                <w:rFonts w:ascii="Arial" w:cs="Arial" w:eastAsia="Arial" w:hAnsi="Arial"/>
                <w:sz w:val="14"/>
                <w:szCs w:val="14"/>
                <w:b w:val="1"/>
                <w:bCs w:val="1"/>
                <w:color w:val="auto"/>
                <w:w w:val="91"/>
              </w:rPr>
              <w:t>Years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Year Ended 2013 vs. 2012 Change</w:t>
            </w:r>
          </w:p>
        </w:tc>
        <w:tc>
          <w:tcPr>
            <w:tcW w:w="22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1"/>
              </w:rPr>
              <w:t>Year Ended 2012 vs. 2011 Change</w:t>
            </w:r>
          </w:p>
        </w:tc>
      </w:tr>
      <w:tr>
        <w:trPr>
          <w:trHeight w:val="264"/>
        </w:trPr>
        <w:tc>
          <w:tcPr>
            <w:tcW w:w="29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215"/>
        </w:trPr>
        <w:tc>
          <w:tcPr>
            <w:tcW w:w="2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12,382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14,031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  $</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2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2013 Automotive selling, general and administrative expense decreased due primarily to: (1) impairment charges in GME for intangibles and long-lived assets of $1.8 billion that occurred in 2012 but not in 2013; and (2) a premium paid of $0.4 billion on the common stock purchase from the UST that occurred in 2012 but not in 2013; partially offset by (3) costs related to our plans to cease mainstream distribution of Chevrolet brand in Europe of $0.5 billion.</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2012 Automotive selling, general and administrative expense increased due primarily to: (1) impairment charges in GME for intangibles and long-lived assets of $1.8 billion; and (2) a premium paid of $0.4 billion on the common stock purchase from the UST; partially offset by (3) favorable net foreign currency effect of $0.3 billion due to the weakening of certain currencies against the U.S. Dollar.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center"/>
              <w:ind w:left="59"/>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2013 vs. 2012 Change</w:t>
            </w: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Year Ended 2012 vs. 2011 Change</w:t>
            </w:r>
          </w:p>
        </w:tc>
      </w:tr>
      <w:tr>
        <w:trPr>
          <w:trHeight w:val="264"/>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50"/>
        </w:trPr>
        <w:tc>
          <w:tcPr>
            <w:tcW w:w="20" w:type="dxa"/>
            <w:vAlign w:val="bottom"/>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2"/>
              </w:rPr>
              <w:t>Goodwill impairment charges</w:t>
            </w:r>
          </w:p>
        </w:tc>
        <w:tc>
          <w:tcPr>
            <w:tcW w:w="740" w:type="dxa"/>
            <w:vAlign w:val="bottom"/>
            <w:tcBorders>
              <w:top w:val="single" w:sz="8" w:color="auto"/>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3"/>
              </w:rPr>
              <w:t>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20" w:type="dxa"/>
            <w:vAlign w:val="bottom"/>
          </w:tcPr>
          <w:p>
            <w:pPr>
              <w:spacing w:after="0"/>
              <w:rPr>
                <w:sz w:val="19"/>
                <w:szCs w:val="19"/>
                <w:color w:val="auto"/>
              </w:rPr>
            </w:pPr>
          </w:p>
        </w:tc>
        <w:tc>
          <w:tcPr>
            <w:tcW w:w="2900" w:type="dxa"/>
            <w:vAlign w:val="bottom"/>
          </w:tcPr>
          <w:p>
            <w:pPr>
              <w:jc w:val="right"/>
              <w:ind w:right="1930"/>
              <w:spacing w:after="0"/>
              <w:rPr>
                <w:sz w:val="20"/>
                <w:szCs w:val="20"/>
                <w:color w:val="auto"/>
              </w:rPr>
            </w:pPr>
            <w:r>
              <w:rPr>
                <w:rFonts w:ascii="Arial" w:cs="Arial" w:eastAsia="Arial" w:hAnsi="Arial"/>
                <w:sz w:val="18"/>
                <w:szCs w:val="18"/>
                <w:color w:val="auto"/>
                <w:w w:val="85"/>
              </w:rPr>
              <w:t>__________</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17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Goodwill impairment charges decreased as we recorded charges of $0.5 billion in GMIO in 2013 as compared to charges of $26.4 billion, $0.6 billion and $0.2 billion in GMNA, GME and GMIO in 2012. Refer to Note 10 to our consolidated financial statements for additional information related to our Goodwill impairment charges.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2012 the Goodwill impairment charges increased as we recorded charges of $26.4 billion, $0.6 billion and $0.2 billion in GMNA, GME and GMIO in 2012 as compared to charges of $1.0 billion and $0.3 billion in GME and GMIO in 2011. Refer to Note 10 to our consolidated financial statements for additional information related to our Goodwill impairment charges.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20" w:type="dxa"/>
            <w:vAlign w:val="bottom"/>
            <w:gridSpan w:val="6"/>
          </w:tcPr>
          <w:p>
            <w:pPr>
              <w:jc w:val="center"/>
              <w:ind w:left="39"/>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2013 vs. 2012 Change</w:t>
            </w:r>
          </w:p>
        </w:tc>
        <w:tc>
          <w:tcPr>
            <w:tcW w:w="22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2"/>
              </w:rPr>
              <w:t>Year Ended 2012 vs. 2011 Change</w:t>
            </w:r>
          </w:p>
        </w:tc>
      </w:tr>
      <w:tr>
        <w:trPr>
          <w:trHeight w:val="264"/>
        </w:trPr>
        <w:tc>
          <w:tcPr>
            <w:tcW w:w="288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6"/>
              </w:rPr>
              <w:t>334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(31.7)%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28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Automotive interest expense decreased due primarily to the redemption of GM Korea’s preferred shares in December 2012 and April 2013.</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2012 the decrease in Automotive interest expense was insignificant, as the composition of our debt and related interest rates did not change significantly compared to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center"/>
              <w:ind w:left="502"/>
              <w:spacing w:after="0"/>
              <w:rPr>
                <w:sz w:val="20"/>
                <w:szCs w:val="20"/>
                <w:color w:val="auto"/>
              </w:rPr>
            </w:pPr>
            <w:r>
              <w:rPr>
                <w:rFonts w:ascii="Arial" w:cs="Arial" w:eastAsia="Arial" w:hAnsi="Arial"/>
                <w:sz w:val="14"/>
                <w:szCs w:val="14"/>
                <w:b w:val="1"/>
                <w:bCs w:val="1"/>
                <w:color w:val="auto"/>
                <w:w w:val="91"/>
              </w:rPr>
              <w:t>Years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Year Ended 2013 vs. 2012 Change</w:t>
            </w:r>
          </w:p>
        </w:tc>
        <w:tc>
          <w:tcPr>
            <w:tcW w:w="22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2"/>
              </w:rPr>
              <w:t>Year Ended 2012 vs. 2011 Change</w:t>
            </w:r>
          </w:p>
        </w:tc>
      </w:tr>
      <w:tr>
        <w:trPr>
          <w:trHeight w:val="264"/>
        </w:trPr>
        <w:tc>
          <w:tcPr>
            <w:tcW w:w="29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r>
      <w:tr>
        <w:trPr>
          <w:trHeight w:val="215"/>
        </w:trPr>
        <w:tc>
          <w:tcPr>
            <w:tcW w:w="2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2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Interest income and other non-operating income, net increased due primarily to: (1) a gain of $0.5 billion related to the sale of our Ally Financial investment in 2013; and (2) favorable effect of $0.4 billion due to a $0.2 billion gain on the sale of the PSA stock in 2013 compared to a $0.2 billion impairment charge in 2012; partially offset by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unfavorable $0.2 billion foreign currency effect related to intercompany foreign currency denominated loans; (4) decreased insurance recoveries of $0.1 billion; (5) decreased interest income of $0.1 billion; (6) decreased gain on the sale of machinery and equipment of $0.1 billion; and (7) unfavorable effect of $0.1 billion gain on the purchase of GMAC de Venezuela in 2012 that did not occur in 2013.</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 ended December 31, 2012 Interest income and other non-operating income, net remained flat due primarily to: (1) a gain of $0.3 billion related to the sale of our Ally Financial preferred stock in 2011 which did not recur in 2012; (2) an impairment charge of $0.2 billion related to our investment in PSA; (3) a charge of $0.1 billion to record General Motors Strasbourg S.A.S. (GMS) assets and liabilities to estimated fair value; (4) decreased interest income of $0.1 billion; and (5) derivative losses of $0.1 billion related to fair value adjustments; offset by (6) an impairment charge of $0.6 billion related to our investment in Ally Financial common stock in 2011 which did not recur in 2012; and (7) income related to insurance recoveries of $0.2 billion.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on Extinguishment of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center"/>
              <w:ind w:left="522"/>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2013 vs. 2012 Change</w:t>
            </w: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Year Ended 2012 vs. 2011 Change</w:t>
            </w:r>
          </w:p>
        </w:tc>
      </w:tr>
      <w:tr>
        <w:trPr>
          <w:trHeight w:val="264"/>
        </w:trPr>
        <w:tc>
          <w:tcPr>
            <w:tcW w:w="20" w:type="dxa"/>
            <w:vAlign w:val="bottom"/>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Gain (loss) on extinguishment of debt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20" w:type="dxa"/>
            <w:vAlign w:val="bottom"/>
          </w:tcPr>
          <w:p>
            <w:pPr>
              <w:spacing w:after="0"/>
              <w:rPr>
                <w:sz w:val="19"/>
                <w:szCs w:val="19"/>
                <w:color w:val="auto"/>
              </w:rPr>
            </w:pPr>
          </w:p>
        </w:tc>
        <w:tc>
          <w:tcPr>
            <w:tcW w:w="2840" w:type="dxa"/>
            <w:vAlign w:val="bottom"/>
          </w:tcPr>
          <w:p>
            <w:pPr>
              <w:jc w:val="right"/>
              <w:ind w:right="1870"/>
              <w:spacing w:after="0"/>
              <w:rPr>
                <w:sz w:val="20"/>
                <w:szCs w:val="20"/>
                <w:color w:val="auto"/>
              </w:rPr>
            </w:pPr>
            <w:r>
              <w:rPr>
                <w:rFonts w:ascii="Arial" w:cs="Arial" w:eastAsia="Arial" w:hAnsi="Arial"/>
                <w:sz w:val="18"/>
                <w:szCs w:val="18"/>
                <w:color w:val="auto"/>
                <w:w w:val="85"/>
              </w:rPr>
              <w:t>__________</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20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years ended December 31, 2013 and December 31, 2012 we recorded losses on extinguishment of debt primarily related to the early redemption of the GM Korea redeemable preferred shares.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Income and Gain on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Arial" w:cs="Arial" w:eastAsia="Arial" w:hAnsi="Arial"/>
                <w:sz w:val="14"/>
                <w:szCs w:val="14"/>
                <w:b w:val="1"/>
                <w:bCs w:val="1"/>
                <w:color w:val="auto"/>
              </w:rPr>
              <w:t>Year Ended 2013 vs. 2012 Change</w:t>
            </w:r>
          </w:p>
        </w:tc>
        <w:tc>
          <w:tcPr>
            <w:tcW w:w="160" w:type="dxa"/>
            <w:vAlign w:val="bottom"/>
          </w:tcPr>
          <w:p>
            <w:pPr>
              <w:spacing w:after="0"/>
              <w:rPr>
                <w:sz w:val="16"/>
                <w:szCs w:val="16"/>
                <w:color w:val="auto"/>
              </w:rPr>
            </w:pPr>
          </w:p>
        </w:tc>
        <w:tc>
          <w:tcPr>
            <w:tcW w:w="22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w w:val="92"/>
              </w:rPr>
              <w:t>Year Ended 2012 vs. 2011 Change</w:t>
            </w: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joint ventures (China JVs)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242</w:t>
            </w:r>
          </w:p>
        </w:tc>
        <w:tc>
          <w:tcPr>
            <w:tcW w:w="12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3"/>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2900" w:type="dxa"/>
            <w:vAlign w:val="bottom"/>
          </w:tcPr>
          <w:p>
            <w:pPr>
              <w:ind w:left="40"/>
              <w:spacing w:after="0"/>
              <w:rPr>
                <w:sz w:val="20"/>
                <w:szCs w:val="20"/>
                <w:color w:val="auto"/>
              </w:rPr>
            </w:pPr>
            <w:r>
              <w:rPr>
                <w:rFonts w:ascii="Arial" w:cs="Arial" w:eastAsia="Arial" w:hAnsi="Arial"/>
                <w:sz w:val="18"/>
                <w:szCs w:val="18"/>
                <w:color w:val="auto"/>
              </w:rPr>
              <w:t>New Delphi (including gain 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disposition)</w:t>
            </w: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0"/>
                <w:szCs w:val="20"/>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2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3"/>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900" w:type="dxa"/>
            <w:vAlign w:val="bottom"/>
          </w:tcPr>
          <w:p>
            <w:pPr>
              <w:ind w:left="40"/>
              <w:spacing w:after="0"/>
              <w:rPr>
                <w:sz w:val="20"/>
                <w:szCs w:val="20"/>
                <w:color w:val="auto"/>
              </w:rPr>
            </w:pPr>
            <w:r>
              <w:rPr>
                <w:rFonts w:ascii="Arial" w:cs="Arial" w:eastAsia="Arial" w:hAnsi="Arial"/>
                <w:sz w:val="18"/>
                <w:szCs w:val="18"/>
                <w:color w:val="auto"/>
              </w:rPr>
              <w:t>Total equity income and gain on</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w w:val="93"/>
              </w:rPr>
              <w:t>15.9%</w:t>
            </w: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8890</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8890</wp:posOffset>
            </wp:positionV>
            <wp:extent cx="3061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-130175</wp:posOffset>
            </wp:positionV>
            <wp:extent cx="720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-130175</wp:posOffset>
            </wp:positionV>
            <wp:extent cx="3061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Equity income and gain on investments increased due primarily to a $0.2 billion increase in earnings of our China JVs.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2012 Equity income and gain on investments decreased due primarily to a $1.6 billion gain related to the sale of our Delphi Automotive LLP (New Delphi) Class A Membership Interests and related equity income for the year ended December 31, 2011 that did not recur for the year ended December 31,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center"/>
              <w:ind w:left="502"/>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2013 vs. 2012 Change</w:t>
            </w: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Year Ended 2012 vs. 2011 Change</w:t>
            </w:r>
          </w:p>
        </w:tc>
      </w:tr>
      <w:tr>
        <w:trPr>
          <w:trHeight w:val="264"/>
        </w:trPr>
        <w:tc>
          <w:tcPr>
            <w:tcW w:w="29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50"/>
        </w:trPr>
        <w:tc>
          <w:tcPr>
            <w:tcW w:w="2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0"/>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36,958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2980" w:type="dxa"/>
            <w:vAlign w:val="bottom"/>
          </w:tcPr>
          <w:p>
            <w:pPr>
              <w:jc w:val="right"/>
              <w:ind w:right="1910"/>
              <w:spacing w:after="0"/>
              <w:rPr>
                <w:sz w:val="20"/>
                <w:szCs w:val="20"/>
                <w:color w:val="auto"/>
              </w:rPr>
            </w:pPr>
            <w:r>
              <w:rPr>
                <w:rFonts w:ascii="Arial" w:cs="Arial" w:eastAsia="Arial" w:hAnsi="Arial"/>
                <w:sz w:val="18"/>
                <w:szCs w:val="18"/>
                <w:color w:val="auto"/>
                <w:w w:val="95"/>
              </w:rPr>
              <w:t>__________</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ind w:left="80"/>
        <w:spacing w:after="0"/>
        <w:rPr>
          <w:sz w:val="20"/>
          <w:szCs w:val="20"/>
          <w:color w:val="auto"/>
        </w:rPr>
      </w:pPr>
      <w:r>
        <w:rPr>
          <w:rFonts w:ascii="Arial" w:cs="Arial" w:eastAsia="Arial" w:hAnsi="Arial"/>
          <w:sz w:val="16"/>
          <w:szCs w:val="16"/>
          <w:color w:val="auto"/>
        </w:rPr>
        <w:t>n.m. = not meaningful</w:t>
      </w:r>
    </w:p>
    <w:p>
      <w:pPr>
        <w:spacing w:after="0" w:line="20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ended December 31, 2013 our effective tax rate was 28.5%. Income tax expense increased due primarily to the deferred tax asset valuation allowance reversal of $36.3 billion in the U.S. and Canada that occurred in 2012.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year ended December 31, 2012 income tax benefit increased due primarily to: (1) deferred tax asset valuation allowance reversals of $36.3 billion in the U.S. and Canada in 2012 as compared to $0.5 billion in Australia in 2011; and (2) change in U.S. federal tax elections which permitted us to record a tax benefit of $1.1 billion related to foreign tax credits; partially offset by (3) current year U.S. income tax provision of $1.4 billion; and (4) income tax allocation from Accumulated other comprehensive loss to Income tax expense (benefit) of $0.6 billion related to the U.S. salary pension plan.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18 to our consolidated financial statements for additional information related to our income tax expense (benefit).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Automotive and GM Financial Segment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Management believes earnings before interest and tax (EBIT)-adjusted provides meaningful supplemental information regarding our automotive segments' operating results because it excludes interest income, interest expense and income taxes as well as certain additional adjustments. Such adjustments include impairment charges related to goodwill, other long-lived assets under certain circumstances and certain investments, gains or losses on the settlement/extinguishment of obligations and gains or losses on the sale of non-core investments.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Management believes free cash flow and adjusted free cash flow provide meaningful supplemental information regarding the liquidity of our automotive operations and our ability to generate sufficient cash flow above those required in our business to sustain our operations. We measure free cash flow as cash flow from operations less capital expenditures. We measure adjusted free cash flow as free cash flow adjusted for management actions, primarily related to strengthening our balance sheet, such as accrued interest on prepayments of debt and voluntary contributions to employee benefit plans.</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Management believes these measures allow it to readily view operating trends, perform analytical comparisons and benchmark performance between periods and among geographic regions. We believe these non-GAAP measures are useful in allowing for greater transparency of our core operations and are therefore used by management in its financial and operational decision-making. Management does not consider the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w:t>
      </w:r>
    </w:p>
    <w:p>
      <w:pPr>
        <w:spacing w:after="0" w:line="17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While management believes that these non-GAAP measures provide useful information, they are not operating measures under U.S. GAAP and there are limitations associated with their use.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other measures such as Net income, Net income attributable to stockholders or operating cash flow. Due to these limitations, these non-GAAP measures are used as supplements to U.S. GAAP measures.</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tables summarize the reconciliation of our automotive segments EBIT-adjusted and GM Financial's income before income taxes to Net income attributable to stockholders and provides supplemental detail of the adjustments, which are presented net of noncontrolling interests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3"/>
        </w:trPr>
        <w:tc>
          <w:tcPr>
            <w:tcW w:w="4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w w:val="96"/>
              </w:rPr>
              <w:t>2011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Automotive</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EBIT-adjusted</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GMNA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97.1 %  $</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88.2 %</w:t>
            </w: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GME</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GMIO</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GMSA</w:t>
            </w: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and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EBIT-adjusted</w:t>
            </w:r>
          </w:p>
        </w:tc>
        <w:tc>
          <w:tcPr>
            <w:tcW w:w="300" w:type="dxa"/>
            <w:vAlign w:val="bottom"/>
            <w:tcBorders>
              <w:top w:val="single" w:sz="8" w:color="auto"/>
              <w:bottom w:val="single" w:sz="8" w:color="CCEEFF"/>
            </w:tcBorders>
          </w:tcPr>
          <w:p>
            <w:pPr>
              <w:spacing w:after="0"/>
              <w:rPr>
                <w:sz w:val="24"/>
                <w:szCs w:val="24"/>
                <w:color w:val="auto"/>
              </w:rPr>
            </w:pPr>
          </w:p>
        </w:tc>
        <w:tc>
          <w:tcPr>
            <w:tcW w:w="72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7,680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ind w:right="32"/>
              <w:spacing w:after="0"/>
              <w:rPr>
                <w:sz w:val="20"/>
                <w:szCs w:val="20"/>
                <w:color w:val="auto"/>
              </w:rPr>
            </w:pPr>
            <w:r>
              <w:rPr>
                <w:rFonts w:ascii="Arial" w:cs="Arial" w:eastAsia="Arial" w:hAnsi="Arial"/>
                <w:sz w:val="18"/>
                <w:szCs w:val="18"/>
                <w:color w:val="auto"/>
              </w:rPr>
              <w:t>7,116</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68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(36,106)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Corporate interest income</w:t>
            </w: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Automotive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Financing</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GM Financial income before income taxes</w:t>
            </w: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(34,831)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7"/>
              </w:rPr>
              <w:t>Year Ended December 31, 2013</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GMNA</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 of property and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29"/>
        </w:trPr>
        <w:tc>
          <w:tcPr>
            <w:tcW w:w="5380" w:type="dxa"/>
            <w:vAlign w:val="bottom"/>
          </w:tcPr>
          <w:p>
            <w:pPr>
              <w:ind w:left="40"/>
              <w:spacing w:after="0"/>
              <w:rPr>
                <w:sz w:val="20"/>
                <w:szCs w:val="20"/>
                <w:color w:val="auto"/>
              </w:rPr>
            </w:pPr>
            <w:r>
              <w:rPr>
                <w:rFonts w:ascii="Arial" w:cs="Arial" w:eastAsia="Arial" w:hAnsi="Arial"/>
                <w:sz w:val="18"/>
                <w:szCs w:val="18"/>
                <w:color w:val="auto"/>
                <w:w w:val="93"/>
              </w:rPr>
              <w:t>Costs related to our plans to cease mainstream distribution of Chevrolet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5380" w:type="dxa"/>
            <w:vAlign w:val="bottom"/>
          </w:tcPr>
          <w:p>
            <w:pPr>
              <w:ind w:left="200"/>
              <w:spacing w:after="0"/>
              <w:rPr>
                <w:sz w:val="20"/>
                <w:szCs w:val="20"/>
                <w:color w:val="auto"/>
              </w:rPr>
            </w:pPr>
            <w:r>
              <w:rPr>
                <w:rFonts w:ascii="Arial" w:cs="Arial" w:eastAsia="Arial" w:hAnsi="Arial"/>
                <w:sz w:val="18"/>
                <w:szCs w:val="18"/>
                <w:color w:val="auto"/>
              </w:rPr>
              <w:t>brand in Europe</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 of GM Korea wage litigation accrual</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Gain on sale of equity investment in Ally Financial</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483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Venezuela currency devaluation</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equity investment in PSA</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r>
        <w:trPr>
          <w:trHeight w:val="229"/>
        </w:trPr>
        <w:tc>
          <w:tcPr>
            <w:tcW w:w="5380" w:type="dxa"/>
            <w:vAlign w:val="bottom"/>
          </w:tcPr>
          <w:p>
            <w:pPr>
              <w:ind w:left="40"/>
              <w:spacing w:after="0"/>
              <w:rPr>
                <w:sz w:val="20"/>
                <w:szCs w:val="20"/>
                <w:color w:val="auto"/>
              </w:rPr>
            </w:pPr>
            <w:r>
              <w:rPr>
                <w:rFonts w:ascii="Arial" w:cs="Arial" w:eastAsia="Arial" w:hAnsi="Arial"/>
                <w:sz w:val="18"/>
                <w:szCs w:val="18"/>
                <w:color w:val="auto"/>
              </w:rPr>
              <w:t>Noncontrolling interests related to redemption of the GM Korea</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5380" w:type="dxa"/>
            <w:vAlign w:val="bottom"/>
          </w:tcPr>
          <w:p>
            <w:pPr>
              <w:ind w:left="200"/>
              <w:spacing w:after="0"/>
              <w:rPr>
                <w:sz w:val="20"/>
                <w:szCs w:val="20"/>
                <w:color w:val="auto"/>
              </w:rPr>
            </w:pPr>
            <w:r>
              <w:rPr>
                <w:rFonts w:ascii="Arial" w:cs="Arial" w:eastAsia="Arial" w:hAnsi="Arial"/>
                <w:sz w:val="18"/>
                <w:szCs w:val="18"/>
                <w:color w:val="auto"/>
              </w:rPr>
              <w:t>mandatorily redeemable preferred shares</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settlement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 related to PSA product development agreement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related to insurance recoveries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 adjustments to automotive EBIT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w w:val="96"/>
              </w:rPr>
              <w:t>Year Ended December 31, 2012</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GMNA</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GMSA</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Goodwill impairment charges</w:t>
            </w: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(27,121)</w:t>
            </w:r>
          </w:p>
        </w:tc>
        <w:tc>
          <w:tcPr>
            <w:tcW w:w="0" w:type="dxa"/>
            <w:vAlign w:val="bottom"/>
          </w:tcPr>
          <w:p>
            <w:pPr>
              <w:spacing w:after="0"/>
              <w:rPr>
                <w:sz w:val="1"/>
                <w:szCs w:val="1"/>
                <w:color w:val="auto"/>
              </w:rPr>
            </w:pP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Impairment charges of property</w:t>
            </w: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settlement charges</w:t>
            </w: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w w:val="91"/>
              </w:rPr>
              <w:t>Impairment charges of intangible assets</w:t>
            </w: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42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w w:val="91"/>
              </w:rPr>
              <w:t>Premium paid to purchase our common stock from the UST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GM Korea wage litigation accrual</w:t>
            </w: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3540" w:type="dxa"/>
            <w:vAlign w:val="bottom"/>
            <w:gridSpan w:val="4"/>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Impairment charge related to investment in PSA</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w w:val="94"/>
              </w:rPr>
              <w:t>Income related to insurance recoveries</w:t>
            </w: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3"/>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w w:val="99"/>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2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11"/>
            <w:shd w:val="clear" w:color="auto" w:fill="CCEEFF"/>
          </w:tcPr>
          <w:p>
            <w:pPr>
              <w:ind w:left="40"/>
              <w:spacing w:after="0"/>
              <w:rPr>
                <w:sz w:val="20"/>
                <w:szCs w:val="20"/>
                <w:color w:val="auto"/>
              </w:rPr>
            </w:pPr>
            <w:r>
              <w:rPr>
                <w:rFonts w:ascii="Arial" w:cs="Arial" w:eastAsia="Arial" w:hAnsi="Arial"/>
                <w:sz w:val="18"/>
                <w:szCs w:val="18"/>
                <w:color w:val="auto"/>
              </w:rPr>
              <w:t>Charge to record GMS assets and liabilities to estimated fair value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5560" w:type="dxa"/>
            <w:vAlign w:val="bottom"/>
            <w:gridSpan w:val="11"/>
          </w:tcPr>
          <w:p>
            <w:pPr>
              <w:ind w:left="40"/>
              <w:spacing w:after="0"/>
              <w:rPr>
                <w:sz w:val="20"/>
                <w:szCs w:val="20"/>
                <w:color w:val="auto"/>
              </w:rPr>
            </w:pPr>
            <w:r>
              <w:rPr>
                <w:rFonts w:ascii="Arial" w:cs="Arial" w:eastAsia="Arial" w:hAnsi="Arial"/>
                <w:sz w:val="18"/>
                <w:szCs w:val="18"/>
                <w:color w:val="auto"/>
              </w:rPr>
              <w:t>Noncontrolling interests related to redemption of the GM Korea</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tcPr>
          <w:p>
            <w:pPr>
              <w:ind w:left="200"/>
              <w:spacing w:after="0"/>
              <w:rPr>
                <w:sz w:val="20"/>
                <w:szCs w:val="20"/>
                <w:color w:val="auto"/>
              </w:rPr>
            </w:pPr>
            <w:r>
              <w:rPr>
                <w:rFonts w:ascii="Arial" w:cs="Arial" w:eastAsia="Arial" w:hAnsi="Arial"/>
                <w:sz w:val="18"/>
                <w:szCs w:val="18"/>
                <w:color w:val="auto"/>
              </w:rPr>
              <w:t>mandatorily redeemable preferred shares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gridSpan w:val="3"/>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Total adjustments to automotive EBIT</w:t>
            </w: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(29,052)</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9"/>
              </w:rPr>
              <w:t>27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(36,106)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w w:val="96"/>
              </w:rPr>
              <w:t>Year Ended December 31, 2011</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GMNA</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GMSA</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1"/>
              </w:rPr>
              <w:t>Gain on sale of our New Delphi Class A Membership Interests</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w w:val="96"/>
              </w:rPr>
              <w:t>Goodwill impairment charges</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Gain related to HCT settlement</w:t>
            </w: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3"/>
        </w:trPr>
        <w:tc>
          <w:tcPr>
            <w:tcW w:w="4420" w:type="dxa"/>
            <w:vAlign w:val="bottom"/>
            <w:gridSpan w:val="7"/>
          </w:tcPr>
          <w:p>
            <w:pPr>
              <w:ind w:left="40"/>
              <w:spacing w:after="0"/>
              <w:rPr>
                <w:sz w:val="20"/>
                <w:szCs w:val="20"/>
                <w:color w:val="auto"/>
              </w:rPr>
            </w:pPr>
            <w:r>
              <w:rPr>
                <w:rFonts w:ascii="Arial" w:cs="Arial" w:eastAsia="Arial" w:hAnsi="Arial"/>
                <w:sz w:val="18"/>
                <w:szCs w:val="18"/>
                <w:color w:val="auto"/>
              </w:rPr>
              <w:t>Impairment related to Ally Financial common stock</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3540" w:type="dxa"/>
            <w:vAlign w:val="bottom"/>
            <w:gridSpan w:val="4"/>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7"/>
              </w:rPr>
              <w:t>Gain on sale of Ally Financial preferred stock</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w w:val="99"/>
              </w:rPr>
              <w:t>Charges related to GM India</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98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5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9"/>
              </w:rPr>
              <w:t>63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2980" w:type="dxa"/>
            <w:vAlign w:val="bottom"/>
            <w:gridSpan w:val="3"/>
          </w:tcPr>
          <w:p>
            <w:pPr>
              <w:ind w:left="40"/>
              <w:spacing w:after="0"/>
              <w:rPr>
                <w:sz w:val="20"/>
                <w:szCs w:val="20"/>
                <w:color w:val="auto"/>
              </w:rPr>
            </w:pPr>
            <w:r>
              <w:rPr>
                <w:rFonts w:ascii="Arial" w:cs="Arial" w:eastAsia="Arial" w:hAnsi="Arial"/>
                <w:sz w:val="18"/>
                <w:szCs w:val="18"/>
                <w:color w:val="auto"/>
                <w:w w:val="97"/>
              </w:rPr>
              <w:t>Total adjustments to automotive EBIT</w:t>
            </w: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2,394</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9"/>
              </w:rPr>
              <w:t>63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GM North America</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11"/>
                <w:szCs w:val="11"/>
                <w:color w:val="auto"/>
              </w:rPr>
            </w:pPr>
          </w:p>
        </w:tc>
        <w:tc>
          <w:tcPr>
            <w:tcW w:w="2100" w:type="dxa"/>
            <w:vAlign w:val="bottom"/>
            <w:gridSpan w:val="8"/>
            <w:vMerge w:val="restart"/>
          </w:tcPr>
          <w:p>
            <w:pPr>
              <w:jc w:val="right"/>
              <w:ind w:right="30"/>
              <w:spacing w:after="0"/>
              <w:rPr>
                <w:sz w:val="20"/>
                <w:szCs w:val="20"/>
                <w:color w:val="auto"/>
              </w:rPr>
            </w:pPr>
            <w:r>
              <w:rPr>
                <w:rFonts w:ascii="Arial" w:cs="Arial" w:eastAsia="Arial" w:hAnsi="Arial"/>
                <w:sz w:val="13"/>
                <w:szCs w:val="13"/>
                <w:b w:val="1"/>
                <w:bCs w:val="1"/>
                <w:color w:val="auto"/>
                <w:w w:val="93"/>
              </w:rPr>
              <w:t>Year Ended 2013 vs. 2012 Change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Variance Due To</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2100" w:type="dxa"/>
            <w:vAlign w:val="bottom"/>
            <w:gridSpan w:val="8"/>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5"/>
            <w:vMerge w:val="continue"/>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Favorable/</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ind w:right="352"/>
              <w:spacing w:after="0"/>
              <w:rPr>
                <w:sz w:val="20"/>
                <w:szCs w:val="20"/>
                <w:color w:val="auto"/>
              </w:rPr>
            </w:pPr>
            <w:r>
              <w:rPr>
                <w:rFonts w:ascii="Arial" w:cs="Arial" w:eastAsia="Arial" w:hAnsi="Arial"/>
                <w:sz w:val="13"/>
                <w:szCs w:val="13"/>
                <w:b w:val="1"/>
                <w:bCs w:val="1"/>
                <w:color w:val="auto"/>
                <w:w w:val="82"/>
              </w:rPr>
              <w:t>2013</w:t>
            </w:r>
          </w:p>
        </w:tc>
        <w:tc>
          <w:tcPr>
            <w:tcW w:w="5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Volume</w:t>
            </w:r>
          </w:p>
        </w:tc>
        <w:tc>
          <w:tcPr>
            <w:tcW w:w="860" w:type="dxa"/>
            <w:vAlign w:val="bottom"/>
            <w:gridSpan w:val="3"/>
          </w:tcPr>
          <w:p>
            <w:pPr>
              <w:jc w:val="right"/>
              <w:ind w:right="156"/>
              <w:spacing w:after="0"/>
              <w:rPr>
                <w:sz w:val="20"/>
                <w:szCs w:val="20"/>
                <w:color w:val="auto"/>
              </w:rPr>
            </w:pPr>
            <w:r>
              <w:rPr>
                <w:rFonts w:ascii="Arial" w:cs="Arial" w:eastAsia="Arial" w:hAnsi="Arial"/>
                <w:sz w:val="13"/>
                <w:szCs w:val="13"/>
                <w:b w:val="1"/>
                <w:bCs w:val="1"/>
                <w:color w:val="auto"/>
              </w:rPr>
              <w:t>Mix</w:t>
            </w:r>
          </w:p>
        </w:tc>
        <w:tc>
          <w:tcPr>
            <w:tcW w:w="920" w:type="dxa"/>
            <w:vAlign w:val="bottom"/>
            <w:gridSpan w:val="4"/>
          </w:tcPr>
          <w:p>
            <w:pPr>
              <w:ind w:left="400"/>
              <w:spacing w:after="0"/>
              <w:rPr>
                <w:sz w:val="20"/>
                <w:szCs w:val="20"/>
                <w:color w:val="auto"/>
              </w:rPr>
            </w:pPr>
            <w:r>
              <w:rPr>
                <w:rFonts w:ascii="Arial" w:cs="Arial" w:eastAsia="Arial" w:hAnsi="Arial"/>
                <w:sz w:val="13"/>
                <w:szCs w:val="13"/>
                <w:b w:val="1"/>
                <w:bCs w:val="1"/>
                <w:color w:val="auto"/>
              </w:rPr>
              <w:t>Price</w:t>
            </w:r>
          </w:p>
        </w:tc>
        <w:tc>
          <w:tcPr>
            <w:tcW w:w="2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18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7"/>
              </w:rPr>
              <w:t>(Dollars in billions)</w:t>
            </w:r>
          </w:p>
        </w:tc>
        <w:tc>
          <w:tcPr>
            <w:tcW w:w="5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95,099</w:t>
            </w:r>
          </w:p>
        </w:tc>
        <w:tc>
          <w:tcPr>
            <w:tcW w:w="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89,910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5,189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right w:val="single" w:sz="8" w:color="auto"/>
            </w:tcBorders>
            <w:shd w:val="clear" w:color="auto" w:fill="CCEEFF"/>
          </w:tcPr>
          <w:p>
            <w:pPr>
              <w:spacing w:after="0"/>
              <w:rPr>
                <w:sz w:val="24"/>
                <w:szCs w:val="24"/>
                <w:color w:val="auto"/>
              </w:rPr>
            </w:pP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1.7</w:t>
            </w:r>
          </w:p>
        </w:tc>
        <w:tc>
          <w:tcPr>
            <w:tcW w:w="540" w:type="dxa"/>
            <w:vAlign w:val="bottom"/>
            <w:shd w:val="clear" w:color="auto" w:fill="CCEEFF"/>
          </w:tcPr>
          <w:p>
            <w:pPr>
              <w:jc w:val="right"/>
              <w:ind w:right="235"/>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w w:val="92"/>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7,461</w:t>
            </w:r>
          </w:p>
        </w:tc>
        <w:tc>
          <w:tcPr>
            <w:tcW w:w="560" w:type="dxa"/>
            <w:vAlign w:val="bottom"/>
          </w:tcPr>
          <w:p>
            <w:pPr>
              <w:ind w:left="1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6,470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right w:val="single" w:sz="8" w:color="auto"/>
            </w:tcBorders>
          </w:tcPr>
          <w:p>
            <w:pPr>
              <w:spacing w:after="0"/>
              <w:rPr>
                <w:sz w:val="22"/>
                <w:szCs w:val="22"/>
                <w:color w:val="auto"/>
              </w:rPr>
            </w:pPr>
          </w:p>
        </w:tc>
        <w:tc>
          <w:tcPr>
            <w:tcW w:w="400" w:type="dxa"/>
            <w:vAlign w:val="bottom"/>
            <w:gridSpan w:val="2"/>
          </w:tcPr>
          <w:p>
            <w:pPr>
              <w:jc w:val="right"/>
              <w:ind w:right="94"/>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9"/>
              <w:spacing w:after="0"/>
              <w:rPr>
                <w:sz w:val="20"/>
                <w:szCs w:val="20"/>
                <w:color w:val="auto"/>
              </w:rPr>
            </w:pPr>
            <w:r>
              <w:rPr>
                <w:rFonts w:ascii="Arial" w:cs="Arial" w:eastAsia="Arial" w:hAnsi="Arial"/>
                <w:sz w:val="14"/>
                <w:szCs w:val="14"/>
                <w:color w:val="auto"/>
              </w:rPr>
              <w:t>0.5</w:t>
            </w:r>
          </w:p>
        </w:tc>
        <w:tc>
          <w:tcPr>
            <w:tcW w:w="54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62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10"/>
              <w:spacing w:after="0"/>
              <w:rPr>
                <w:sz w:val="20"/>
                <w:szCs w:val="20"/>
                <w:color w:val="auto"/>
              </w:rPr>
            </w:pPr>
            <w:r>
              <w:rPr>
                <w:rFonts w:ascii="Arial" w:cs="Arial" w:eastAsia="Arial" w:hAnsi="Arial"/>
                <w:sz w:val="14"/>
                <w:szCs w:val="14"/>
                <w:color w:val="auto"/>
                <w:w w:val="92"/>
              </w:rPr>
              <w:t>1.9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40" w:type="dxa"/>
            <w:vAlign w:val="bottom"/>
            <w:gridSpan w:val="4"/>
            <w:shd w:val="clear" w:color="auto" w:fill="CCEEFF"/>
          </w:tcPr>
          <w:p>
            <w:pPr>
              <w:ind w:left="120"/>
              <w:spacing w:after="0"/>
              <w:rPr>
                <w:sz w:val="20"/>
                <w:szCs w:val="20"/>
                <w:color w:val="auto"/>
              </w:rPr>
            </w:pPr>
            <w:r>
              <w:rPr>
                <w:rFonts w:ascii="Arial" w:cs="Arial" w:eastAsia="Arial" w:hAnsi="Arial"/>
                <w:sz w:val="13"/>
                <w:szCs w:val="13"/>
                <w:b w:val="1"/>
                <w:bCs w:val="1"/>
                <w:color w:val="auto"/>
                <w:w w:val="89"/>
              </w:rPr>
              <w:t>(Vehicles in thousands)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46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3,276</w:t>
            </w:r>
          </w:p>
        </w:tc>
        <w:tc>
          <w:tcPr>
            <w:tcW w:w="5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24"/>
                <w:szCs w:val="24"/>
                <w:color w:val="auto"/>
              </w:rPr>
            </w:pPr>
          </w:p>
        </w:tc>
        <w:tc>
          <w:tcPr>
            <w:tcW w:w="2100" w:type="dxa"/>
            <w:vAlign w:val="bottom"/>
            <w:gridSpan w:val="8"/>
            <w:vMerge w:val="restart"/>
          </w:tcPr>
          <w:p>
            <w:pPr>
              <w:jc w:val="right"/>
              <w:ind w:right="30"/>
              <w:spacing w:after="0"/>
              <w:rPr>
                <w:sz w:val="20"/>
                <w:szCs w:val="20"/>
                <w:color w:val="auto"/>
              </w:rPr>
            </w:pPr>
            <w:r>
              <w:rPr>
                <w:rFonts w:ascii="Arial" w:cs="Arial" w:eastAsia="Arial" w:hAnsi="Arial"/>
                <w:sz w:val="13"/>
                <w:szCs w:val="13"/>
                <w:b w:val="1"/>
                <w:bCs w:val="1"/>
                <w:color w:val="auto"/>
                <w:w w:val="93"/>
              </w:rPr>
              <w:t>Year Ended 2012 vs. 2011 Change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Variance Due To</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2100" w:type="dxa"/>
            <w:vAlign w:val="bottom"/>
            <w:gridSpan w:val="8"/>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5"/>
            <w:vMerge w:val="continue"/>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Favorable/</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ind w:right="352"/>
              <w:spacing w:after="0"/>
              <w:rPr>
                <w:sz w:val="20"/>
                <w:szCs w:val="20"/>
                <w:color w:val="auto"/>
              </w:rPr>
            </w:pPr>
            <w:r>
              <w:rPr>
                <w:rFonts w:ascii="Arial" w:cs="Arial" w:eastAsia="Arial" w:hAnsi="Arial"/>
                <w:sz w:val="13"/>
                <w:szCs w:val="13"/>
                <w:b w:val="1"/>
                <w:bCs w:val="1"/>
                <w:color w:val="auto"/>
                <w:w w:val="82"/>
              </w:rPr>
              <w:t>2012</w:t>
            </w:r>
          </w:p>
        </w:tc>
        <w:tc>
          <w:tcPr>
            <w:tcW w:w="5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Volume</w:t>
            </w:r>
          </w:p>
        </w:tc>
        <w:tc>
          <w:tcPr>
            <w:tcW w:w="860" w:type="dxa"/>
            <w:vAlign w:val="bottom"/>
            <w:gridSpan w:val="3"/>
          </w:tcPr>
          <w:p>
            <w:pPr>
              <w:jc w:val="right"/>
              <w:ind w:right="156"/>
              <w:spacing w:after="0"/>
              <w:rPr>
                <w:sz w:val="20"/>
                <w:szCs w:val="20"/>
                <w:color w:val="auto"/>
              </w:rPr>
            </w:pPr>
            <w:r>
              <w:rPr>
                <w:rFonts w:ascii="Arial" w:cs="Arial" w:eastAsia="Arial" w:hAnsi="Arial"/>
                <w:sz w:val="13"/>
                <w:szCs w:val="13"/>
                <w:b w:val="1"/>
                <w:bCs w:val="1"/>
                <w:color w:val="auto"/>
              </w:rPr>
              <w:t>Mix</w:t>
            </w:r>
          </w:p>
        </w:tc>
        <w:tc>
          <w:tcPr>
            <w:tcW w:w="920" w:type="dxa"/>
            <w:vAlign w:val="bottom"/>
            <w:gridSpan w:val="4"/>
          </w:tcPr>
          <w:p>
            <w:pPr>
              <w:ind w:left="400"/>
              <w:spacing w:after="0"/>
              <w:rPr>
                <w:sz w:val="20"/>
                <w:szCs w:val="20"/>
                <w:color w:val="auto"/>
              </w:rPr>
            </w:pPr>
            <w:r>
              <w:rPr>
                <w:rFonts w:ascii="Arial" w:cs="Arial" w:eastAsia="Arial" w:hAnsi="Arial"/>
                <w:sz w:val="13"/>
                <w:szCs w:val="13"/>
                <w:b w:val="1"/>
                <w:bCs w:val="1"/>
                <w:color w:val="auto"/>
              </w:rPr>
              <w:t>Price</w:t>
            </w:r>
          </w:p>
        </w:tc>
        <w:tc>
          <w:tcPr>
            <w:tcW w:w="2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18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7"/>
              </w:rPr>
              <w:t>(Dollars in billions)</w:t>
            </w:r>
          </w:p>
        </w:tc>
        <w:tc>
          <w:tcPr>
            <w:tcW w:w="5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89,910</w:t>
            </w:r>
          </w:p>
        </w:tc>
        <w:tc>
          <w:tcPr>
            <w:tcW w:w="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85,991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3,919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20" w:type="dxa"/>
            <w:vAlign w:val="bottom"/>
            <w:tcBorders>
              <w:right w:val="single" w:sz="8" w:color="auto"/>
            </w:tcBorders>
            <w:shd w:val="clear" w:color="auto" w:fill="CCEEFF"/>
          </w:tcPr>
          <w:p>
            <w:pPr>
              <w:spacing w:after="0"/>
              <w:rPr>
                <w:sz w:val="24"/>
                <w:szCs w:val="24"/>
                <w:color w:val="auto"/>
              </w:rPr>
            </w:pPr>
          </w:p>
        </w:tc>
        <w:tc>
          <w:tcPr>
            <w:tcW w:w="400" w:type="dxa"/>
            <w:vAlign w:val="bottom"/>
            <w:gridSpan w:val="2"/>
            <w:shd w:val="clear" w:color="auto" w:fill="CCEEFF"/>
          </w:tcPr>
          <w:p>
            <w:pPr>
              <w:jc w:val="right"/>
              <w:ind w:right="94"/>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3.8</w:t>
            </w:r>
          </w:p>
        </w:tc>
        <w:tc>
          <w:tcPr>
            <w:tcW w:w="540" w:type="dxa"/>
            <w:vAlign w:val="bottom"/>
            <w:shd w:val="clear" w:color="auto" w:fill="CCEEFF"/>
          </w:tcPr>
          <w:p>
            <w:pPr>
              <w:jc w:val="right"/>
              <w:ind w:right="235"/>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w w:val="92"/>
              </w:rPr>
              <w:t>0.5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6,470</w:t>
            </w:r>
          </w:p>
        </w:tc>
        <w:tc>
          <w:tcPr>
            <w:tcW w:w="560" w:type="dxa"/>
            <w:vAlign w:val="bottom"/>
          </w:tcPr>
          <w:p>
            <w:pPr>
              <w:ind w:left="1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6,779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right w:val="single" w:sz="8" w:color="auto"/>
            </w:tcBorders>
          </w:tcPr>
          <w:p>
            <w:pPr>
              <w:spacing w:after="0"/>
              <w:rPr>
                <w:sz w:val="22"/>
                <w:szCs w:val="22"/>
                <w:color w:val="auto"/>
              </w:rPr>
            </w:pPr>
          </w:p>
        </w:tc>
        <w:tc>
          <w:tcPr>
            <w:tcW w:w="400" w:type="dxa"/>
            <w:vAlign w:val="bottom"/>
            <w:gridSpan w:val="2"/>
          </w:tcPr>
          <w:p>
            <w:pPr>
              <w:jc w:val="right"/>
              <w:ind w:right="94"/>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9"/>
              <w:spacing w:after="0"/>
              <w:rPr>
                <w:sz w:val="20"/>
                <w:szCs w:val="20"/>
                <w:color w:val="auto"/>
              </w:rPr>
            </w:pPr>
            <w:r>
              <w:rPr>
                <w:rFonts w:ascii="Arial" w:cs="Arial" w:eastAsia="Arial" w:hAnsi="Arial"/>
                <w:sz w:val="14"/>
                <w:szCs w:val="14"/>
                <w:color w:val="auto"/>
              </w:rPr>
              <w:t>1.1</w:t>
            </w:r>
          </w:p>
        </w:tc>
        <w:tc>
          <w:tcPr>
            <w:tcW w:w="54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w w:val="97"/>
              </w:rPr>
              <w:t>(0.6)</w:t>
            </w:r>
          </w:p>
        </w:tc>
        <w:tc>
          <w:tcPr>
            <w:tcW w:w="620" w:type="dxa"/>
            <w:vAlign w:val="bottom"/>
          </w:tcPr>
          <w:p>
            <w:pPr>
              <w:ind w:left="180"/>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10"/>
              <w:spacing w:after="0"/>
              <w:rPr>
                <w:sz w:val="20"/>
                <w:szCs w:val="20"/>
                <w:color w:val="auto"/>
              </w:rPr>
            </w:pPr>
            <w:r>
              <w:rPr>
                <w:rFonts w:ascii="Arial" w:cs="Arial" w:eastAsia="Arial" w:hAnsi="Arial"/>
                <w:sz w:val="14"/>
                <w:szCs w:val="14"/>
                <w:color w:val="auto"/>
                <w:w w:val="92"/>
              </w:rPr>
              <w:t>0.5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40" w:type="dxa"/>
            <w:vAlign w:val="bottom"/>
            <w:gridSpan w:val="4"/>
            <w:shd w:val="clear" w:color="auto" w:fill="CCEEFF"/>
          </w:tcPr>
          <w:p>
            <w:pPr>
              <w:ind w:left="100"/>
              <w:spacing w:after="0"/>
              <w:rPr>
                <w:sz w:val="20"/>
                <w:szCs w:val="20"/>
                <w:color w:val="auto"/>
              </w:rPr>
            </w:pPr>
            <w:r>
              <w:rPr>
                <w:rFonts w:ascii="Arial" w:cs="Arial" w:eastAsia="Arial" w:hAnsi="Arial"/>
                <w:sz w:val="13"/>
                <w:szCs w:val="13"/>
                <w:b w:val="1"/>
                <w:bCs w:val="1"/>
                <w:color w:val="auto"/>
                <w:w w:val="90"/>
              </w:rPr>
              <w:t>(Vehicles in thousands)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46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3,207</w:t>
            </w:r>
          </w:p>
        </w:tc>
        <w:tc>
          <w:tcPr>
            <w:tcW w:w="5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color w:val="auto"/>
              </w:rPr>
              <w:t>154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41"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2013 Total net sales and revenue increased due primarily to: (1) favorable vehicle pricing related to recent vehicle launches such as Chevrolet Silverado and GMC Sierra; (2) increased wholesale volumes due to increased industry demand and successful recent vehicle launches such as the Buick Encore, Cadillac ATS, Chevrolet Silverado, Chevrolet Spark, and GMC Sierra; and (3) favorable vehicle mix related to improving market segments containing higher revenue vehicles including crossovers and trucks.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2012 Total net sales and revenue increased due primarily to: (1) increased wholesale volumes due to increased industry demand and successful recent vehicle launches such as the Buick Verano, Cadillac ATS, Cadillac XTS, Chevrolet Sonic and Chevrolet Spark; (2) favorable vehicle mix due to increases in Cadillac ATS, Cadillac XTS, Chevrolet Silverado and GMC Sierra; and (3) favorable vehicle pricing related to recent vehicle launches such as Chevrolet Malibu, Chevrolet Traverse, GMC Acadia and Buick Enclave; partially offset by (4) Other of $1.1 billion due primarily to reduction in favorable lease residual adjustments of $0.5 billion; and unfavorable net foreign currency effect of $0.2 billion due to the weakening of the Canadian Dollar (CAD) and Mexican Peso against the U.S. Dollar.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most significant factors which influence GMNA's profitability are industry volume (primarily U.S. seasonally adjusted annual rate) and market share. While not as significant as industry volume and market share, another factor affecting profitability is the relative mix of vehicles (cars, trucks, crossovers) sold. Variable profit is a key indicator of product profitability. Variable profit is defined as revenue less material cost, freight, the variable component of manufacturing expense, and policy and warranty expense. Vehicles with higher selling prices generally have higher variable profit. Trucks sold in the U.S. currently have a variable profit of approximately 160% of our portfolio on a weighted-average basis. Crossover vehicles' variable profits are in line with the overall portfolio on a weighted-average basis, and cars are approximately 50% of the portfolio on a weighted-average basis.</w:t>
      </w:r>
    </w:p>
    <w:p>
      <w:pPr>
        <w:spacing w:after="0" w:line="17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2013 EBIT-adjusted increased due primarily to: (1) favorable vehicle pricing; and (2) increased wholesale volumes; partially offset by (3) unfavorable Other of $1.4 billion primarily due to increased material and freight costs including new launches of $1.1 billion; increased manufacturing expense, including new launches, of $0.3 billion; increased engineering expense of $0.3 billion; and increased depreciation and amortization expense of $0.2 billion, partially offset by a reduction in unfavorable warranty and policy adjustments of $0.6 billion.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2012 EBIT-adjusted decreased due primarily to: (1) unfavorable vehicle mix due to increase in lower margin vehicles; and</w:t>
      </w:r>
    </w:p>
    <w:p>
      <w:pPr>
        <w:spacing w:after="0" w:line="46" w:lineRule="exact"/>
        <w:rPr>
          <w:sz w:val="20"/>
          <w:szCs w:val="20"/>
          <w:color w:val="auto"/>
        </w:rPr>
      </w:pPr>
    </w:p>
    <w:p>
      <w:pPr>
        <w:jc w:val="both"/>
        <w:ind w:firstLine="8"/>
        <w:spacing w:after="0" w:line="273" w:lineRule="auto"/>
        <w:tabs>
          <w:tab w:leader="none" w:pos="292"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of $1.3 billion due primarily to decreased U.S. pension income of $0.8 billion due to December 31, 2011 plan remeasurements; increased manufacturing expense, including new launches, of $0.6 billion; reduction in favorable lease residual adjustments of $0.5 billion; and unfavorable policy and warranty adjustments of $0.2 billion; partially offset by decreased engineering expense and other technology fees of $0.5 billion; and decreased material and freight costs of $0.4 billion. These were partially offset by: (3) increased net wholesale volumes; and (4) favorable vehicle pricing effect.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During the second half of 2011 and continuing into 2013, the European automotive industry has been severely affected by high unemployment and a lack of consumer confidence coupled with manufacturing overcapacity. European automotive industry sales to retail and fleet customers were 19 million vehicles in the year ended December 31, 2013, representing a 1.1% decrease compared to the corresponding period in 2012.</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have formulated a plan and are implementing various actions to strengthen our operations and increase our competitiveness. The key areas include investments in our product portfolio, a revised brand strategy, significant management changes, reducing material, development and production costs, including restructuring activities. The success of our plan will depend on a combination of our ability to execute the actions contemplated, as well as external factors which are outside of our control. We believe it is likely that adverse economic conditions and their effect on the European automotive industry will not improve significantly in the near-term; however, we expect to break even in GME by mid-decade.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 and EBIT (Loss)-Adjusted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16"/>
                <w:szCs w:val="16"/>
                <w:color w:val="auto"/>
              </w:rPr>
            </w:pPr>
          </w:p>
        </w:tc>
        <w:tc>
          <w:tcPr>
            <w:tcW w:w="2440" w:type="dxa"/>
            <w:vAlign w:val="bottom"/>
            <w:tcBorders>
              <w:right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2013 vs. 2012 Change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40"/>
        </w:trPr>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Favorable/</w:t>
            </w:r>
          </w:p>
        </w:tc>
        <w:tc>
          <w:tcPr>
            <w:tcW w:w="122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3"/>
                <w:szCs w:val="13"/>
                <w:b w:val="1"/>
                <w:bCs w:val="1"/>
                <w:color w:val="auto"/>
              </w:rPr>
              <w:t>2013</w:t>
            </w:r>
          </w:p>
        </w:tc>
        <w:tc>
          <w:tcPr>
            <w:tcW w:w="400" w:type="dxa"/>
            <w:vAlign w:val="bottom"/>
          </w:tcPr>
          <w:p>
            <w:pPr>
              <w:spacing w:after="0"/>
              <w:rPr>
                <w:sz w:val="15"/>
                <w:szCs w:val="15"/>
                <w:color w:val="auto"/>
              </w:rPr>
            </w:pPr>
          </w:p>
        </w:tc>
        <w:tc>
          <w:tcPr>
            <w:tcW w:w="880" w:type="dxa"/>
            <w:vAlign w:val="bottom"/>
          </w:tcPr>
          <w:p>
            <w:pPr>
              <w:jc w:val="center"/>
              <w:ind w:right="210"/>
              <w:spacing w:after="0"/>
              <w:rPr>
                <w:sz w:val="20"/>
                <w:szCs w:val="20"/>
                <w:color w:val="auto"/>
              </w:rPr>
            </w:pPr>
            <w:r>
              <w:rPr>
                <w:rFonts w:ascii="Arial" w:cs="Arial" w:eastAsia="Arial" w:hAnsi="Arial"/>
                <w:sz w:val="13"/>
                <w:szCs w:val="13"/>
                <w:b w:val="1"/>
                <w:bCs w:val="1"/>
                <w:color w:val="auto"/>
                <w:w w:val="82"/>
              </w:rPr>
              <w:t>2012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(Unfavorable)</w:t>
            </w:r>
          </w:p>
        </w:tc>
        <w:tc>
          <w:tcPr>
            <w:tcW w:w="1220" w:type="dxa"/>
            <w:vAlign w:val="bottom"/>
          </w:tcPr>
          <w:p>
            <w:pPr>
              <w:jc w:val="right"/>
              <w:ind w:right="47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49"/>
        </w:trPr>
        <w:tc>
          <w:tcPr>
            <w:tcW w:w="18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99"/>
              </w:rPr>
              <w:t>(Dollars in millions)</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r>
      <w:tr>
        <w:trPr>
          <w:trHeight w:val="22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20,110</w:t>
            </w:r>
          </w:p>
        </w:tc>
        <w:tc>
          <w:tcPr>
            <w:tcW w:w="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20,689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10"/>
        </w:trPr>
        <w:tc>
          <w:tcPr>
            <w:tcW w:w="184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(844)</w:t>
            </w:r>
          </w:p>
        </w:tc>
        <w:tc>
          <w:tcPr>
            <w:tcW w:w="400" w:type="dxa"/>
            <w:vAlign w:val="bottom"/>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1,095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(0.2)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1.6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1.1</w:t>
            </w:r>
          </w:p>
        </w:tc>
      </w:tr>
      <w:tr>
        <w:trPr>
          <w:trHeight w:val="276"/>
        </w:trPr>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3"/>
                <w:szCs w:val="13"/>
                <w:b w:val="1"/>
                <w:bCs w:val="1"/>
                <w:color w:val="auto"/>
                <w:w w:val="83"/>
              </w:rPr>
              <w:t>(Vehicles in thousands)</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28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1,047</w:t>
            </w:r>
          </w:p>
        </w:tc>
        <w:tc>
          <w:tcPr>
            <w:tcW w:w="4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6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3"/>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15"/>
                <w:szCs w:val="15"/>
                <w:color w:val="auto"/>
              </w:rPr>
            </w:pPr>
          </w:p>
        </w:tc>
        <w:tc>
          <w:tcPr>
            <w:tcW w:w="2440" w:type="dxa"/>
            <w:vAlign w:val="bottom"/>
            <w:tcBorders>
              <w:right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2012 vs. 2011 Change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4"/>
        </w:trPr>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Favorable/</w:t>
            </w:r>
          </w:p>
        </w:tc>
        <w:tc>
          <w:tcPr>
            <w:tcW w:w="122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5"/>
                <w:szCs w:val="15"/>
                <w:color w:val="auto"/>
              </w:rPr>
            </w:pPr>
          </w:p>
        </w:tc>
        <w:tc>
          <w:tcPr>
            <w:tcW w:w="880" w:type="dxa"/>
            <w:vAlign w:val="bottom"/>
          </w:tcPr>
          <w:p>
            <w:pPr>
              <w:jc w:val="center"/>
              <w:ind w:right="210"/>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(Unfavorable)</w:t>
            </w:r>
          </w:p>
        </w:tc>
        <w:tc>
          <w:tcPr>
            <w:tcW w:w="1220" w:type="dxa"/>
            <w:vAlign w:val="bottom"/>
          </w:tcPr>
          <w:p>
            <w:pPr>
              <w:jc w:val="right"/>
              <w:ind w:right="47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60" w:type="dxa"/>
            <w:vAlign w:val="bottom"/>
          </w:tcPr>
          <w:p>
            <w:pPr>
              <w:jc w:val="right"/>
              <w:ind w:right="191"/>
              <w:spacing w:after="0"/>
              <w:rPr>
                <w:sz w:val="20"/>
                <w:szCs w:val="20"/>
                <w:color w:val="auto"/>
              </w:rPr>
            </w:pPr>
            <w:r>
              <w:rPr>
                <w:rFonts w:ascii="Arial" w:cs="Arial" w:eastAsia="Arial" w:hAnsi="Arial"/>
                <w:sz w:val="13"/>
                <w:szCs w:val="13"/>
                <w:b w:val="1"/>
                <w:bCs w:val="1"/>
                <w:color w:val="auto"/>
              </w:rPr>
              <w:t>Mix</w:t>
            </w:r>
          </w:p>
        </w:tc>
        <w:tc>
          <w:tcPr>
            <w:tcW w:w="30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49"/>
        </w:trPr>
        <w:tc>
          <w:tcPr>
            <w:tcW w:w="18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99"/>
              </w:rPr>
              <w:t>(Dollars in millions)</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r>
      <w:tr>
        <w:trPr>
          <w:trHeight w:val="224"/>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20,689</w:t>
            </w:r>
          </w:p>
        </w:tc>
        <w:tc>
          <w:tcPr>
            <w:tcW w:w="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10"/>
        </w:trPr>
        <w:tc>
          <w:tcPr>
            <w:tcW w:w="1840" w:type="dxa"/>
            <w:vAlign w:val="bottom"/>
          </w:tcPr>
          <w:p>
            <w:pPr>
              <w:ind w:left="40"/>
              <w:spacing w:after="0"/>
              <w:rPr>
                <w:sz w:val="20"/>
                <w:szCs w:val="20"/>
                <w:color w:val="auto"/>
              </w:rPr>
            </w:pPr>
            <w:r>
              <w:rPr>
                <w:rFonts w:ascii="Arial" w:cs="Arial" w:eastAsia="Arial" w:hAnsi="Arial"/>
                <w:sz w:val="14"/>
                <w:szCs w:val="14"/>
                <w:color w:val="auto"/>
              </w:rPr>
              <w:t>EBIT (loss)-adjusted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(1,939)</w:t>
            </w:r>
          </w:p>
        </w:tc>
        <w:tc>
          <w:tcPr>
            <w:tcW w:w="400" w:type="dxa"/>
            <w:vAlign w:val="bottom"/>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(898)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86.3 %</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(0.2)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76"/>
        </w:trPr>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3"/>
                <w:szCs w:val="13"/>
                <w:b w:val="1"/>
                <w:bCs w:val="1"/>
                <w:color w:val="auto"/>
                <w:w w:val="83"/>
              </w:rPr>
              <w:t>(Vehicles in thousands)</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28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1,079</w:t>
            </w:r>
          </w:p>
        </w:tc>
        <w:tc>
          <w:tcPr>
            <w:tcW w:w="4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Total net sales and revenue decreased due primarily to: (1) decreased wholesale volumes due to the weak European economy; and (2) unfavorable vehicle pricing primarily resulting from increased incentive support associated with difficult market conditions; partially offset by (3) Other of $0.2 billion due primarily to favorable net foreign currency effect.</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year ended December 31, 2012 Total net sales and revenue decreased due primarily to: (1) decreased wholesale volumes due to the weak European economy; (2) unfavorable price effects primarily resulting from increased incentive support associated with strong competition; and (3) Other of $2.3 billion due primarily to unfavorable net foreign currency effect of $1.7 billion resulting from the strengthening of the U.S. Dollar against the Euro, Russian Ruble, Hungarian Forint, Turkish Lira and British Pound; decreased parts, accessories and powertrain engine and transmission sales of $0.5 billion associated with lower demand; and a decrease of $0.1 billion due to the deconsolidation of VMM in June 2011; partially offset by (4) favorable vehicle mix due to the new generation Astra GTC, Opel Mokka and Ampera and increased sales of other higher priced vehicles.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 ended December 31, 2013 EBIT (loss)-adjusted decreased due primarily to: (1) Other of $1.6 billion due primarily to decreased manufacturing costs of $0.7 billion mainly resulting from decreased depreciation expense because of asset impairments in December 2012, which decreased the depreciable base; decreased engineering expenses of $0.3 billion; favorable material and freight costs of $0.3 billion; and a favorable net effect of changes in the fair value of an embedded foreign currency derivative asset of $0.2 billion associated with a long-term supply agreement; partially offset by (2) unfavorable net vehicle mix due to lower proportion of higher priced vehicles; (3) unfavorable vehicle pricing; and (4) decreased wholesale volumes.</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2012 EBIT (loss)-adjusted increased due primarily to: (1) decreased wholesale volumes; (2) unfavorable net vehicle mix; and (3) unfavorable price effects; partially offset by (4) Other of $0.2 billion due primarily to lower manufacturing and material costs of $0.4 billion; and favorable net foreign currency effect of $0.1 billion resulting from the strengthening of the U.S. Dollar against the Euro, Russian Ruble, Hungarian Forint, Turkish Lira, and British Pound; partially offset by a decrease of $0.2 billion resulting from the net effect of changes in an embedded foreign currency derivative asset associated with a long-term supply agreement; and decreased parts, accessories and powertrain engine and transmission sales of $0.2 billion, associated with lower demand.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strategically assessed the manner in which we operate in certain countries within GMIO, including our cost structure, the level of local sourcing, the level of investment in the product portfolio, the allocation of production activity to the existing manufacturing base and our brand strategy. These strategic reviews considered the effects that recent and forecasted deterioration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local market conditions would have on our operations. While we are continuing our strategic assessments, we have taken certain actions and incurred impairment and other charges as detailed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Withdrawal of the Chevrolet Brand from Europe</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December 2013 we announced our plans to cease mainstream distribution of Chevrolet brand in Western and Central Europe in 2015 due to the challenging business model and difficult economic situation in Europe. The results of our Chevrolet operations in Western and Central Europe, which are subsidiaries of our GM Korea operations, are reflected in the financial results of our GMIO region. This action is expected to improve our European operations through a further strengthening of our Opel and Vauxhall brands and reduce the market complexity associated with both Opel and Chevrolet products in Western and Central Europe. In the three months ended December 31, 2013 we recorded pre-tax charges of $0.6 billion, net of noncontrolling interests of 23.0%, consisting of intangible asset impairment charges, dealer restructuring costs, sales incentive and inventory related costs and employee severance and other costs. We may incur additional charges of up to $0.3 billion through the first half of 2014 primarily for dealer restructuring costs and sales incentives. Refer to Note 19 of our consolidated financial statements for additional information.</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Holden</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December 2013 we announced plans to cease vehicle and engine manufacturing and significantly reduce engineering operations at Holden by the end of 2017. Holden will continue to sell imported vehicles through its Holden dealer network and maintain its global design studio. Our Australian operations have been subject to unfavorable market conditions including the sustained strength of the Australian dollar, high cost of production and a small but highly competitive and fragmented domestic automotive market. In the three months ended December 31, 2013 we recorded pre-tax charges of $0.5 billion consisting of asset impairment charges including property, plant and equipment and exit-related costs including certain employee severance related costs. We expect to incur additional charges through 2017 for incremental future cash payments of employee severance once negotiations of the amount are completed. Refer to Note 19 of our consolidated financial statements for additional information.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India</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December 31, 2013 we performed a strategic assessment of GM India in response to lower than expected sales performance of our current product offerings in India, higher raw material costs, unfavorable foreign exchange rates and recent deterioration in local market conditions. As a result we recorded pre-tax asset impairment charges of $0.3 billion, net of noncontrolling interests of 9.2%, to adjust the carrying amount of GM India’s real and personal property, Intangible assets, net and Goodwill. Our strategic assessment also outlines planned actions requiring additional future investments and modifications to our existing GM India business model that are needed to reach profitability in the medium to long-term. There are no assurances that the forecasted financial results outlined in the strategic assessment will be achieved. Refer to Note 9 of our consolidated financial statements for additional information.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recorded Goodwill impairment charges of $0.5 billion in the year ended December 31, 2013 primarily related to our GM Korea and GM India reporting units.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18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2011</w:t>
            </w: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Total wholesale vehicles(a)</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Market share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21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Total net sales and revenue</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126"/>
              <w:spacing w:after="0"/>
              <w:rPr>
                <w:sz w:val="20"/>
                <w:szCs w:val="20"/>
                <w:color w:val="auto"/>
              </w:rPr>
            </w:pPr>
            <w:r>
              <w:rPr>
                <w:rFonts w:ascii="Arial" w:cs="Arial" w:eastAsia="Arial" w:hAnsi="Arial"/>
                <w:sz w:val="18"/>
                <w:szCs w:val="18"/>
                <w:color w:val="auto"/>
                <w:w w:val="90"/>
              </w:rPr>
              <w:t>38,767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33,364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w w:val="87"/>
              </w:rPr>
              <w:t>30,511</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6"/>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21"/>
                <w:szCs w:val="21"/>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80" w:type="dxa"/>
            <w:vAlign w:val="bottom"/>
          </w:tcPr>
          <w:p>
            <w:pPr>
              <w:jc w:val="right"/>
              <w:ind w:right="100"/>
              <w:spacing w:after="0"/>
              <w:rPr>
                <w:sz w:val="20"/>
                <w:szCs w:val="20"/>
                <w:color w:val="auto"/>
              </w:rPr>
            </w:pPr>
            <w:r>
              <w:rPr>
                <w:rFonts w:ascii="Arial" w:cs="Arial" w:eastAsia="Arial" w:hAnsi="Arial"/>
                <w:sz w:val="18"/>
                <w:szCs w:val="18"/>
                <w:color w:val="auto"/>
              </w:rPr>
              <w:t>3,203</w:t>
            </w: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_______</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6"/>
        </w:trPr>
        <w:tc>
          <w:tcPr>
            <w:tcW w:w="4380" w:type="dxa"/>
            <w:vAlign w:val="bottom"/>
            <w:gridSpan w:val="6"/>
          </w:tcPr>
          <w:p>
            <w:pPr>
              <w:spacing w:after="0"/>
              <w:rPr>
                <w:sz w:val="20"/>
                <w:szCs w:val="20"/>
                <w:color w:val="auto"/>
              </w:rPr>
            </w:pPr>
            <w:r>
              <w:rPr>
                <w:rFonts w:ascii="Arial" w:cs="Arial" w:eastAsia="Arial" w:hAnsi="Arial"/>
                <w:sz w:val="16"/>
                <w:szCs w:val="16"/>
                <w:color w:val="auto"/>
              </w:rPr>
              <w:t>(a)  Including vehicles exported to markets outside of China.</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92"/>
        </w:trPr>
        <w:tc>
          <w:tcPr>
            <w:tcW w:w="18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Cash and cash equivalents</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6,606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5,522</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jc w:val="right"/>
              <w:ind w:right="26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41"/>
              <w:spacing w:after="0"/>
              <w:rPr>
                <w:sz w:val="20"/>
                <w:szCs w:val="20"/>
                <w:color w:val="auto"/>
              </w:rPr>
            </w:pPr>
            <w:r>
              <w:rPr>
                <w:rFonts w:ascii="Arial" w:cs="Arial" w:eastAsia="Arial" w:hAnsi="Arial"/>
                <w:sz w:val="18"/>
                <w:szCs w:val="18"/>
                <w:color w:val="auto"/>
              </w:rPr>
              <w:t>151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123</w:t>
            </w:r>
          </w:p>
        </w:tc>
      </w:tr>
      <w:tr>
        <w:trPr>
          <w:trHeight w:val="459"/>
        </w:trPr>
        <w:tc>
          <w:tcPr>
            <w:tcW w:w="4380" w:type="dxa"/>
            <w:vAlign w:val="bottom"/>
            <w:gridSpan w:val="6"/>
          </w:tcPr>
          <w:p>
            <w:pPr>
              <w:jc w:val="right"/>
              <w:ind w:right="60"/>
              <w:spacing w:after="0"/>
              <w:rPr>
                <w:sz w:val="20"/>
                <w:szCs w:val="20"/>
                <w:color w:val="auto"/>
              </w:rPr>
            </w:pPr>
            <w:r>
              <w:rPr>
                <w:rFonts w:ascii="Arial" w:cs="Arial" w:eastAsia="Arial" w:hAnsi="Arial"/>
                <w:sz w:val="18"/>
                <w:szCs w:val="18"/>
                <w:b w:val="1"/>
                <w:bCs w:val="1"/>
                <w:i w:val="1"/>
                <w:iCs w:val="1"/>
                <w:color w:val="auto"/>
                <w:w w:val="92"/>
              </w:rPr>
              <w:t>GMIO Total Net Sales and Revenue and EBIT-Adjusted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5"/>
        </w:trPr>
        <w:tc>
          <w:tcPr>
            <w:tcW w:w="1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2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142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64"/>
        </w:trPr>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7"/>
              </w:rPr>
              <w:t>Years Ended December 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Borders>
              <w:right w:val="single" w:sz="8" w:color="auto"/>
            </w:tcBorders>
            <w:gridSpan w:val="6"/>
          </w:tcPr>
          <w:p>
            <w:pPr>
              <w:ind w:left="180"/>
              <w:spacing w:after="0"/>
              <w:rPr>
                <w:sz w:val="20"/>
                <w:szCs w:val="20"/>
                <w:color w:val="auto"/>
              </w:rPr>
            </w:pPr>
            <w:r>
              <w:rPr>
                <w:rFonts w:ascii="Arial" w:cs="Arial" w:eastAsia="Arial" w:hAnsi="Arial"/>
                <w:sz w:val="13"/>
                <w:szCs w:val="13"/>
                <w:b w:val="1"/>
                <w:bCs w:val="1"/>
                <w:color w:val="auto"/>
              </w:rPr>
              <w:t>Year Ended 2013 vs. 2012 Change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144"/>
        </w:trPr>
        <w:tc>
          <w:tcPr>
            <w:tcW w:w="18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Favorable/</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52"/>
              <w:spacing w:after="0"/>
              <w:rPr>
                <w:sz w:val="20"/>
                <w:szCs w:val="20"/>
                <w:color w:val="auto"/>
              </w:rPr>
            </w:pPr>
            <w:r>
              <w:rPr>
                <w:rFonts w:ascii="Arial" w:cs="Arial" w:eastAsia="Arial" w:hAnsi="Arial"/>
                <w:sz w:val="13"/>
                <w:szCs w:val="13"/>
                <w:b w:val="1"/>
                <w:bCs w:val="1"/>
                <w:color w:val="auto"/>
              </w:rPr>
              <w:t>2013</w:t>
            </w:r>
          </w:p>
        </w:tc>
        <w:tc>
          <w:tcPr>
            <w:tcW w:w="420" w:type="dxa"/>
            <w:vAlign w:val="bottom"/>
          </w:tcPr>
          <w:p>
            <w:pPr>
              <w:spacing w:after="0"/>
              <w:rPr>
                <w:sz w:val="15"/>
                <w:szCs w:val="15"/>
                <w:color w:val="auto"/>
              </w:rPr>
            </w:pPr>
          </w:p>
        </w:tc>
        <w:tc>
          <w:tcPr>
            <w:tcW w:w="880" w:type="dxa"/>
            <w:vAlign w:val="bottom"/>
          </w:tcPr>
          <w:p>
            <w:pPr>
              <w:jc w:val="right"/>
              <w:ind w:right="39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(Unfavorable)</w:t>
            </w:r>
          </w:p>
        </w:tc>
        <w:tc>
          <w:tcPr>
            <w:tcW w:w="12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rPr>
              <w:t>Volume</w:t>
            </w:r>
          </w:p>
        </w:tc>
        <w:tc>
          <w:tcPr>
            <w:tcW w:w="280" w:type="dxa"/>
            <w:vAlign w:val="bottom"/>
          </w:tcPr>
          <w:p>
            <w:pPr>
              <w:spacing w:after="0"/>
              <w:rPr>
                <w:sz w:val="15"/>
                <w:szCs w:val="15"/>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01"/>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Arial" w:cs="Arial" w:eastAsia="Arial" w:hAnsi="Arial"/>
                <w:sz w:val="13"/>
                <w:szCs w:val="13"/>
                <w:b w:val="1"/>
                <w:bCs w:val="1"/>
                <w:color w:val="auto"/>
              </w:rPr>
              <w:t>Total</w:t>
            </w:r>
          </w:p>
        </w:tc>
      </w:tr>
      <w:tr>
        <w:trPr>
          <w:trHeight w:val="262"/>
        </w:trPr>
        <w:tc>
          <w:tcPr>
            <w:tcW w:w="18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9"/>
              </w:rPr>
              <w:t>(Dollars in millions)</w:t>
            </w: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88"/>
              </w:rPr>
              <w:t>(Dollars in billions)</w:t>
            </w: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20,263</w:t>
            </w:r>
          </w:p>
        </w:tc>
        <w:tc>
          <w:tcPr>
            <w:tcW w:w="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22,954</w:t>
            </w:r>
          </w:p>
        </w:tc>
        <w:tc>
          <w:tcPr>
            <w:tcW w:w="1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4"/>
                <w:szCs w:val="14"/>
                <w:color w:val="auto"/>
              </w:rPr>
              <w:t>(0.5)</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1,230</w:t>
            </w: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(1,298)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(51.3)%</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(0.5)</w:t>
            </w:r>
          </w:p>
        </w:tc>
        <w:tc>
          <w:tcPr>
            <w:tcW w:w="34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1"/>
              <w:spacing w:after="0"/>
              <w:rPr>
                <w:sz w:val="20"/>
                <w:szCs w:val="20"/>
                <w:color w:val="auto"/>
              </w:rPr>
            </w:pPr>
            <w:r>
              <w:rPr>
                <w:rFonts w:ascii="Arial" w:cs="Arial" w:eastAsia="Arial" w:hAnsi="Arial"/>
                <w:sz w:val="14"/>
                <w:szCs w:val="14"/>
                <w:color w:val="auto"/>
              </w:rPr>
              <w:t>(0.3)</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1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9"/>
              </w:rPr>
              <w:t>(Vehicles in thousands)</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1,037</w:t>
            </w:r>
          </w:p>
        </w:tc>
        <w:tc>
          <w:tcPr>
            <w:tcW w:w="4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(6.5)%</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35"/>
        </w:trPr>
        <w:tc>
          <w:tcPr>
            <w:tcW w:w="1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2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7"/>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64"/>
        </w:trPr>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7"/>
              </w:rPr>
              <w:t>Years Ended December 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Borders>
              <w:right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rPr>
              <w:t>Year Ended 2012 vs. 2011 Change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w w:val="86"/>
              </w:rPr>
              <w:t>Variance Due To</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144"/>
        </w:trPr>
        <w:tc>
          <w:tcPr>
            <w:tcW w:w="18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Favorable/</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52"/>
              <w:spacing w:after="0"/>
              <w:rPr>
                <w:sz w:val="20"/>
                <w:szCs w:val="20"/>
                <w:color w:val="auto"/>
              </w:rPr>
            </w:pPr>
            <w:r>
              <w:rPr>
                <w:rFonts w:ascii="Arial" w:cs="Arial" w:eastAsia="Arial" w:hAnsi="Arial"/>
                <w:sz w:val="13"/>
                <w:szCs w:val="13"/>
                <w:b w:val="1"/>
                <w:bCs w:val="1"/>
                <w:color w:val="auto"/>
              </w:rPr>
              <w:t>2012</w:t>
            </w:r>
          </w:p>
        </w:tc>
        <w:tc>
          <w:tcPr>
            <w:tcW w:w="420" w:type="dxa"/>
            <w:vAlign w:val="bottom"/>
          </w:tcPr>
          <w:p>
            <w:pPr>
              <w:spacing w:after="0"/>
              <w:rPr>
                <w:sz w:val="15"/>
                <w:szCs w:val="15"/>
                <w:color w:val="auto"/>
              </w:rPr>
            </w:pPr>
          </w:p>
        </w:tc>
        <w:tc>
          <w:tcPr>
            <w:tcW w:w="880" w:type="dxa"/>
            <w:vAlign w:val="bottom"/>
          </w:tcPr>
          <w:p>
            <w:pPr>
              <w:jc w:val="right"/>
              <w:ind w:right="37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12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rPr>
              <w:t>Volume</w:t>
            </w:r>
          </w:p>
        </w:tc>
        <w:tc>
          <w:tcPr>
            <w:tcW w:w="280" w:type="dxa"/>
            <w:vAlign w:val="bottom"/>
          </w:tcPr>
          <w:p>
            <w:pPr>
              <w:spacing w:after="0"/>
              <w:rPr>
                <w:sz w:val="15"/>
                <w:szCs w:val="15"/>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01"/>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Arial" w:cs="Arial" w:eastAsia="Arial" w:hAnsi="Arial"/>
                <w:sz w:val="13"/>
                <w:szCs w:val="13"/>
                <w:b w:val="1"/>
                <w:bCs w:val="1"/>
                <w:color w:val="auto"/>
              </w:rPr>
              <w:t>Total</w:t>
            </w:r>
          </w:p>
        </w:tc>
      </w:tr>
      <w:tr>
        <w:trPr>
          <w:trHeight w:val="262"/>
        </w:trPr>
        <w:tc>
          <w:tcPr>
            <w:tcW w:w="18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7"/>
              </w:rPr>
              <w:t>(Dollars in millions)</w:t>
            </w: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88"/>
              </w:rPr>
              <w:t>(Dollars in billions)</w:t>
            </w: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22,954</w:t>
            </w:r>
          </w:p>
        </w:tc>
        <w:tc>
          <w:tcPr>
            <w:tcW w:w="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21,031</w:t>
            </w:r>
          </w:p>
        </w:tc>
        <w:tc>
          <w:tcPr>
            <w:tcW w:w="1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9.1%</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41"/>
              <w:spacing w:after="0"/>
              <w:rPr>
                <w:sz w:val="20"/>
                <w:szCs w:val="20"/>
                <w:color w:val="auto"/>
              </w:rPr>
            </w:pPr>
            <w:r>
              <w:rPr>
                <w:rFonts w:ascii="Arial" w:cs="Arial" w:eastAsia="Arial" w:hAnsi="Arial"/>
                <w:sz w:val="14"/>
                <w:szCs w:val="14"/>
                <w:color w:val="auto"/>
              </w:rPr>
              <w:t>0.8</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2,528</w:t>
            </w: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2,232</w:t>
            </w:r>
          </w:p>
        </w:tc>
        <w:tc>
          <w:tcPr>
            <w:tcW w:w="10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13.3%</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6"/>
              <w:spacing w:after="0"/>
              <w:rPr>
                <w:sz w:val="20"/>
                <w:szCs w:val="20"/>
                <w:color w:val="auto"/>
              </w:rPr>
            </w:pPr>
            <w:r>
              <w:rPr>
                <w:rFonts w:ascii="Arial" w:cs="Arial" w:eastAsia="Arial" w:hAnsi="Arial"/>
                <w:sz w:val="14"/>
                <w:szCs w:val="14"/>
                <w:color w:val="auto"/>
              </w:rPr>
              <w:t>0.5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340" w:type="dxa"/>
            <w:vAlign w:val="bottom"/>
          </w:tcPr>
          <w:p>
            <w:pPr>
              <w:jc w:val="center"/>
              <w:ind w:lef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1"/>
              <w:spacing w:after="0"/>
              <w:rPr>
                <w:sz w:val="20"/>
                <w:szCs w:val="20"/>
                <w:color w:val="auto"/>
              </w:rPr>
            </w:pPr>
            <w:r>
              <w:rPr>
                <w:rFonts w:ascii="Arial" w:cs="Arial" w:eastAsia="Arial" w:hAnsi="Arial"/>
                <w:sz w:val="14"/>
                <w:szCs w:val="14"/>
                <w:color w:val="auto"/>
              </w:rPr>
              <w:t>0.8</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(0.9)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
              <w:spacing w:after="0"/>
              <w:rPr>
                <w:sz w:val="20"/>
                <w:szCs w:val="20"/>
                <w:color w:val="auto"/>
              </w:rPr>
            </w:pPr>
            <w:r>
              <w:rPr>
                <w:rFonts w:ascii="Arial" w:cs="Arial" w:eastAsia="Arial" w:hAnsi="Arial"/>
                <w:sz w:val="14"/>
                <w:szCs w:val="14"/>
                <w:color w:val="auto"/>
              </w:rPr>
              <w:t>0.3</w:t>
            </w:r>
          </w:p>
        </w:tc>
      </w:tr>
      <w:tr>
        <w:trPr>
          <w:trHeight w:val="276"/>
        </w:trPr>
        <w:tc>
          <w:tcPr>
            <w:tcW w:w="1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w w:val="91"/>
              </w:rPr>
              <w:t>(Vehicles in thousands)</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1,109</w:t>
            </w:r>
          </w:p>
        </w:tc>
        <w:tc>
          <w:tcPr>
            <w:tcW w:w="4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6.7%</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vehicle sales of our China JVs and of GM India prior to September 1, 2012, the date we consolidated GM India, are not recorded in Total net sales and revenue. The results of our nonconsolidated joint ventures are recorded in Equity income and gain on investments. Refer to Notes 3 and 8 to our consolidated financial statements for further detail on the acquisition of GM India.</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2013 Total net sales and revenue decreased due primarily to: (1) decreased wholesale volume of 129,000 vehicles (or 11.6%) primarily in Middle East and Chevrolet brand vehicles in Europe partially offset by an increase from the consolidation of GM India effective September 2012 resulting in an additional 57,000 wholesale vehicle sales (or 5.0%) in 2013; (2) unfavorable pricing due to increased incentive support associated with strong competition; (3) unfavorable vehicle mix; and (4) Other of $0.8 billion due primarily to unfavorable net foreign currency effect due to the weakening of the Australian Dollar, the South Africa Rand and the Egyptian Pound against the U.S. Dollar of $0.5 billion and decreased sales of components, parts and accessories of $0.3 billion.</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2012 Total net sales and revenue increased due primarily to: (1) increased wholesale volume of 41,000 vehicles (of 4.0%) due primarily to strong industry growth across the region; coupled with an increase from the consolidation of GM India effective September 2012 resulting in an inclusion of 29,000 wholesale vehicle sales (or 2.8%); (2) favorable pricing due to higher pricing on new models launched; and (3) favorable vehicle mix due to increased export of new product; partially offset by (4) Other of $0.6 billion due primarily to unfavorable net foreign currency effect due to the weakening of the Korean Won and South Africa Rand against the U.S. Dollar of $0.5 billion; and decrease in components, parts and accessories revenue of $0.1 billion.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41"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2013 EBIT-adjusted decreased due primarily to: (1) unfavorable net vehicle mix primarily in Middle East and Australian markets; (2) unfavorable pricing excluding $0.2 billion sales incentive related to withdrawal of the Chevrolet brand from Europe; (3) unfavorable net wholesale volumes; and (4) Other of $0.2 billion due primarily to unfavorable manufacturing costs of $0.3 billion; unfavorable net foreign currency effect of $0.2 billion; and a decrease in sales of components, parts and accessories of $0.2 billion; partially offset by favorable material and freight cost of $0.3 billion; and increased equity income, net of tax of $0.2 billion, from our interest in the increased net income of our China JVs.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2012 EBIT-adjusted increased due primarily to: (1) favorable pricing due to higher pricing on new models launched; and</w:t>
      </w:r>
    </w:p>
    <w:p>
      <w:pPr>
        <w:spacing w:after="0" w:line="46" w:lineRule="exact"/>
        <w:rPr>
          <w:sz w:val="20"/>
          <w:szCs w:val="20"/>
          <w:color w:val="auto"/>
        </w:rPr>
      </w:pPr>
    </w:p>
    <w:p>
      <w:pPr>
        <w:jc w:val="both"/>
        <w:ind w:firstLine="8"/>
        <w:spacing w:after="0" w:line="255"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favorable net wholesale volumes; partially offset by (3) unfavorable net vehicle mix; and (4) Other of $0.9 billion due primarily to increased costs of $1.0 billion due primarily to increased material, freight and manufacturing costs; partially offset by net gain of $0.1 billion measured as the difference between the fair value of our 50% interest in GM India and the investment carrying amount at the date of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Venezuelan subsidiaries functional currency is the U.S. Dollar because of the hyperinflationary status of the Venezuelan economy.</w:t>
      </w:r>
    </w:p>
    <w:p>
      <w:pPr>
        <w:spacing w:after="0" w:line="239" w:lineRule="exact"/>
        <w:rPr>
          <w:sz w:val="20"/>
          <w:szCs w:val="20"/>
          <w:color w:val="auto"/>
        </w:rPr>
      </w:pPr>
    </w:p>
    <w:p>
      <w:pPr>
        <w:jc w:val="both"/>
        <w:ind w:firstLine="162"/>
        <w:spacing w:after="0" w:line="314" w:lineRule="auto"/>
        <w:rPr>
          <w:sz w:val="20"/>
          <w:szCs w:val="20"/>
          <w:color w:val="auto"/>
        </w:rPr>
      </w:pPr>
      <w:r>
        <w:rPr>
          <w:rFonts w:ascii="Arial" w:cs="Arial" w:eastAsia="Arial" w:hAnsi="Arial"/>
          <w:sz w:val="16"/>
          <w:szCs w:val="16"/>
          <w:color w:val="auto"/>
        </w:rPr>
        <w:t>Effective February 13, 2013 the Venezuelan government set the official fixed exchange rate of the Bolivar Fuerte (BsF) at BsF 6.3 to $1.00 from BsF 4.3 to $1.00. The devaluation resulted in a charge of $0.2 billion in the three months ended March 31, 2013 from the remeasurement of our Venezuelan subsidiaries' non-U.S. Dollar denominated monetary assets and liabilities. We believe it is possible that the Venezuelan government may further devalue the BsF against the U.S. Dollar in the future. If the BsF were devalued further, it would result in a charge to our income statement in the period of devaluation. Based on our December 31, 2013 net monetary assets, a charge of approximately $0.1 billion would result for every 10% devaluation of the BsF.</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December 2013 a new decree became effective requiring the government of Venezuela to set prices for all vehicles, parts and accessories sold in the country. In addition the Venezuelan government has foreign exchange control regulations that make it difficult to convert BsF to U.S. Dollars which affect our Venezuelan subsidiaries’ ability to pay non-BsF denominated obligations and to pay dividends. In January 2014 the Venezuelan government announced changes to the foreign exchange process which could affect the rate at which our Venezuelan subsidiaries buy dollars. These regulations, when considered with other governmental policies impacting labor force reductions and other circumstances in Venezuela, may limit our ability to fully benefit from and maintain our controlling financial interest in our Venezuelan subsidiaries. The financial impact on our operations in Venezuela of these events and associated ongoing restrictions are uncertain.</w:t>
      </w:r>
    </w:p>
    <w:p>
      <w:pPr>
        <w:spacing w:after="0" w:line="18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total amounts pending government approval for settlement in U.S. Dollar at December 31, 2013 and 2012 were BsF 3.7 billion (equivalent to $0.6 billion) and BsF 2.2 billion (equivalent to $0.5 billion). These amounts include requests in the amount of BsF 0.6 billion (equivalent to $0.1 billion) that have been pending from 2007. Our Venezuelan subsidiaries net assets were $0.9 billion at December 31, 2013, including net monetary assets of $1.0 billion. At December 31, 2013 other consolidated entities had receivables from our Venezuelan subsidiaries denominated in other currencies of $0.5 billion.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EBIT-Adjusted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22"/>
                <w:szCs w:val="22"/>
                <w:color w:val="auto"/>
              </w:rPr>
            </w:pPr>
          </w:p>
        </w:tc>
        <w:tc>
          <w:tcPr>
            <w:tcW w:w="2440" w:type="dxa"/>
            <w:vAlign w:val="bottom"/>
            <w:tcBorders>
              <w:right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2013 vs. 2012 Change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Favorable/</w:t>
            </w:r>
          </w:p>
        </w:tc>
        <w:tc>
          <w:tcPr>
            <w:tcW w:w="122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52"/>
              <w:spacing w:after="0"/>
              <w:rPr>
                <w:sz w:val="20"/>
                <w:szCs w:val="20"/>
                <w:color w:val="auto"/>
              </w:rPr>
            </w:pPr>
            <w:r>
              <w:rPr>
                <w:rFonts w:ascii="Arial" w:cs="Arial" w:eastAsia="Arial" w:hAnsi="Arial"/>
                <w:sz w:val="13"/>
                <w:szCs w:val="13"/>
                <w:b w:val="1"/>
                <w:bCs w:val="1"/>
                <w:color w:val="auto"/>
              </w:rPr>
              <w:t>2013</w:t>
            </w:r>
          </w:p>
        </w:tc>
        <w:tc>
          <w:tcPr>
            <w:tcW w:w="420" w:type="dxa"/>
            <w:vAlign w:val="bottom"/>
          </w:tcPr>
          <w:p>
            <w:pPr>
              <w:spacing w:after="0"/>
              <w:rPr>
                <w:sz w:val="15"/>
                <w:szCs w:val="15"/>
                <w:color w:val="auto"/>
              </w:rPr>
            </w:pPr>
          </w:p>
        </w:tc>
        <w:tc>
          <w:tcPr>
            <w:tcW w:w="880" w:type="dxa"/>
            <w:vAlign w:val="bottom"/>
          </w:tcPr>
          <w:p>
            <w:pPr>
              <w:jc w:val="right"/>
              <w:ind w:right="39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(Unfavorable)</w:t>
            </w:r>
          </w:p>
        </w:tc>
        <w:tc>
          <w:tcPr>
            <w:tcW w:w="1220" w:type="dxa"/>
            <w:vAlign w:val="bottom"/>
          </w:tcPr>
          <w:p>
            <w:pPr>
              <w:jc w:val="right"/>
              <w:ind w:right="47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3"/>
                <w:szCs w:val="13"/>
                <w:b w:val="1"/>
                <w:bCs w:val="1"/>
                <w:color w:val="auto"/>
              </w:rPr>
              <w:t>Volume</w:t>
            </w:r>
          </w:p>
        </w:tc>
        <w:tc>
          <w:tcPr>
            <w:tcW w:w="30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62"/>
        </w:trPr>
        <w:tc>
          <w:tcPr>
            <w:tcW w:w="18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9"/>
              </w:rPr>
              <w:t>(Dollars in millions)</w:t>
            </w: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16,478</w:t>
            </w:r>
          </w:p>
        </w:tc>
        <w:tc>
          <w:tcPr>
            <w:tcW w:w="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16,700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327</w:t>
            </w: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3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(1.3)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w w:val="87"/>
              </w:rPr>
              <w:t>(Vehicles in thousands)</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1,053</w:t>
            </w:r>
          </w:p>
        </w:tc>
        <w:tc>
          <w:tcPr>
            <w:tcW w:w="4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0.3 %</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Pr>
          <w:p>
            <w:pPr>
              <w:spacing w:after="0"/>
              <w:rPr>
                <w:sz w:val="22"/>
                <w:szCs w:val="22"/>
                <w:color w:val="auto"/>
              </w:rPr>
            </w:pPr>
          </w:p>
        </w:tc>
        <w:tc>
          <w:tcPr>
            <w:tcW w:w="2440" w:type="dxa"/>
            <w:vAlign w:val="bottom"/>
            <w:tcBorders>
              <w:right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2012 vs. 2011 Change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w w:val="86"/>
              </w:rPr>
              <w:t>Variance Due To</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4"/>
        </w:trPr>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Favorable/</w:t>
            </w:r>
          </w:p>
        </w:tc>
        <w:tc>
          <w:tcPr>
            <w:tcW w:w="122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52"/>
              <w:spacing w:after="0"/>
              <w:rPr>
                <w:sz w:val="20"/>
                <w:szCs w:val="20"/>
                <w:color w:val="auto"/>
              </w:rPr>
            </w:pPr>
            <w:r>
              <w:rPr>
                <w:rFonts w:ascii="Arial" w:cs="Arial" w:eastAsia="Arial" w:hAnsi="Arial"/>
                <w:sz w:val="13"/>
                <w:szCs w:val="13"/>
                <w:b w:val="1"/>
                <w:bCs w:val="1"/>
                <w:color w:val="auto"/>
              </w:rPr>
              <w:t>2012</w:t>
            </w:r>
          </w:p>
        </w:tc>
        <w:tc>
          <w:tcPr>
            <w:tcW w:w="420" w:type="dxa"/>
            <w:vAlign w:val="bottom"/>
          </w:tcPr>
          <w:p>
            <w:pPr>
              <w:spacing w:after="0"/>
              <w:rPr>
                <w:sz w:val="15"/>
                <w:szCs w:val="15"/>
                <w:color w:val="auto"/>
              </w:rPr>
            </w:pPr>
          </w:p>
        </w:tc>
        <w:tc>
          <w:tcPr>
            <w:tcW w:w="880" w:type="dxa"/>
            <w:vAlign w:val="bottom"/>
          </w:tcPr>
          <w:p>
            <w:pPr>
              <w:jc w:val="right"/>
              <w:ind w:right="39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(Unfavorable)</w:t>
            </w:r>
          </w:p>
        </w:tc>
        <w:tc>
          <w:tcPr>
            <w:tcW w:w="1220" w:type="dxa"/>
            <w:vAlign w:val="bottom"/>
          </w:tcPr>
          <w:p>
            <w:pPr>
              <w:jc w:val="right"/>
              <w:ind w:right="47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Volume</w:t>
            </w:r>
          </w:p>
        </w:tc>
        <w:tc>
          <w:tcPr>
            <w:tcW w:w="260" w:type="dxa"/>
            <w:vAlign w:val="bottom"/>
          </w:tcPr>
          <w:p>
            <w:pPr>
              <w:spacing w:after="0"/>
              <w:rPr>
                <w:sz w:val="15"/>
                <w:szCs w:val="15"/>
                <w:color w:val="auto"/>
              </w:rPr>
            </w:pPr>
          </w:p>
        </w:tc>
        <w:tc>
          <w:tcPr>
            <w:tcW w:w="520" w:type="dxa"/>
            <w:vAlign w:val="bottom"/>
          </w:tcPr>
          <w:p>
            <w:pPr>
              <w:jc w:val="right"/>
              <w:ind w:right="151"/>
              <w:spacing w:after="0"/>
              <w:rPr>
                <w:sz w:val="20"/>
                <w:szCs w:val="20"/>
                <w:color w:val="auto"/>
              </w:rPr>
            </w:pPr>
            <w:r>
              <w:rPr>
                <w:rFonts w:ascii="Arial" w:cs="Arial" w:eastAsia="Arial" w:hAnsi="Arial"/>
                <w:sz w:val="13"/>
                <w:szCs w:val="13"/>
                <w:b w:val="1"/>
                <w:bCs w:val="1"/>
                <w:color w:val="auto"/>
              </w:rPr>
              <w:t>Mix</w:t>
            </w:r>
          </w:p>
        </w:tc>
        <w:tc>
          <w:tcPr>
            <w:tcW w:w="340" w:type="dxa"/>
            <w:vAlign w:val="bottom"/>
          </w:tcPr>
          <w:p>
            <w:pPr>
              <w:spacing w:after="0"/>
              <w:rPr>
                <w:sz w:val="15"/>
                <w:szCs w:val="15"/>
                <w:color w:val="auto"/>
              </w:rPr>
            </w:pPr>
          </w:p>
        </w:tc>
        <w:tc>
          <w:tcPr>
            <w:tcW w:w="720" w:type="dxa"/>
            <w:vAlign w:val="bottom"/>
          </w:tcPr>
          <w:p>
            <w:pPr>
              <w:jc w:val="center"/>
              <w:ind w:right="211"/>
              <w:spacing w:after="0"/>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62"/>
        </w:trPr>
        <w:tc>
          <w:tcPr>
            <w:tcW w:w="18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9"/>
              </w:rPr>
              <w:t>(Dollars in millions)</w:t>
            </w: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center"/>
              <w:ind w:right="8"/>
              <w:spacing w:after="0"/>
              <w:rPr>
                <w:sz w:val="20"/>
                <w:szCs w:val="20"/>
                <w:color w:val="auto"/>
              </w:rPr>
            </w:pPr>
            <w:r>
              <w:rPr>
                <w:rFonts w:ascii="Arial" w:cs="Arial" w:eastAsia="Arial" w:hAnsi="Arial"/>
                <w:sz w:val="13"/>
                <w:szCs w:val="13"/>
                <w:b w:val="1"/>
                <w:bCs w:val="1"/>
                <w:color w:val="auto"/>
                <w:w w:val="88"/>
              </w:rPr>
              <w:t>(Dollars in billions)</w:t>
            </w: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sales and 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16,700</w:t>
            </w:r>
          </w:p>
        </w:tc>
        <w:tc>
          <w:tcPr>
            <w:tcW w:w="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16,632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EBIT-adjusted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457</w:t>
            </w: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189.2 %</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0.5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w:t>
            </w:r>
          </w:p>
        </w:tc>
      </w:tr>
      <w:tr>
        <w:trPr>
          <w:trHeight w:val="276"/>
        </w:trPr>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w w:val="87"/>
              </w:rPr>
              <w:t>(Vehicles in thousands)</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Wholesale vehicle sales</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1,050</w:t>
            </w:r>
          </w:p>
        </w:tc>
        <w:tc>
          <w:tcPr>
            <w:tcW w:w="4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18"/>
        </w:trPr>
        <w:tc>
          <w:tcPr>
            <w:tcW w:w="1840" w:type="dxa"/>
            <w:vAlign w:val="bottom"/>
          </w:tcPr>
          <w:p>
            <w:pPr>
              <w:jc w:val="right"/>
              <w:ind w:right="864"/>
              <w:spacing w:after="0"/>
              <w:rPr>
                <w:sz w:val="20"/>
                <w:szCs w:val="20"/>
                <w:color w:val="auto"/>
              </w:rPr>
            </w:pPr>
            <w:r>
              <w:rPr>
                <w:rFonts w:ascii="Arial" w:cs="Arial" w:eastAsia="Arial" w:hAnsi="Arial"/>
                <w:sz w:val="18"/>
                <w:szCs w:val="18"/>
                <w:color w:val="auto"/>
                <w:w w:val="87"/>
              </w:rPr>
              <w:t>__________</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2013 Total net sales and revenue decreased due primarily to: (1) Other of $1.7 billion due primarily to unfavorable net foreign currency effect due to the strengthening of the U.S. Dollar against the Brazilian Real and Argentinian Peso and the devaluation of the Venezuelan Bolivar of $1.9 billion; partially offset by increased revenue from parts and accessories sales of $0.1 billion; partially offset by (2) favorable vehicle pricing primarily due to high inflation in Venezuela and Argentina; and (3) favorable vehicle mix due to increased sales of the Chevrolet Trailblazer, Chevrolet Captiva, Chevrolet Orlando, Chevrolet Tahoe and Chevrolet S10.</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2012 Total net sales and revenue increased due primarily to: (1) favorable vehicle mix due to increased sales of Chevrolet Cruze and Chevrolet S10; and (2) favorable vehicle pricing primarily due to high inflation in Venezuela and Argentina; partially offset by (3) decreased wholesale volumes due to deteriorated market share driven by increased competition and aggressive pricing in the market; and (4) Other of $1.4 billion due primarily to unfavorable net foreign currency effect due to the strengthening of the U.S. Dollar against the Brazilian Real and Argentinian Peso and the devaluation of the BsF of $1.5 billion; partially offset by increased revenue from parts and accessories sales of $0.1 billion.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EBIT-Adjusted</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2013 EBIT-adjusted decreased due primarily to: (1) Other of $1.3 billion due primarily to unfavorable net foreign currency effect as a result of the strengthening of the U.S. Dollar against the Brazilian Real and Argentinian Peso and the devaluation of the Venezuelan Bolivar of $1.1 billion; increased selling, general and administrative expense mainly due to a decrease in contingency reserves of $0.1 billion in the corresponding period of 2012 due to the resolution of certain items at amounts lower than previously expected; and a gain of $50 million on the purchase of GMAC de Venezuela CA in the corresponding period of 2012; partially offset by (2) favorable vehicle pricing effect primarily driven by high inflation in Venezuela and Argentina; and (3) favorable net vehicle mix.</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2012 EBIT-adjusted increased due primarily to: (1) favorable vehicle pricing; and (2) favorable net vehicle mix; partially offset by (3) unfavorable net wholesale volumes; and (4) Other of $0.4 billion due primarily to increased material, freight and manufacturing costs of $0.5 billion; and increased administrative and advertising and sales promotion expenses of $0.1 billion to support launches of new products; partially offset by decreases in contingency reserves of $0.1 billion due to the resolution of certain items at amounts lower than previously expected; and a bargain purchase gain of $50 million on the purchase of GMAC de Venezuela 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2013 vs. 2012</w:t>
            </w:r>
          </w:p>
        </w:tc>
        <w:tc>
          <w:tcPr>
            <w:tcW w:w="160" w:type="dxa"/>
            <w:vAlign w:val="bottom"/>
          </w:tcPr>
          <w:p>
            <w:pPr>
              <w:spacing w:after="0"/>
              <w:rPr>
                <w:sz w:val="14"/>
                <w:szCs w:val="14"/>
                <w:color w:val="auto"/>
              </w:rPr>
            </w:pPr>
          </w:p>
        </w:tc>
        <w:tc>
          <w:tcPr>
            <w:tcW w:w="186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w w:val="95"/>
              </w:rPr>
              <w:t>Year Ended 2012 vs. 2011</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477"/>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00" w:type="dxa"/>
            <w:vAlign w:val="bottom"/>
            <w:gridSpan w:val="4"/>
          </w:tcPr>
          <w:p>
            <w:pPr>
              <w:jc w:val="center"/>
              <w:ind w:right="157"/>
              <w:spacing w:after="0"/>
              <w:rPr>
                <w:sz w:val="20"/>
                <w:szCs w:val="20"/>
                <w:color w:val="auto"/>
              </w:rPr>
            </w:pPr>
            <w:r>
              <w:rPr>
                <w:rFonts w:ascii="Arial" w:cs="Arial" w:eastAsia="Arial" w:hAnsi="Arial"/>
                <w:sz w:val="14"/>
                <w:szCs w:val="14"/>
                <w:b w:val="1"/>
                <w:bCs w:val="1"/>
                <w:color w:val="auto"/>
                <w:w w:val="93"/>
              </w:rPr>
              <w:t>(Dollars in millions)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3,344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1,961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1,410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rPr>
              <w:t>1,383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551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475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304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178</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7"/>
              <w:spacing w:after="0"/>
              <w:rPr>
                <w:sz w:val="20"/>
                <w:szCs w:val="20"/>
                <w:color w:val="auto"/>
              </w:rPr>
            </w:pPr>
            <w:r>
              <w:rPr>
                <w:rFonts w:ascii="Arial" w:cs="Arial" w:eastAsia="Arial" w:hAnsi="Arial"/>
                <w:sz w:val="18"/>
                <w:szCs w:val="18"/>
                <w:color w:val="auto"/>
              </w:rPr>
              <w:t>171</w:t>
            </w: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7"/>
              <w:spacing w:after="0"/>
              <w:rPr>
                <w:sz w:val="20"/>
                <w:szCs w:val="20"/>
                <w:color w:val="auto"/>
              </w:rPr>
            </w:pPr>
            <w:r>
              <w:rPr>
                <w:rFonts w:ascii="Arial" w:cs="Arial" w:eastAsia="Arial" w:hAnsi="Arial"/>
                <w:sz w:val="18"/>
                <w:szCs w:val="18"/>
                <w:color w:val="auto"/>
              </w:rPr>
              <w:t>126</w:t>
            </w:r>
          </w:p>
        </w:tc>
        <w:tc>
          <w:tcPr>
            <w:tcW w:w="66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883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744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622</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rPr>
              <w:t>139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122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00" w:type="dxa"/>
            <w:vAlign w:val="bottom"/>
            <w:gridSpan w:val="4"/>
          </w:tcPr>
          <w:p>
            <w:pPr>
              <w:jc w:val="center"/>
              <w:ind w:right="157"/>
              <w:spacing w:after="0"/>
              <w:rPr>
                <w:sz w:val="20"/>
                <w:szCs w:val="20"/>
                <w:color w:val="auto"/>
              </w:rPr>
            </w:pPr>
            <w:r>
              <w:rPr>
                <w:rFonts w:ascii="Arial" w:cs="Arial" w:eastAsia="Arial" w:hAnsi="Arial"/>
                <w:sz w:val="14"/>
                <w:szCs w:val="14"/>
                <w:b w:val="1"/>
                <w:bCs w:val="1"/>
                <w:color w:val="auto"/>
                <w:w w:val="93"/>
              </w:rPr>
              <w:t>(Dollars in billions)</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21.0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rPr>
              <w:t>11.5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1.9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Effective rate of interest paid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7"/>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7"/>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year ended December 31, 2013 Total revenue increased due primarily to: (1) increased finance charge income of $1.0 billion due to the acquisition of Ally Financial international operations and increased loan originations; and (2) increased leased vehicle income of $0.3 billion due to a larger lease portfolio.</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2012 Total revenue increased due primarily to: (1) increased finance charge income of $0.3 billion, due to a larger portfolio; and (2) increased leased vehicles income of $0.2 billion due to the increased size of the leased asset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Income before income taxes increased due primarily to: (1) increased revenue of $1.0 billion; partially offset by (2) increased provision for loan losses; (3) increased interest expenses of $0.4 billion; and (4) increased operating expenses of $0.4 billion. These changes are due primarily to the acquisition of the Ally Financial international operations.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2012 Income before income taxes increased due primarily to: (1) increased revenue of $0.6 billion; partially offset by (2) increased leased vehicle expenses of $0.1 billion due to a larger lease portfolio; (3) increased provision for loan losses due to a larger loan portfolio; (4) increased interest expenses of $0.1 billion due primarily to new debt; and (5) increased operating expenses of $0.1 billion due to an increase of personnel to support company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center"/>
              <w:ind w:left="502"/>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2013 vs. 2012 Change</w:t>
            </w: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Year Ended 2012 vs. 2011 Change</w:t>
            </w:r>
          </w:p>
        </w:tc>
      </w:tr>
      <w:tr>
        <w:trPr>
          <w:trHeight w:val="264"/>
        </w:trPr>
        <w:tc>
          <w:tcPr>
            <w:tcW w:w="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215"/>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1"/>
              </w:rPr>
              <w:t>Net income (loss) attributable to</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33,809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34,261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20" w:type="dxa"/>
            <w:vAlign w:val="bottom"/>
          </w:tcPr>
          <w:p>
            <w:pPr>
              <w:spacing w:after="0"/>
              <w:rPr>
                <w:sz w:val="19"/>
                <w:szCs w:val="19"/>
                <w:color w:val="auto"/>
              </w:rPr>
            </w:pPr>
          </w:p>
        </w:tc>
        <w:tc>
          <w:tcPr>
            <w:tcW w:w="2960" w:type="dxa"/>
            <w:vAlign w:val="bottom"/>
          </w:tcPr>
          <w:p>
            <w:pPr>
              <w:jc w:val="right"/>
              <w:ind w:right="1990"/>
              <w:spacing w:after="0"/>
              <w:rPr>
                <w:sz w:val="20"/>
                <w:szCs w:val="20"/>
                <w:color w:val="auto"/>
              </w:rPr>
            </w:pPr>
            <w:r>
              <w:rPr>
                <w:rFonts w:ascii="Arial" w:cs="Arial" w:eastAsia="Arial" w:hAnsi="Arial"/>
                <w:sz w:val="18"/>
                <w:szCs w:val="18"/>
                <w:color w:val="auto"/>
                <w:w w:val="85"/>
              </w:rPr>
              <w:t>__________</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20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Nonsegment operations are classified as Corporate. Corporate includes certain centrally recorded income and costs, such as interest, income taxes and corporate expenditures and certain nonsegment specific revenues and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Corporate Net income (loss) attributable to stockholders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Years Ended</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2013 vs. 2012</w:t>
            </w:r>
          </w:p>
        </w:tc>
        <w:tc>
          <w:tcPr>
            <w:tcW w:w="180" w:type="dxa"/>
            <w:vAlign w:val="bottom"/>
          </w:tcPr>
          <w:p>
            <w:pPr>
              <w:spacing w:after="0"/>
              <w:rPr>
                <w:sz w:val="22"/>
                <w:szCs w:val="22"/>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2012 vs.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 release in U.S. and Canada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tax related matters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 in Ally Financial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Premium paid to purchase common stock from UST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Ally Financial preferred and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34.3</w:t>
            </w: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secured revolving credit facilities will be sufficient to meet our liquidity needs. However we expect to have substantial cash requirements going forward which we plan to fund through total available liquidity and cash flows generated from operations. Our future uses of cash, which may vary from time to time based on market conditions and other factors, are centered around three objectives: (1) reinvest in our business; (2) continue to strengthen our balance sheet and competitive position; and (3) return cash to shareholders. Our known future material uses of cash include, among other possible demands: (1) capital expenditures of approximately $7.5 billion annually as well as engineering and product development activities; (2) acquiring Ally Financial's equity interests in GMAC-SAIC, as subsequently discussed, for approximately $0.9 billion; (3) payments for previously announced restructuring activities of up to $1.1 billion; (4) payments to service debt and other long-term obligations; (5) payments to purchase the remaining outstanding shares of our Series A Preferred Stock with a liquidation amount of $3.9 billion once the shares become redeemable on or after December 31, 2014; and (6) dividend payments on our common stock that are declared by our Board of Directors.</w:t>
      </w:r>
    </w:p>
    <w:p>
      <w:pPr>
        <w:spacing w:after="0" w:line="16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this 2013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monitor and evaluate opportunities to strengthen our balance sheet and competitive position over the long-term.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November 2012 GM Financial entered into agreements with Ally Financial to acquire Ally Financial's automotive finance and financial services businesses in Europe and Latin America and Ally Financial's equity interests in GMAC-SAIC for approximately $4.2 billion. GM Financial has completed the acquisitions of Ally Financial's European and Latin American automotive finance operations for $3.3 billion in 2013. Increases in GM Financial receivables and GM Financial Short-term and Long-term debt in 2013 compared to 2012 were due primarily to the acquisition. Refer to Note 3 to our consolidated financial statements for additional information on these acquisitions.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2013 GM Korea made a payment of $0.7 billion to acquire, prior to the mandatory redemption date, the remaining balance of GM Korea's seven percent mandatorily redeemable preferred shares that had a carrying amount of $0.5 billion. We recorded the difference of $0.2 billion as a loss on extinguishment of debt.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2013 we issued $4.5 billion in aggregate principal amount of senior unsecured notes comprising $1.5 billion of 3.5% notes due in 2018, $1.5 billion of 4.875% notes due in 2023 and $1.5 billion of 6.25% notes due in 2043. We used proceeds from the issuance of these notes to purchase 120 million shares of our Series A Preferred Stock from the New VEBA for a total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price of $3.2 billion, which was equal to 108.1% of their aggregate liquidation amount. The Series A Preferred Stock accrues cumulative dividends at a 9% annual rate. We recorded a loss for the difference between the carrying amount of the Series A Preferred Stock purchased of $2.4 billion and the consideration paid of $3.2 billion, which reduced Net income attributable to common stockholders by $0.8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2013 we used proceeds from the issuance of the senior unsecured notes to make a payment of $1.2 billion to prepay notes issued to the HCT. The HCT notes accrued interest at a 7% annual rate. This transaction and the purchase of the Series A Preferred Stock from the New VEBA lowered our overall cost of funding as the senior unsecured notes carry a lower interest rate than the dividends on the Series A Preferred Stock and the interest rate on the HCT notes.</w:t>
      </w:r>
    </w:p>
    <w:p>
      <w:pPr>
        <w:spacing w:after="0" w:line="18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In December 2013 we sold our investment in Ally Financial’s common stock for $0.9 billion. Also in December 2013 we sold our seven percent equity stake in PSA for $0.3 billion. These transactions released capital from non-core investment assets and allow the funds to be used for other corporate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Total available liquidity includes cash, cash equivalents, marketable securities and funds available under credit facilities. At December 31, 2013 our total available liquidity was $38.3 billion, including funds available under credit facilities of $10.4 billion. The amount of available liquidity is subject to intra-month and seasonal fluctuations and includes balances held by various business units and subsidiaries worldwide that are needed to fund their operations.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84% of our available liquidity at December 31, 2013.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cash equivalents and marketable securities balances include investments in U.S. government and agency obligations, foreign government securities, time deposits and corporate debt securities, and are primarily denominated in U.S. Dollars. We expect to maintain a sufficient amount of CAD denominated cash investments to offset certain CAD denominated liabilities, which primarily relate to pension and OPEB liabilities. These cash investments will incur foreign currency exchange gains or losses based on the movement of the CAD in relation to the U.S. Dollar and will therefore reduce our net CAD foreign currency exchange exposure. We held cash investments in CAD denominated securities of $1.7 billion at December 31, 2013. These funds continue to be available to fund our normal ongoing operations and are included in our available liquidity.</w:t>
      </w:r>
    </w:p>
    <w:p>
      <w:pPr>
        <w:spacing w:after="0" w:line="178"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Our investment guidelines, which we may change from time to time, prescribe certain minimum credit worthiness thresholds and limit our exposures to any particular sector, asset class, issuance or security type. Substantially all of our current investments in debt securities are with A/A2 or better rated issuers.</w:t>
      </w:r>
    </w:p>
    <w:p>
      <w:pPr>
        <w:spacing w:after="0" w:line="12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total size of our credit facilities was $11.2 billion and $11.4 billion at December 31, 2013 and 2012. Our primary borrowing capacity under credit facilities comes from our secured revolving credit facilities comprising a three-year, $5.5 billion facility maturing in 2015 and a five-year, $5.5 billion facility maturing in 2017. We have not borrowed against these facilities, but have amounts in use under the letter of credit sub-facility of $0.6 billion at December 31, 2013. GM Financial has not borrowed against the three-year facility. Refer to Note 14 to our consolidated financial statements for additional details on our secured revolving credit facilities.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available liquidity (dollars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18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17,133</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liquidity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26,121</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Available under credit facilities</w:t>
            </w: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37,240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100"/>
              <w:spacing w:after="0"/>
              <w:rPr>
                <w:sz w:val="20"/>
                <w:szCs w:val="20"/>
                <w:color w:val="auto"/>
              </w:rPr>
            </w:pPr>
            <w:r>
              <w:rPr>
                <w:rFonts w:ascii="Arial" w:cs="Arial" w:eastAsia="Arial" w:hAnsi="Arial"/>
                <w:sz w:val="18"/>
                <w:szCs w:val="18"/>
                <w:color w:val="auto"/>
                <w:w w:val="96"/>
              </w:rPr>
              <w:t>The following table summarizes the changes in our automotive available liquidity (dollars in billions):</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Year Ended 2013 vs 2012</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Operating cash flow</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Sale of investments in Ally Financial and PSA</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Capital contribution to GM Financial for the acquisition of the Ally Financial international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available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color w:val="auto"/>
              </w:rPr>
              <w:t>Total change in available liquidity</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automotive cash flows from operating, investing and financing activities (dollars in billions):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&amp; OPEB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valuation allowance release in the U.S. and Canada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Depreciation, amortization and impairments included goodwill impairments of $0.5 billion, $27.1 billion and $1.3 billion and impairment charges of property and intangible assets of $1.4 billion, $5.5 billion and $0.1 billion in the year ended December 31, 2013, 2012 and 2011. In the year ended December 31, 2012 significant Pension and OPEB activities included contributions to the U.S. salaried pension plan of $2.3 billion for the purchase of annuity contracts and associated pension settlement charges of $2.7 billion. In the year ended December 31, 2011 significant Pension and OPEB activities included a cash contribution as part of the HCT settlement of $0.8 billion and a gain associated with the HCT settlement of $0.7 billion. In the year ended December 31, 2012 Other was due primarily to favorable movements in dealer and customer allowances of $0.9 billion, other deferred tax provisions of $0.9 billion and policy and warranty of $0.6 billion. In the year ended December 31, 2011 Other was due primarily to gains on the sale of our investments in New Delphi Class A Membership Interests and Ally Financial preferred stock of $2.0 billion, unfavorable movements in accrued and other liabilities of $0.7 billion and equipment on operating leases of $0.5 billion.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Liquidations (acquisitions) of marketable securities, net</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our investment in Ally Financial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Sale of our investment in Delphi</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Changes in the (Acquisitions) liquidations of marketable securities, net were due to varying maturities of investments as we rebalanced our investment portfolio in the normal course of business. Other was due primarily to the release of restricted cash, including the release of $1.0 billion associated with the implementation of the HCT in the year ended December 31, 2011.</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Prepayment of HCT notes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redemption of GM Korea 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Purchase of Series A Preferred Stock</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 (excluding charge related to purchase premium)</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Dividends paid (excluding charge related to purchase of series A Preferred Stock)</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was due primarily to prepayments on debt facilities held by certain of our foreign subsidiaries, primarily in GMNA and GMSA, of $1.0 billion in the year ended December 31,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free cash flow and adjusted free cash flow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7,429</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(6,241)</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1,830</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3,018</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Adjustments to free cash flow included the following items: accrued interest on the prepayment of the HCT notes of $0.2 billion in October 2013 and pension contributions of $0.1 billion related to the previously announced annuitization of the U.S. salaried pension plan in March 2013; voluntary contributions to the U.S. salaried pension plan of $2.3 billion for the purchase of annuity contracts and the premium paid to purchase our common stock from the UST of $0.4 billion in December 2012; termination of in-transit wholesale advance agreement in GMNA resulting in an increase to accounts receivable of $1.1 billion and OPEB payments relating to the HCT settlement of $0.8 billion in 2011.</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Status of Credit Ratings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 ratings from four independent credit rating agencies: DBRS Limited, Fitch Ratings (Fitch), Moody's Investor Service (Moody's) and S&amp;P. DBRS Limited and Moody's currently rate our corporate credit at investment grade while Fitch and S&amp;P currently rate our corporate credit at non-investment grade. The following table summarizes our credit ratings at January 30, 2014: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Secured Revolving Credit</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vMerge w:val="restart"/>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 (low)</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BB+</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Positive</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Baa2</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BB+</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Positive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Rating actions taken by each of the credit rating agencies from January 1, 2013 through January 30, 2014 were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Fitch: September - Assigned a senior unsecured rating of BB+. August - Upgraded their outlook to positive from stable.</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Moody’s: September - Upgraded corporate rating to an investment grade rating of Baa3 from Ba1, assigned a senior unsecured rating of Ba1 and changed their outlook to stable from positive.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S&amp;P: September - Assigned a senior unsecured rating of BB+ and upgraded their outlook to positive from stable.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pursue investment grade status from all of the credit rating agencies by maintaining a balance sheet with minimal financial leverage and demonstrating continued operating performance. Achieving investment grade status will provide us with greater financial flexibility, lower our cost of borrowing and may release collateral from certain agreements including our secured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GM Financial's primary sources of cash are finance charge income, leasing income, servicing fees, net distributions from secured debt, borrowings under secured and unsecured debt, net proceeds from senior notes transactions and collections and recoveries on finance receivables. GM Financial's primary uses of cash are purchases of finance receivables and leased vehicles, funding of commercial finance receivables, business acquisitions, repayment of secured and unsecured debt, funding credit enhancement requirements for secured debt, operating expenses and interest costs. GM Financial continues to monitor and evaluate opportunities to optimize its liquidity position and the mix of its debt.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for daily operations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1,349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increase in liquidity is due primarily to the net increase of $0.8 billion resulting from the Ally Financial international operations acquisition.</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has the ability to borrow up to $4.0 billion against our three-year $5.5 billion secured revolving credit facility subject to available capacity and borrowing base restrictions. In the event GM Financial borrows against the facility, it is expected such borrowings would be short-term in nature. The facility is not guaranteed or secured by any GM Financial assets or subsidiaries.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normal course of business, in addition to using its available cash, GM Financial utilizes borrowings under its credit facilities, which may be secured and structured as securitizations, or may be unsecured, and GM Financial repays these borrowings as appropriate under its cash management strategy. At December 31, 2013 secured and unsecured credit facilities totaled $15.6 billion and $4.0 billion, with advances outstanding of $9.0 billion and $3.0 billion.</w:t>
      </w:r>
    </w:p>
    <w:p>
      <w:pPr>
        <w:spacing w:after="0" w:line="14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is required to hold certain funds in restricted cash accounts to provide additional collateral for borrowings under certain secured credit facilities. GM Financial’s secured credit facilities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restrict GM Financial’s ability to obtain additional borrowings under these agreements and/or remove GM Financial as servicer. At December 31, 2013 GM Financial was in compliance with all covenants related to its credit facilities.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1,520</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net cash provided by operating activities increased by $0.6 billion due primarily to the acquisitions of Ally Financial international operations.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ended December 31, 2012 net cash provided by operating activities increased by $0.2 billion due primarily to higher revenues resulting from a $2.4 billion increase in average earning assets.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2013 net cash used in investing activities increased by $5.4 billion due primarily to: (1) increased funding of commercial finance receivables of $19.9 billion and purchase of consumer finance receivables of $4.0 billion; (2) net cash payment of $2.6 billion made in the current year on the acquisitions of Ally Financial international operations; (3) increased purchase of leased vehicles of $1.2 billion; and (4) increase in restricted cash of $0.6 billion; partially offset by (5) increased collections and recoveries on finance receivables of $22.8 billion.</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2012 net cash used in investing activities increased by $0.7 billion due primarily to: (1) increased funding of commercial finance receivables of $1.2 billion and purchase of consumer finance receivables of $0.6 billion; and (2) increased purchase of leased vehicles of $0.2 billion; partially offset by (3) increased collections and recoveries on finance receivables of $1.0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net cash provided by financing activities increased by $2.8 billion due primarily to the increased borrowings under secured and unsecured debt and issuance of senior notes of $14.0 billion, partially offset by the increased debt repayment of $9.7 billion and the repayment of $1.4 billion in certain debt assumed as part of the Ally Financial international operations acquisitions.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year ended December 31, 2012 net cash provided by financing activities increased by $0.8 billion due primarily to a decrease in repayment of debt.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Eligible U.S. salaried employees hired prior to January 2001 participated in a defined benefit pension plan which was frozen as of September 30, 2012. All eligible salaried employees now participate in a defined contribution plan. Hourly employees hired prior to October 2007 generally participate in plans which provide benefits of stated amounts for each year of service as well as supplemental benefits for employees who retire with 30 years of service before normal retirement age. Hourly employees hired after September 2007 participate in a defined contribution plan. Our policy for qualified defined benefit pension plans is to contribute annually not less than the minimum required by applicable law and regulation, or to directly pay benefit payments where appropriate. At December 31, 2013 all legal funding requirements had been met. We expect to contribute $0.1 billion to our U.S. non-qualified plans and $0.7 billion to our non-U.S. pension plans in 2014.</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contributions made to the defined benefit pension plans or direct payments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836</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contributions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provided short-term, interest-free, unsecured loans of $2.2 billion to provide the U.S. salaried defined benefit pension plan with incremental liquidity to pay ongoing benefits and administrative costs. Through December 31, 2013 contributions of $1.7 billion were made from the $2.2 billion loans and the remaining amounts were repaid.</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made a voluntary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valued at $1.9 billion for accounting purposes in July 2011. This was a voluntary contribution above our funding requirements for the pension plans.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underfunded status of pension plans on a U.S. GAAP basis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U.S. nonqualified</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877</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pension plans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14,025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Non-U.S.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12,542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13,760</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underfunded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19,856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27,785</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The decrease in underfunded status of the U.S. pension plans was due primarily to: (1) actuarial gains due primarily to discount rate increases of $7.7 billion; (2) actual return on plan assets of $2.1 billion; and (3) contributions of $0.1 billion; partially offset by (4) service and interest costs of $3.1 billion.</w:t>
      </w:r>
    </w:p>
    <w:p>
      <w:pPr>
        <w:spacing w:after="0" w:line="12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decrease in underfunded status of the non-U.S. pension plans primarily in Canada, the United Kingdom and Germany was due primarily to: (1) actuarial gains due primarily to discount rate increases of $1.0 billion; (2) actual return on plan assets of $1.0 billion; and (3) contributions and benefit payments of $0.9 billion; partially offset by (4) service and interest costs of $1.4 billion; (5) net unfavorable foreign currency effect of $0.2 billion; and (6) business combinations of $0.1 billion.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Hourly and salaried OPEB plans provide postretirement life insurance to certain U.S. retirees and eligible dependents and postretirement health coverage to some U.S. retirees and eligible dependents. Certain of the non-U.S. subsidiaries have postretirement benefit plans, although most participants are covered by government sponsored or administered programs.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unfunded status of OPEB plans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OPEB plans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Non-U.S. OPEB plans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1,528</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unfunded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7,799</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41"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15 to our consolidated financial statements for the change in benefit obligations and related plan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net benefit payments expected to be paid in the future, which include assumptions related to estimated future employee service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Pension Benefits(a)</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Other Benefits</w:t>
            </w:r>
          </w:p>
        </w:tc>
      </w:tr>
      <w:tr>
        <w:trPr>
          <w:trHeight w:val="264"/>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 Plans</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Non-U.S. Plans</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180" w:type="dxa"/>
            <w:vAlign w:val="bottom"/>
          </w:tcPr>
          <w:p>
            <w:pPr>
              <w:spacing w:after="0"/>
              <w:rPr>
                <w:sz w:val="22"/>
                <w:szCs w:val="22"/>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Non-U.S. Plans</w:t>
            </w:r>
          </w:p>
        </w:tc>
      </w:tr>
      <w:tr>
        <w:trPr>
          <w:trHeight w:val="250"/>
        </w:trPr>
        <w:tc>
          <w:tcPr>
            <w:tcW w:w="20" w:type="dxa"/>
            <w:vAlign w:val="bottom"/>
          </w:tcPr>
          <w:p>
            <w:pPr>
              <w:spacing w:after="0"/>
              <w:rPr>
                <w:sz w:val="21"/>
                <w:szCs w:val="21"/>
                <w:color w:val="auto"/>
              </w:rPr>
            </w:pPr>
          </w:p>
        </w:tc>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65</w:t>
            </w:r>
          </w:p>
        </w:tc>
      </w:tr>
      <w:tr>
        <w:trPr>
          <w:trHeight w:val="27"/>
        </w:trPr>
        <w:tc>
          <w:tcPr>
            <w:tcW w:w="5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65</w:t>
            </w:r>
          </w:p>
        </w:tc>
      </w:tr>
      <w:tr>
        <w:trPr>
          <w:trHeight w:val="27"/>
        </w:trPr>
        <w:tc>
          <w:tcPr>
            <w:tcW w:w="5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2019 - 2023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24,019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357</w:t>
            </w:r>
          </w:p>
        </w:tc>
      </w:tr>
      <w:tr>
        <w:trPr>
          <w:trHeight w:val="243"/>
        </w:trPr>
        <w:tc>
          <w:tcPr>
            <w:tcW w:w="5500" w:type="dxa"/>
            <w:vAlign w:val="bottom"/>
            <w:gridSpan w:val="2"/>
          </w:tcPr>
          <w:p>
            <w:pPr>
              <w:jc w:val="right"/>
              <w:ind w:right="4510"/>
              <w:spacing w:after="0"/>
              <w:rPr>
                <w:sz w:val="20"/>
                <w:szCs w:val="20"/>
                <w:color w:val="auto"/>
              </w:rPr>
            </w:pPr>
            <w:r>
              <w:rPr>
                <w:rFonts w:ascii="Arial" w:cs="Arial" w:eastAsia="Arial" w:hAnsi="Arial"/>
                <w:sz w:val="18"/>
                <w:szCs w:val="18"/>
                <w:color w:val="auto"/>
                <w:w w:val="87"/>
              </w:rPr>
              <w:t>__________</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Benefits for most U.S. pension plans and certain non-U.S. pension plans are paid out of plan assets rather than our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do not currently utilize off-balance sheet securitization arrangements. All trade or financing receivables and related obligations subject to securitization programs are recorded on our consolidated balance sheets at December 31,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third party commercial loans and other obligations. The maximum potential obligation under these commitments was $16.9 billion and $23.5 billion at December 31, 2013 and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17 to our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Long-Term Liabilities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the following minimum commitments under contractual obligations, including purchase obligations. 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Other long-term liabilities are defined as long-term liabilities that are recorded on our consolidated balance sheet. Based on this definition, the following table includes only those contracts which include fixed or minimum obligations. The majority of our purchases are not included in the table as they are made under purchase orders which are requirements based and accordingly do not specify minimum quantities.</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aggregated information about our outstanding contractual obligations and other long-term liabilities at December 31, 2013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2019 and after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6,937</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Automotive Financing debt</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13,594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29,046</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Automotive interest payments(a)</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4,493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Financing interest payments(b)</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Postretirement benefits(c)</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541</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commitments for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1,087</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contractual commitments: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Material</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2,085</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Marketing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r>
      <w:tr>
        <w:trPr>
          <w:trHeight w:val="243"/>
        </w:trPr>
        <w:tc>
          <w:tcPr>
            <w:tcW w:w="2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Rental car repurchases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3,761</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Policy, product warranty and recall campaigns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7,293</w:t>
            </w:r>
          </w:p>
        </w:tc>
      </w:tr>
      <w:tr>
        <w:trPr>
          <w:trHeight w:val="243"/>
        </w:trPr>
        <w:tc>
          <w:tcPr>
            <w:tcW w:w="2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2,634</w:t>
            </w: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commitments(d)(e)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25,464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9,067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63,355</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Non-contractual postretirement benefits(f)</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12,698</w:t>
            </w: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capital lease obligations. Automotive interest payments based on variable interest rates were determined using the interest rate in effect at December 31, 2013.</w:t>
      </w: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2013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OPEB payments under the current U.S. contractual labor agreements through 2015 and Canada labor agreements through 2016. Amounts do not include pension funding obligations, which are discussed below under the caption “Pension Funding Requirements.”</w:t>
      </w: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do not include future cash payments for long-term purchase obligations and other accrued expenditures (unless specifically listed in the table above) which were recorded in Accounts payable or Accrued liabilities at December 31, 2013.</w:t>
      </w: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exclude the future annual contingent obligations of Euro 265 million in the years 2013 to 2014 related to our Opel/Vauxhall restructuring plan. Refer to Note 17 to our consolidated financial statements for further detail.</w:t>
      </w:r>
    </w:p>
    <w:p>
      <w:pPr>
        <w:jc w:val="both"/>
        <w:ind w:left="3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December 31, 2013 for OPEB obligations for salaried employees and hourly OPEB obligations extending beyond the current North American union contract agreements. Amounts do not include pension funding obligations, which are discussed below under the caption “Pension Funding Requirements.”</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table above does not reflect unrecognized tax benefits of $2.5 billion due to the high degree of uncertainty regarding the future cash outflows associated with these amounts.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Funding Requirements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implemented and completed a balance sheet derisking strategy, comprising certain actions related to our U.S. salaried pension plan. These actions included payment of lump-sums to retirees, the purchase of group annuity contracts from an insurance company and the settlement of other previously guaranteed obligations.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do not have any required contributions payable to our U.S. qualified plans in 2014. We expect to contribute $0.1 billion to our U.S. non-qualified plans and $0.7 billion to our non-U.S. pension plans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41"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making estimates actual results could differ from the original estimates, requiring adjustments to these balances in future periods. We have discussed the development, selection and disclosures of our critical accounting estimates with the Audit Committee of the Board of Directors and the Audit Committee has reviewed the disclosures relating to these estimates.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defined benefit pension plans are accounted for on an actuarial basis, which requires the selection of various assumptions, including an expected long-term rate of return on plan assets and a discount rate.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15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December 2013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increased from 5.8% at December 31, 2012 to 6.5% at December 31, 2013 due primarily to higher yields on fixed income securities.</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Another key assumption in determining net pension expense is the assumed discount rate to be used to discount plan obligations. We estimate this rate for U.S. plans using a cash flow matching approach, which uses projected cash flows matched to spot rates along a high quality corporate yield curve to determine the present value of cash flows to calculate a single equivalent discount rate.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expense over future periods. The unamortized pre-tax actuarial gain (loss) on our pension plans was $1.4 billion and $(6.2) billion at December 31, 2013 and 2012. The change is due primarily to the increase in discount rates.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illustrates the sensitivity to a change in certain assumptions for the pension plans, holding all other assumptions constant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on 2014</w:t>
            </w: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Effect on</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 on 2014</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 2013</w:t>
            </w:r>
          </w:p>
        </w:tc>
        <w:tc>
          <w:tcPr>
            <w:tcW w:w="13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Pension Expense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PBO</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 in discount rate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25 basis point increase in discount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 in expected rate of return on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25 basis point increase in expected rate of return on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data illustrates the sensitivity of changes in pension expense and pension obligation based on the last remeasurement of the U.S. hourly pension plan at December 31, 2013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Effect on 2014 Pension</w:t>
            </w:r>
          </w:p>
        </w:tc>
        <w:tc>
          <w:tcPr>
            <w:tcW w:w="17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Effect on December 31,</w:t>
            </w: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Expense</w:t>
            </w:r>
          </w:p>
        </w:tc>
        <w:tc>
          <w:tcPr>
            <w:tcW w:w="17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 PBO</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Change in future benefit units</w:t>
            </w: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percentage point increase in benefit units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One percentage point decrease in benefit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Refer to Note 15 to our consolidated financial statements for the expected weighted-average long-term rate of return on plan assets, weighted-average discount rate on plan obligations and actual and expected return on plan assets. Refer to Note 2 to our consolidated financial statements for a discussion of the inputs used to determine fair value for each significant asset class or category.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Deferred Tax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evaluate the need for deferred tax asset valuation allowances based on a more likely than not standard. The ability to realize deferred tax assets depends on the ability to generate sufficient taxable income within the carryback or carryforward periods provided for in the tax law for each applicable tax jurisdiction. It is difficult to conclude a valuation allowance is not required when there is significant objective and verifiable negative evidence, such as cumulative losses in recent years. We utilize a rolling three years of actual and current year anticipated results as the primary measure of cumulative losses in recent years. Our accounting for deferred tax consequences represents our best estimate of future events. Changes in our current estimates, due to unanticipated events or otherwise, could have a material effect on our financial condition and results of operations. At December 31, 2013 we retained valuation allowances of $10.8 billion against deferred tax assets primarily in GME and South Korea business units with losses and in the U.S. and Canada related primarily to capital loss tax attributes and state operating loss carryforwards.</w:t>
      </w:r>
    </w:p>
    <w:p>
      <w:pPr>
        <w:spacing w:after="0" w:line="17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If law is enacted that reduces the U.S. statutory rate, we would record a significant reduction to the net deferred tax assets and a related increase to income tax expense in the period that includes the enactment date of the tax rate change.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When applying fresh-start reporting, certain accounts, primarily employee benefit and income tax related, were recorded at amounts determined under specific U.S. GAAP rather than fair value and the difference between the U.S. GAAP and fair value amounts gave rise to goodwill, which is a residual. If all identifiable assets and liabilities had been recorded at fair value upon application of fresh-start reporting, no goodwill would have resulted. Goodwill established at fresh-start was $30.5 billion of which $30.4 billion has been impaired through December 31, 2013.</w:t>
      </w:r>
    </w:p>
    <w:p>
      <w:pPr>
        <w:spacing w:after="0" w:line="17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December 31, 2013 we performed our annual goodwill impairment testing as of October 1 for all reporting units with Goodwill. Our reporting units are GMNA, GME and various reporting units within the GMIO, GMSA and GM Financial segments. In the year ended December 31, 2013 we also performed event-driven goodwill impairment tests at various dates for certain of our reporting units. Based on our testing procedures we recorded Goodwill impairment charges of $0.5 billion in the year ended December 31, 2013 primarily associated with our GM Korea and GM India reporting units. Subsequent to the recording of the Goodwill impairment charges in the year ended December 31, 2013 we had Goodwill of $1.6 billion at December 31, 2013 which resulted primarily from the acquisition of AmeriCredit Corp in 2011.</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10 to our consolidated financial statements for additional information on goodwill impairments.</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For purposes of our 2013 annual impairment testing procedures at October 1, 2013 the estimated fair value of GM Financial’s North American reporting unit exceeded its carrying amount by 29%. Due to anticipated changes in GM Financial's business model to continue to introduce higher credit quality products into its lending portfolio, the initial equity retention ratio assumption of 12.5% was forecasted to decrease to 7.5% by 2018 in the discounted cash flow analysis utilized for goodwill impairment testing purposes. Having higher credit quality products comprising a larger percentage of GM Financial's lending portfolio will require less equity. GM Korea's fair value continued to be below its carrying amount and GM India’s carrying amount became negative.</w:t>
      </w:r>
    </w:p>
    <w:p>
      <w:pPr>
        <w:spacing w:after="0" w:line="15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key assumptions utilized in determining the fair value-to-U.S. GAAP differences giving rise to the implied goodwill for the reporting units requiring a Step 2 analysis are: (1) the determination of our nonperformance risk; (2) interest rates; (3) estimates of our employee benefit related obligations; and (4) the estimated timing of the utilization of our deferred tax assets, including our determination whether it is more likely than not that the deferred tax assets will be utilized. For the year ended December 31, 2013 GM Korea's goodwill assessment was most sensitive to our determination of estimates of our employee benefit related obligations and GM India’s was most sensitive to the estimated timing of the utilization of our deferred tax assets.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carrying amount of long-lived assets and finite-lived intangible assets to be held and used in the business are evaluated for impairment when events and circumstances warrant. If the carrying amount of a long-lived asset group is considered impaired, a loss is recorded based on the amount by which the carrying amount exceeds the fair value for the long-lived assets or in certain cases, the asset group to be held and used. Product-specific long-lived asset groups are tested for impairment at the platform or vehicle line level. Non-product-specific long-lived assets are tested for impairment on a reporting unit basis in GMNA and GME and tested at or within our various reporting units within our GMIO, GMSA and GM Financial segments.</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December 2013 we: (1) announced our plans to cease mainstream distribution of Chevrolet brand in Western and Central Europe in 2015 due to the challenging business model and difficult economic situation in Europe; (2) announced plans to cease manufacturing at Holden by the end of 2017; and (3) performed a strategic assessment of GM India in response to lower than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expected sales performance of our current product offerings in India, higher raw material costs, unfavorable foreign exchange rates and recent deterioration in local market conditions. These triggered long-lived asset impairment analyses so we performed recoverability tests on the long-lived assets associated with these asset groups. Our tests concluded that the associated long-lived assets were not recoverable as the resulting undiscounted cash flows were less than their carrying amounts. We develop anticipated cash flows from historical experience and internal business plans.</w:t>
      </w:r>
    </w:p>
    <w:p>
      <w:pPr>
        <w:spacing w:after="0" w:line="154"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We estimated the fair values of the associated long-lived assets to determine the impairment amount. Fair value is determined using either the market or sales comparison approach, cost approach or anticipated cash flows discounted at a rate commensurate with the risk involved. A considerable amount of management judgment was required in determining the fair value of the asset groups which requires the use of significant estimates and assumptions, considered to be Level 3 inputs. An in-exchange premise was determined to be the highest and best use of the assets which is different than the assets' current use due to: (1) expected losses to be incurred associated with the exit of Chevrolet from a mainstream presence in Western and Central Europe and the wind down of manufacturing activities at Holden; and (2) the lack of economic support due to declining operations for the existing long-lived assets at GM India. As a result in the three months ended December 31, 2013 we recorded total asset impairment charges of $1.1 billion in GMIO. Refer to Notes 9 and 11 to our consolidated financial statements for additional information on the impairment charges recorded and related fair value measurements.</w:t>
      </w:r>
    </w:p>
    <w:p>
      <w:pPr>
        <w:spacing w:after="0" w:line="16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While we believe our judgments and assumptions are reasonable, a change in assumptions underlying these estimates could result in a material effect to the consolidated financial statements. Long-lived assets could become impaired in the future as a result of declines in profitability due to significant changes in volume, pricing or costs.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Incentives</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estimated effect of sales incentives to dealers and customers is recorded as a reduction of Automotive net sales and revenue, and in certain instances, as an increase to Automotive cost of sales, at the later of the time of sale or announcement of an incentive program to dealers. There may be numerous types of incentives available at any particular time, including a choice of incentives for a specific model. Incentive programs are generally brand specific, model specific or region specific and are for specified time periods, which may be extended. Significant factors used in estimating the cost of incentives include the volume of vehicles that will be affected by the incentive programs offered by product, product mix, the rate of customer acceptance of any incentive program and the likelihood that an incentive program will be extended, all of which are estimated based on historical experience and assumptions concerning customer behavior and future market conditions. When an incentive program is announced, the number of vehicles in dealer inventory eligible for the incentive program is determined and a reduction of Automotive net sales and revenue or increase to Automotive cost of sales is recorded in the period in which the program is announced. If the actual number of affected vehicles differs from this estimate, or if a different mix of incentives is actually paid, the reduction in Automotive net sales and revenue or increase to Automotive cost of sales for sales incentives could be affected. There are a multitude of inputs affecting the calculation of the estimate for sales incentives, and an increase or decrease of any of these variables could have a significant effect on recorded sales incentives.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Policy, Product Warranty and Recall Campaigns</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estimated costs related to policy and product warranties are accrued at the time products are sold. Estimated costs related to product recalls based on a formal campaign soliciting return of that product are accrued when they are deemed to be probable and can be reasonably estimated. These estimates are established using historical information on the nature, frequency and average cost of claims of each vehicle line or each model year of the vehicle line and assumptions about future activity and events. However where little or no claims experience exists for a model year or a vehicle line, the estimate is based on comparable models. Revisions are made when necessary based on changes in these factors. These estimates are re-evaluated on an ongoing basis. We actively study trends of claims and take action to improve vehicle quality and minimize claims. 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Accounting standards not yet adopted are discussed in Note 2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and consolidated international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GM Financial's ability to successfully integrate certain Ally Financial international operations;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ind w:left="660" w:right="20" w:hanging="490"/>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660" w:hanging="490"/>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We enter into a variety of foreign currency exchange and commodity forward contracts and options to manage exposures arising from market risks resulting from changes in certain foreign currency exchange rates and commodity prices. We do not enter into derivative transactions for speculative purposes.</w:t>
      </w:r>
    </w:p>
    <w:p>
      <w:pPr>
        <w:spacing w:after="0" w:line="12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overall financial risk management program is under the responsibility of the Risk Management Committee which reviews and, where appropriate, approves strategies to be pursued to mitigate these risks. The Risk Management Committee comprises members of our management and functions under the oversight of the Audit Committee, a committee of the Board of Directors. The Audit Committee assists and guides the Board of Directors in its oversight of our financial and risk management strategies. A risk management control framework is utilized to monitor the strategies, risks and related hedge positions in accordance with the policies and procedures approved by the Risk Management Committee. Our risk management policy intends to protect against risk arising from extreme adverse market movements on our key exposures.</w:t>
      </w:r>
    </w:p>
    <w:p>
      <w:pPr>
        <w:spacing w:after="0" w:line="17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following analyses provide quantitative information regarding exposure to foreign currency exchange rate risk and interest rate risk. 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due primarily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pairs or offsetting long-short positions in currency pairs which may significantly reduce the potential loss in value.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have foreign currency exposures related to buying, selling and financing in currencies other than the functional currencies of the operations. At December 31, 2013 our most significant foreign currency exposures were the Euro/British Pound, U.S. Dollar/Korean Won, Euro/Korean Won and Euro/U.S. Dollar. Derivative instruments such as foreign currency forwards, swaps and options are used primarily to hedge exposures with respect to forecasted revenues, costs and commitments denominated in foreign currencies. At December 31, 2013 such contracts had remaining maturities of up to 23 months.</w:t>
      </w:r>
    </w:p>
    <w:p>
      <w:pPr>
        <w:spacing w:after="0" w:line="15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At December 31, 2013 and 2012 the net fair value liability of financial instruments with exposure to foreign currency risk was $1.0 billion and $4.0 billion. This presentation utilizes a population of foreign currency exchange derivatives, embedded derivatives and foreign currency denominated debt and excludes the offsetting effect of foreign currency cash, cash equivalents and other assets. The potential loss in fair value for such financial instruments from a 10% adverse change in all quoted foreign currency exchange rates would be $195 million and $671 million at December 31, 2013 and 2012.</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following table summarizes the amounts of automotive foreign currency translation and transaction and remeasurement losses (dollars in millions):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90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losses recorded in Accumulated other comprehensive loss</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Losses resulting from foreign currency transactions and remeasurements recorded in earnings</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117</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are subject to market risk from exposure to changes in interest rates related to certain financial instruments, primarily debt, capital lease obligations and certain marketable securities. At December 31, 2013 we did not have any interest rate swap positions to manage interest rate exposures in our automotive operations. At December 31, 2013 and 2012 the fair value liability of debt and capital leases was $6.8 billion and $5.3 billion. The potential increase in fair value resulting from a 10% decrease in quoted interest rates would be $251 million and $112 million at December 31, 2013 and 2012.</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2013 and 2012 we had marketable securities of $7.2 billion and $3.8 billion classified as available-for sale and $1.7 billion and $5.2 billion classified as trading. The potential decrease in fair value from a 50 basis point increase in interest rates would be insignificant at December 31, 2013 and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Fluctuations in market interest rates can affect GM Financial's secured and unsecured debt. GM Financial's gross interest rate spread, which is the difference between: (1) interest earned on finance receivables, other income and lease contracts; and (2) interest paid, is affected by changes in interest rates as a result of GM Financial's dependence upon the issuance of variable rate securities and the incurrence of variable rate debt to fund purchases of finance receivables and leased vehicles.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Fixed interest rate receivables purchased by GM Financial are pledged to secure borrowings under its credit facilities. Amounts borrowed under these credit facilities bear interest at variable rates that are subject to frequent adjustments to reflect prevailing market interest rates. To protect the interest rate spread within each credit facility, GM Financial is contractually required to enter into interest rate cap agreements in connection with borrowings under its credit facilities.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Securitizations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GM Financial's securitization transactions it can transfer fixed rate finance receivables to securitization trusts that, in turn, sell either fixed rate or floating rate securities to investors. Derivative financial instruments, such as interest rate swaps and caps, are used to manage the gross interest rate spread on the floating rate transactions.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 had interest rate swaps and caps in asset positions with notional amounts of $3.8 billion and $0.8 billion at December 31, 2013 and 2012.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GM Financial had interest rate swaps and caps in liability positions with notional amounts of $5.5 billion and $0.8 billion at December 31, 2013 and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derivative financial instruments was insignificant.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GM Financial is exposed to foreign currency risk due to the translation and remeasurement of the results of certain international operations, primarily those acquired from Ally Financial at various dates in 2013, into U.S. Dollars as part of the consolidation process. Fluctuations in foreign currency exchange rates can therefore create volatility in the results of operations and may adversely affect GM Financial's financial condition.</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connection with the closing of certain acquisitions of Ally Financial's international operations, GM Financial provided loans denominated in foreign currencies (Euro, British Pound and Swedish Krona) to acquired entities that had an equivalent balance of $1.7 billion at December 31, 2013. GM Financial purchased foreign exchange swaps to offset any valuation change in the loans due to changes in foreign exchange rates. The fair value of these foreign exchange swaps was insignificant.</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GM Financial's interest rate sensitive assets and liabilities, excluding derivatives, by year of expected maturity and the fair value of those assets and liabilities at December 31, 2013 (dollars in millions):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41"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Years Ending December 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December 31, 2013</w:t>
            </w:r>
          </w:p>
        </w:tc>
      </w:tr>
      <w:tr>
        <w:trPr>
          <w:trHeight w:val="263"/>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14"/>
                <w:szCs w:val="14"/>
                <w:color w:val="auto"/>
              </w:rPr>
              <w:t>Consumer finance receivables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22,652</w:t>
            </w:r>
          </w:p>
        </w:tc>
      </w:tr>
      <w:tr>
        <w:trPr>
          <w:trHeight w:val="264"/>
        </w:trPr>
        <w:tc>
          <w:tcPr>
            <w:tcW w:w="3380" w:type="dxa"/>
            <w:vAlign w:val="bottom"/>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3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finance receivables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3380" w:type="dxa"/>
            <w:vAlign w:val="bottom"/>
          </w:tcPr>
          <w:p>
            <w:pPr>
              <w:ind w:left="200"/>
              <w:spacing w:after="0"/>
              <w:rPr>
                <w:sz w:val="20"/>
                <w:szCs w:val="20"/>
                <w:color w:val="auto"/>
              </w:rPr>
            </w:pPr>
            <w:r>
              <w:rPr>
                <w:rFonts w:ascii="Arial" w:cs="Arial" w:eastAsia="Arial" w:hAnsi="Arial"/>
                <w:sz w:val="14"/>
                <w:szCs w:val="14"/>
                <w:color w:val="auto"/>
              </w:rPr>
              <w:t>Principal amounts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5,731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00" w:type="dxa"/>
            <w:vAlign w:val="bottom"/>
          </w:tcPr>
          <w:p>
            <w:pPr>
              <w:jc w:val="center"/>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6,016</w:t>
            </w:r>
          </w:p>
        </w:tc>
      </w:tr>
      <w:tr>
        <w:trPr>
          <w:trHeight w:val="276"/>
        </w:trPr>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70"/>
        </w:trPr>
        <w:tc>
          <w:tcPr>
            <w:tcW w:w="3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4"/>
        </w:trPr>
        <w:tc>
          <w:tcPr>
            <w:tcW w:w="3380" w:type="dxa"/>
            <w:vAlign w:val="bottom"/>
          </w:tcPr>
          <w:p>
            <w:pPr>
              <w:ind w:left="40"/>
              <w:spacing w:after="0"/>
              <w:rPr>
                <w:sz w:val="20"/>
                <w:szCs w:val="20"/>
                <w:color w:val="auto"/>
              </w:rPr>
            </w:pPr>
            <w:r>
              <w:rPr>
                <w:rFonts w:ascii="Arial" w:cs="Arial" w:eastAsia="Arial" w:hAnsi="Arial"/>
                <w:sz w:val="14"/>
                <w:szCs w:val="14"/>
                <w:color w:val="auto"/>
              </w:rPr>
              <w:t>Credit facilities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8,995</w:t>
            </w:r>
          </w:p>
        </w:tc>
      </w:tr>
      <w:tr>
        <w:trPr>
          <w:trHeight w:val="264"/>
        </w:trPr>
        <w:tc>
          <w:tcPr>
            <w:tcW w:w="3380" w:type="dxa"/>
            <w:vAlign w:val="bottom"/>
          </w:tcPr>
          <w:p>
            <w:pPr>
              <w:ind w:left="200"/>
              <w:spacing w:after="0"/>
              <w:rPr>
                <w:sz w:val="20"/>
                <w:szCs w:val="20"/>
                <w:color w:val="auto"/>
              </w:rPr>
            </w:pPr>
            <w:r>
              <w:rPr>
                <w:rFonts w:ascii="Arial" w:cs="Arial" w:eastAsia="Arial" w:hAnsi="Arial"/>
                <w:sz w:val="14"/>
                <w:szCs w:val="14"/>
                <w:color w:val="auto"/>
              </w:rPr>
              <w:t>Weighted-average interest rate</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3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Securitization notes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3380" w:type="dxa"/>
            <w:vAlign w:val="bottom"/>
          </w:tcPr>
          <w:p>
            <w:pPr>
              <w:ind w:left="200"/>
              <w:spacing w:after="0"/>
              <w:rPr>
                <w:sz w:val="20"/>
                <w:szCs w:val="20"/>
                <w:color w:val="auto"/>
              </w:rPr>
            </w:pPr>
            <w:r>
              <w:rPr>
                <w:rFonts w:ascii="Arial" w:cs="Arial" w:eastAsia="Arial" w:hAnsi="Arial"/>
                <w:sz w:val="14"/>
                <w:szCs w:val="14"/>
                <w:color w:val="auto"/>
              </w:rPr>
              <w:t>Principal amounts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5,218</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4,084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22"/>
                <w:szCs w:val="22"/>
                <w:color w:val="auto"/>
              </w:rPr>
            </w:pPr>
          </w:p>
        </w:tc>
        <w:tc>
          <w:tcPr>
            <w:tcW w:w="200" w:type="dxa"/>
            <w:vAlign w:val="bottom"/>
          </w:tcPr>
          <w:p>
            <w:pPr>
              <w:jc w:val="center"/>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13,175</w:t>
            </w:r>
          </w:p>
        </w:tc>
      </w:tr>
      <w:tr>
        <w:trPr>
          <w:trHeight w:val="276"/>
        </w:trPr>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interest rate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338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3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4,106</w:t>
            </w:r>
          </w:p>
        </w:tc>
      </w:tr>
      <w:tr>
        <w:trPr>
          <w:trHeight w:val="258"/>
        </w:trPr>
        <w:tc>
          <w:tcPr>
            <w:tcW w:w="3380" w:type="dxa"/>
            <w:vAlign w:val="bottom"/>
          </w:tcPr>
          <w:p>
            <w:pPr>
              <w:ind w:left="200"/>
              <w:spacing w:after="0"/>
              <w:rPr>
                <w:sz w:val="20"/>
                <w:szCs w:val="20"/>
                <w:color w:val="auto"/>
              </w:rPr>
            </w:pPr>
            <w:r>
              <w:rPr>
                <w:rFonts w:ascii="Arial" w:cs="Arial" w:eastAsia="Arial" w:hAnsi="Arial"/>
                <w:sz w:val="14"/>
                <w:szCs w:val="14"/>
                <w:color w:val="auto"/>
              </w:rPr>
              <w:t>Weighted-average interest rate</w:t>
            </w:r>
          </w:p>
        </w:tc>
        <w:tc>
          <w:tcPr>
            <w:tcW w:w="200" w:type="dxa"/>
            <w:vAlign w:val="bottom"/>
          </w:tcPr>
          <w:p>
            <w:pPr>
              <w:spacing w:after="0"/>
              <w:rPr>
                <w:sz w:val="22"/>
                <w:szCs w:val="22"/>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bl>
    <w:p>
      <w:pPr>
        <w:spacing w:after="0" w:line="21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GM Financial's interest rate sensitive assets and liabilities, excluding derivatives, by year of expected maturity and the fair value of those assets and liabilities at December 31, 2012 (dollars in millions):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Years Ended and Ending December 31,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December 31, 2012</w:t>
            </w:r>
          </w:p>
        </w:tc>
      </w:tr>
      <w:tr>
        <w:trPr>
          <w:trHeight w:val="263"/>
        </w:trPr>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22"/>
                <w:szCs w:val="22"/>
                <w:color w:val="auto"/>
              </w:rPr>
            </w:pPr>
          </w:p>
        </w:tc>
        <w:tc>
          <w:tcPr>
            <w:tcW w:w="140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w:t>
            </w:r>
          </w:p>
        </w:tc>
      </w:tr>
      <w:tr>
        <w:trPr>
          <w:trHeight w:val="258"/>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76"/>
        </w:trPr>
        <w:tc>
          <w:tcPr>
            <w:tcW w:w="3260" w:type="dxa"/>
            <w:vAlign w:val="bottom"/>
          </w:tcPr>
          <w:p>
            <w:pPr>
              <w:ind w:left="20"/>
              <w:spacing w:after="0"/>
              <w:rPr>
                <w:sz w:val="20"/>
                <w:szCs w:val="20"/>
                <w:color w:val="auto"/>
              </w:rPr>
            </w:pPr>
            <w:r>
              <w:rPr>
                <w:rFonts w:ascii="Arial" w:cs="Arial" w:eastAsia="Arial" w:hAnsi="Arial"/>
                <w:sz w:val="14"/>
                <w:szCs w:val="14"/>
                <w:color w:val="auto"/>
              </w:rPr>
              <w:t>Consumer finance receivables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6"/>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amounts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10,759</w:t>
            </w:r>
          </w:p>
        </w:tc>
      </w:tr>
      <w:tr>
        <w:trPr>
          <w:trHeight w:val="264"/>
        </w:trPr>
        <w:tc>
          <w:tcPr>
            <w:tcW w:w="3260" w:type="dxa"/>
            <w:vAlign w:val="bottom"/>
          </w:tcPr>
          <w:p>
            <w:pPr>
              <w:ind w:left="180"/>
              <w:spacing w:after="0"/>
              <w:rPr>
                <w:sz w:val="20"/>
                <w:szCs w:val="20"/>
                <w:color w:val="auto"/>
              </w:rPr>
            </w:pPr>
            <w:r>
              <w:rPr>
                <w:rFonts w:ascii="Arial" w:cs="Arial" w:eastAsia="Arial" w:hAnsi="Arial"/>
                <w:sz w:val="14"/>
                <w:szCs w:val="14"/>
                <w:color w:val="auto"/>
              </w:rPr>
              <w:t>Weighted-average annual percentage rate</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finance receivables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3260" w:type="dxa"/>
            <w:vAlign w:val="bottom"/>
          </w:tcPr>
          <w:p>
            <w:pPr>
              <w:ind w:left="180"/>
              <w:spacing w:after="0"/>
              <w:rPr>
                <w:sz w:val="20"/>
                <w:szCs w:val="20"/>
                <w:color w:val="auto"/>
              </w:rPr>
            </w:pPr>
            <w:r>
              <w:rPr>
                <w:rFonts w:ascii="Arial" w:cs="Arial" w:eastAsia="Arial" w:hAnsi="Arial"/>
                <w:sz w:val="14"/>
                <w:szCs w:val="14"/>
                <w:color w:val="auto"/>
              </w:rPr>
              <w:t>Principal amounts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554</w:t>
            </w:r>
          </w:p>
        </w:tc>
      </w:tr>
      <w:tr>
        <w:trPr>
          <w:trHeight w:val="276"/>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annual percentage rate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3260" w:type="dxa"/>
            <w:vAlign w:val="bottom"/>
          </w:tcPr>
          <w:p>
            <w:pPr>
              <w:ind w:left="20"/>
              <w:spacing w:after="0"/>
              <w:rPr>
                <w:sz w:val="20"/>
                <w:szCs w:val="20"/>
                <w:color w:val="auto"/>
              </w:rPr>
            </w:pPr>
            <w:r>
              <w:rPr>
                <w:rFonts w:ascii="Arial" w:cs="Arial" w:eastAsia="Arial" w:hAnsi="Arial"/>
                <w:sz w:val="14"/>
                <w:szCs w:val="14"/>
                <w:color w:val="auto"/>
              </w:rPr>
              <w:t>Credit facilities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amounts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r>
      <w:tr>
        <w:trPr>
          <w:trHeight w:val="264"/>
        </w:trPr>
        <w:tc>
          <w:tcPr>
            <w:tcW w:w="3260" w:type="dxa"/>
            <w:vAlign w:val="bottom"/>
          </w:tcPr>
          <w:p>
            <w:pPr>
              <w:ind w:left="180"/>
              <w:spacing w:after="0"/>
              <w:rPr>
                <w:sz w:val="20"/>
                <w:szCs w:val="20"/>
                <w:color w:val="auto"/>
              </w:rPr>
            </w:pPr>
            <w:r>
              <w:rPr>
                <w:rFonts w:ascii="Arial" w:cs="Arial" w:eastAsia="Arial" w:hAnsi="Arial"/>
                <w:sz w:val="14"/>
                <w:szCs w:val="14"/>
                <w:color w:val="auto"/>
              </w:rPr>
              <w:t>Weighted-average interest rate</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Securitization notes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3260" w:type="dxa"/>
            <w:vAlign w:val="bottom"/>
          </w:tcPr>
          <w:p>
            <w:pPr>
              <w:ind w:left="180"/>
              <w:spacing w:after="0"/>
              <w:rPr>
                <w:sz w:val="20"/>
                <w:szCs w:val="20"/>
                <w:color w:val="auto"/>
              </w:rPr>
            </w:pPr>
            <w:r>
              <w:rPr>
                <w:rFonts w:ascii="Arial" w:cs="Arial" w:eastAsia="Arial" w:hAnsi="Arial"/>
                <w:sz w:val="14"/>
                <w:szCs w:val="14"/>
                <w:color w:val="auto"/>
              </w:rPr>
              <w:t>Principal amounts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3,406</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2,324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1,772</w:t>
            </w:r>
          </w:p>
        </w:tc>
        <w:tc>
          <w:tcPr>
            <w:tcW w:w="100" w:type="dxa"/>
            <w:vAlign w:val="bottom"/>
          </w:tcPr>
          <w:p>
            <w:pPr>
              <w:spacing w:after="0"/>
              <w:rPr>
                <w:sz w:val="22"/>
                <w:szCs w:val="22"/>
                <w:color w:val="auto"/>
              </w:rPr>
            </w:pPr>
          </w:p>
        </w:tc>
        <w:tc>
          <w:tcPr>
            <w:tcW w:w="200" w:type="dxa"/>
            <w:vAlign w:val="bottom"/>
          </w:tcPr>
          <w:p>
            <w:pPr>
              <w:jc w:val="center"/>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9,171</w:t>
            </w:r>
          </w:p>
        </w:tc>
      </w:tr>
      <w:tr>
        <w:trPr>
          <w:trHeight w:val="276"/>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interest rate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3260" w:type="dxa"/>
            <w:vAlign w:val="bottom"/>
          </w:tcPr>
          <w:p>
            <w:pPr>
              <w:ind w:left="20"/>
              <w:spacing w:after="0"/>
              <w:rPr>
                <w:sz w:val="20"/>
                <w:szCs w:val="20"/>
                <w:color w:val="auto"/>
              </w:rPr>
            </w:pPr>
            <w:r>
              <w:rPr>
                <w:rFonts w:ascii="Arial" w:cs="Arial" w:eastAsia="Arial" w:hAnsi="Arial"/>
                <w:sz w:val="14"/>
                <w:szCs w:val="14"/>
                <w:color w:val="auto"/>
              </w:rPr>
              <w:t>Senior notes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amounts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1,620</w:t>
            </w:r>
          </w:p>
        </w:tc>
      </w:tr>
      <w:tr>
        <w:trPr>
          <w:trHeight w:val="258"/>
        </w:trPr>
        <w:tc>
          <w:tcPr>
            <w:tcW w:w="3260" w:type="dxa"/>
            <w:vAlign w:val="bottom"/>
          </w:tcPr>
          <w:p>
            <w:pPr>
              <w:ind w:left="180"/>
              <w:spacing w:after="0"/>
              <w:rPr>
                <w:sz w:val="20"/>
                <w:szCs w:val="20"/>
                <w:color w:val="auto"/>
              </w:rPr>
            </w:pPr>
            <w:r>
              <w:rPr>
                <w:rFonts w:ascii="Arial" w:cs="Arial" w:eastAsia="Arial" w:hAnsi="Arial"/>
                <w:sz w:val="14"/>
                <w:szCs w:val="14"/>
                <w:color w:val="auto"/>
              </w:rPr>
              <w:t>Weighted-average interest rate</w:t>
            </w:r>
          </w:p>
        </w:tc>
        <w:tc>
          <w:tcPr>
            <w:tcW w:w="200" w:type="dxa"/>
            <w:vAlign w:val="bottom"/>
          </w:tcPr>
          <w:p>
            <w:pPr>
              <w:spacing w:after="0"/>
              <w:rPr>
                <w:sz w:val="22"/>
                <w:szCs w:val="22"/>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bl>
    <w:p>
      <w:pPr>
        <w:spacing w:after="0" w:line="21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estimates the realization of finance receivables in future periods using discount rate, prepayment and credit loss assumptions similar to its historical experience. Credit facilities and securitization notes payable amounts have been classified based on expected payoff. Senior notes and convertible senior notes principal amounts have been classified based on maturity.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341"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its Directors, and Stockholders: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General Motors Company and subsidiaries (the Company) as of December 31, 2013, based on the criteria established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2013 of the Company and our report dated February 6, 2014 expressed an unqualified opinion on those financial statements and included an explanatory paragraph related to the Company's adoption of a revised accounting standard related to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its Directors, and Stockholders: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audited the accompanying Consolidated Balance Sheets of General Motors Company and subsidiaries (the Company) as of December 31, 2013 and 2012, and the related Consolidated Statements of Income, Comprehensive Income, Cash Flows and Equity for each of the three years in the period ended December 31, 2013. These financial statements are the responsibility of the Company's management. Our responsibility is to express an opinion on the financial statements based on our audits.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General Motors Company and subsidiaries at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adopted amendments in Accounting Standards Update (ASU) 2013-02 to Accounting Standards Codification (ASC)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effective January 1, 2013.</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 xml:space="preserve">As discussed in Note 10 to the consolidated financial statements, the Company adopted amendments in ASU 2010-28 to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effective January 1, 2011.</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February 6, 2014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152,092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148,866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GM Financial</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155,427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150,276</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cost of sales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130,386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Goodwill impairment charges (Note 10)</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1,286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150,296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182,619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144,620</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 (Note 20)</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extinguishment of debt (Note 14)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income and gain on investments (Note 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3,192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expense (benefit) (Note 18)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7,585</w:t>
            </w:r>
          </w:p>
        </w:tc>
      </w:tr>
      <w:tr>
        <w:trPr>
          <w:trHeight w:val="297"/>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(Note 22)</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2.38</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 (Note 21)</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flow hedging gains (losses), net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2,085</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341" w:right="239" w:bottom="1440" w:gutter="0" w:footer="0" w:header="0"/>
          <w:type w:val="continuous"/>
        </w:sectPr>
      </w:pPr>
    </w:p>
    <w:bookmarkStart w:id="68" w:name="page69"/>
    <w:bookmarkEnd w:id="68"/>
    <w:p>
      <w:pPr>
        <w:spacing w:after="0" w:line="8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2013</w:t>
            </w:r>
          </w:p>
        </w:tc>
        <w:tc>
          <w:tcPr>
            <w:tcW w:w="160" w:type="dxa"/>
            <w:vAlign w:val="bottom"/>
          </w:tcPr>
          <w:p>
            <w:pPr>
              <w:spacing w:after="0"/>
              <w:rPr>
                <w:sz w:val="13"/>
                <w:szCs w:val="13"/>
                <w:color w:val="auto"/>
              </w:rPr>
            </w:pPr>
          </w:p>
        </w:tc>
        <w:tc>
          <w:tcPr>
            <w:tcW w:w="1200" w:type="dxa"/>
            <w:vAlign w:val="bottom"/>
          </w:tcPr>
          <w:p>
            <w:pPr>
              <w:jc w:val="right"/>
              <w:ind w:right="129"/>
              <w:spacing w:after="0"/>
              <w:rPr>
                <w:sz w:val="20"/>
                <w:szCs w:val="20"/>
                <w:color w:val="auto"/>
              </w:rPr>
            </w:pPr>
            <w:r>
              <w:rPr>
                <w:rFonts w:ascii="Arial" w:cs="Arial" w:eastAsia="Arial" w:hAnsi="Arial"/>
                <w:sz w:val="12"/>
                <w:szCs w:val="12"/>
                <w:b w:val="1"/>
                <w:bCs w:val="1"/>
                <w:color w:val="auto"/>
                <w:w w:val="90"/>
              </w:rPr>
              <w:t>December 31, 2012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8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20,021</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Marketable securities (Note 5)</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8,972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8,988</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 and marketable securities (Note 5)</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Accounts and notes receivable (net of allowance of $344 and $311; Note 2)</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8,535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 receivables, net (Note 4)(including SPE receivables of $10,001 and $3,444; Note 12)</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14,278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Inventories (Note 6)</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14,039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14,714</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on operating leases, net (Note 7)</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Deferred income taxes (Note 18)</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10,349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9,429</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8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4"/>
                <w:szCs w:val="14"/>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81,501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69,996</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Non-current Assets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Restricted cash and marketable securities (Note 5)</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 receivables, net (Note 4)(including SPE receivables of $11,216 and $6,458; Note 12)</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6,954</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Equity in net assets of nonconsolidated affiliates (Note 8)</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8,094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6,883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net (Note 9)</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25,867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24,196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Goodwill (Note 10)</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1,973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assets, net (Note 11)</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5,668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6,809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GM Financial equipment on operating leases, net (Note 7)(including SPE assets of $1,803 and $540; Note 12)</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3,383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 (Note 18)</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22,736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27,922</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6"/>
                <w:szCs w:val="16"/>
                <w:color w:val="auto"/>
              </w:rPr>
            </w:pP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84,843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79,426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9"/>
              <w:spacing w:after="0"/>
              <w:rPr>
                <w:sz w:val="20"/>
                <w:szCs w:val="20"/>
                <w:color w:val="auto"/>
              </w:rPr>
            </w:pPr>
            <w:r>
              <w:rPr>
                <w:rFonts w:ascii="Arial" w:cs="Arial" w:eastAsia="Arial" w:hAnsi="Arial"/>
                <w:sz w:val="14"/>
                <w:szCs w:val="14"/>
                <w:color w:val="auto"/>
              </w:rPr>
              <w:t>166,344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149,422</w:t>
            </w: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LIABILITIES AND EQUITY</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926" w:orient="portrait"/>
          <w:cols w:equalWidth="0" w:num="1">
            <w:col w:w="11420"/>
          </w:cols>
          <w:pgMar w:left="240" w:top="341" w:right="239" w:bottom="0" w:gutter="0" w:footer="0" w:header="0"/>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payable (principally trade)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Automotive (including certain debt at VIEs of $219 and $228; Note 12)</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 (including certain debt at VIEs of $10,088 and $3,770;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Accrued liabilities (Note 13)</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Non-current Liabilities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Long-term debt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Automotive (including certain debt at VIEs of $23 and $122; Note 12)</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 (including certain debt at VIEs of $9,330 and $5,608;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Postretirement benefits other than pensions (Note 15)</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Pensions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liabilities and deferred income taxes (Note 13)</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Liabilities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Equity (Note 21)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23,621</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25,166</w:t>
            </w:r>
          </w:p>
        </w:tc>
      </w:tr>
      <w:tr>
        <w:trPr>
          <w:trHeight w:val="540"/>
        </w:trPr>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1,748</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13,594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3,770</w:t>
            </w:r>
          </w:p>
        </w:tc>
      </w:tr>
      <w:tr>
        <w:trPr>
          <w:trHeight w:val="276"/>
        </w:trPr>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24,633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23,308</w:t>
            </w:r>
          </w:p>
        </w:tc>
      </w:tr>
      <w:tr>
        <w:trPr>
          <w:trHeight w:val="244"/>
        </w:trPr>
        <w:tc>
          <w:tcPr>
            <w:tcW w:w="44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62,412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53,992</w:t>
            </w:r>
          </w:p>
        </w:tc>
      </w:tr>
      <w:tr>
        <w:trPr>
          <w:trHeight w:val="810"/>
        </w:trPr>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6,573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3,424</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15,452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7,108</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5,897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7,309</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19,483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27,420</w:t>
            </w:r>
          </w:p>
        </w:tc>
      </w:tr>
      <w:tr>
        <w:trPr>
          <w:trHeight w:val="276"/>
        </w:trPr>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13,353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13,169</w:t>
            </w:r>
          </w:p>
        </w:tc>
      </w:tr>
      <w:tr>
        <w:trPr>
          <w:trHeight w:val="250"/>
        </w:trPr>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60,758</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58,430</w:t>
            </w:r>
          </w:p>
        </w:tc>
      </w:tr>
      <w:tr>
        <w:trPr>
          <w:trHeight w:val="244"/>
        </w:trPr>
        <w:tc>
          <w:tcPr>
            <w:tcW w:w="44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123,170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112,422</w:t>
            </w:r>
          </w:p>
        </w:tc>
      </w:tr>
    </w:tbl>
    <w:p>
      <w:pPr>
        <w:spacing w:after="0" w:line="560" w:lineRule="exact"/>
        <w:rPr>
          <w:sz w:val="20"/>
          <w:szCs w:val="20"/>
          <w:color w:val="auto"/>
        </w:rPr>
      </w:pPr>
    </w:p>
    <w:p>
      <w:pPr>
        <w:sectPr>
          <w:pgSz w:w="11900" w:h="16926" w:orient="portrait"/>
          <w:cols w:equalWidth="0" w:num="2">
            <w:col w:w="7860" w:space="720"/>
            <w:col w:w="284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580" w:type="dxa"/>
            <w:vAlign w:val="bottom"/>
          </w:tcPr>
          <w:p>
            <w:pPr>
              <w:ind w:left="120"/>
              <w:spacing w:after="0"/>
              <w:rPr>
                <w:sz w:val="20"/>
                <w:szCs w:val="20"/>
                <w:color w:val="auto"/>
              </w:rPr>
            </w:pPr>
            <w:r>
              <w:rPr>
                <w:rFonts w:ascii="Arial" w:cs="Arial" w:eastAsia="Arial" w:hAnsi="Arial"/>
                <w:sz w:val="14"/>
                <w:szCs w:val="14"/>
                <w:color w:val="auto"/>
              </w:rPr>
              <w:t>Preferred stock, $0.01 par value</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Series A</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5,536</w:t>
            </w:r>
          </w:p>
        </w:tc>
        <w:tc>
          <w:tcPr>
            <w:tcW w:w="0" w:type="dxa"/>
            <w:vAlign w:val="bottom"/>
          </w:tcPr>
          <w:p>
            <w:pPr>
              <w:spacing w:after="0"/>
              <w:rPr>
                <w:sz w:val="1"/>
                <w:szCs w:val="1"/>
                <w:color w:val="auto"/>
              </w:rPr>
            </w:pPr>
          </w:p>
        </w:tc>
      </w:tr>
      <w:tr>
        <w:trPr>
          <w:trHeight w:val="264"/>
        </w:trPr>
        <w:tc>
          <w:tcPr>
            <w:tcW w:w="8580" w:type="dxa"/>
            <w:vAlign w:val="bottom"/>
          </w:tcPr>
          <w:p>
            <w:pPr>
              <w:ind w:left="260"/>
              <w:spacing w:after="0"/>
              <w:rPr>
                <w:sz w:val="20"/>
                <w:szCs w:val="20"/>
                <w:color w:val="auto"/>
              </w:rPr>
            </w:pPr>
            <w:r>
              <w:rPr>
                <w:rFonts w:ascii="Arial" w:cs="Arial" w:eastAsia="Arial" w:hAnsi="Arial"/>
                <w:sz w:val="14"/>
                <w:szCs w:val="14"/>
                <w:color w:val="auto"/>
              </w:rPr>
              <w:t>Series B</w:t>
            </w:r>
          </w:p>
        </w:tc>
        <w:tc>
          <w:tcPr>
            <w:tcW w:w="4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4,855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 $0.01 par value</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1"/>
        </w:trPr>
        <w:tc>
          <w:tcPr>
            <w:tcW w:w="858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44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28,780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23,834</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13,816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10,057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44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(3,113)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(8,052)</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stockholders’ equity</w:t>
            </w:r>
          </w:p>
        </w:tc>
        <w:tc>
          <w:tcPr>
            <w:tcW w:w="4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42,607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36,244</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44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4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43,174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37,000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166,344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149,422</w:t>
            </w:r>
          </w:p>
        </w:tc>
        <w:tc>
          <w:tcPr>
            <w:tcW w:w="0" w:type="dxa"/>
            <w:vAlign w:val="bottom"/>
          </w:tcPr>
          <w:p>
            <w:pPr>
              <w:spacing w:after="0"/>
              <w:rPr>
                <w:sz w:val="1"/>
                <w:szCs w:val="1"/>
                <w:color w:val="auto"/>
              </w:rPr>
            </w:pPr>
          </w:p>
        </w:tc>
      </w:tr>
    </w:tbl>
    <w:p>
      <w:pPr>
        <w:sectPr>
          <w:pgSz w:w="11900" w:h="16926" w:orient="portrait"/>
          <w:cols w:equalWidth="0" w:num="1">
            <w:col w:w="11420"/>
          </w:cols>
          <w:pgMar w:left="240" w:top="341" w:right="239" w:bottom="0" w:gutter="0" w:footer="0" w:header="0"/>
          <w:type w:val="continuous"/>
        </w:sectPr>
      </w:pPr>
    </w:p>
    <w:bookmarkStart w:id="69" w:name="page70"/>
    <w:bookmarkEnd w:id="69"/>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5594350</wp:posOffset>
            </wp:positionH>
            <wp:positionV relativeFrom="page">
              <wp:posOffset>234950</wp:posOffset>
            </wp:positionV>
            <wp:extent cx="18097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26035"/>
                    </a:xfrm>
                    <a:prstGeom prst="rect">
                      <a:avLst/>
                    </a:prstGeom>
                    <a:noFill/>
                  </pic:spPr>
                </pic:pic>
              </a:graphicData>
            </a:graphic>
          </wp:anchor>
        </w:drawing>
        <w:t>Reference should be made to the notes to consolidated financial statements.</w:t>
      </w:r>
    </w:p>
    <w:p>
      <w:pPr>
        <w:sectPr>
          <w:pgSz w:w="11900" w:h="16838" w:orient="portrait"/>
          <w:cols w:equalWidth="0" w:num="1">
            <w:col w:w="9019"/>
          </w:cols>
          <w:pgMar w:left="1440" w:top="598"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019"/>
          </w:cols>
          <w:pgMar w:left="1440" w:top="598" w:right="1440"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5,331</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6,136</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9,287</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impairment charges and amortization expense</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8,041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38,762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7,427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remeasurement and transaction losses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Amortization of discount and issuance costs on debt issues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Undistributed earnings of nonconsolidated affiliates and gain on investments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Pension contributions and OPEB payments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OPEB (income) expense, net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(Gains) losses on extinguishment of debt</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(benefit) for deferred taxes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Change in other operating assets and liabilities (Note 26)</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(4,122)</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12,630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10,605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8,166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Expenditures for property</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(7,565)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(8,068)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(6,249)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(20,535)</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(6,234)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(6,571)</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15,825</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6,538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7,267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4,821</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1,526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and funding of finance receivables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(30,727)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27,444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4,674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3,719</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Pr>
          <w:p>
            <w:pPr>
              <w:spacing w:after="0"/>
              <w:rPr>
                <w:sz w:val="14"/>
                <w:szCs w:val="14"/>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(14,362)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(12,740)</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30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28,041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9,034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(20,191)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(7,377)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(8,468)</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purchase stock</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 (including charge related to purchase of Series A Preferred Stock)</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74"/>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(5,185)</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16,071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21,256</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20,021</w:t>
            </w:r>
          </w:p>
        </w:tc>
        <w:tc>
          <w:tcPr>
            <w:tcW w:w="10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18,422</w:t>
            </w:r>
          </w:p>
        </w:tc>
        <w:tc>
          <w:tcPr>
            <w:tcW w:w="12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100"/>
        </w:trPr>
        <w:tc>
          <w:tcPr>
            <w:tcW w:w="74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4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Significant Non-cash Activity</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Investing Cash Flows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property additions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3,224</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3,689</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Financing Cash Flows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of common stock to U.S. hourly and salaried pension plans (Note 15)</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180"/>
              <w:spacing w:after="0"/>
              <w:rPr>
                <w:sz w:val="20"/>
                <w:szCs w:val="20"/>
                <w:color w:val="auto"/>
              </w:rPr>
            </w:pPr>
            <w:r>
              <w:rPr>
                <w:rFonts w:ascii="Arial" w:cs="Arial" w:eastAsia="Arial" w:hAnsi="Arial"/>
                <w:sz w:val="14"/>
                <w:szCs w:val="14"/>
                <w:color w:val="auto"/>
              </w:rPr>
              <w:t>Notes issued to settle CAW hourly retiree healthcare plan (Note 15)</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Mandatory conversion of Series B Preferred Stock into common stock (Note 21)</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4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341" w:right="239" w:bottom="0" w:gutter="0" w:footer="0" w:header="0"/>
          <w:type w:val="continuous"/>
        </w:sectPr>
      </w:pPr>
    </w:p>
    <w:bookmarkStart w:id="71" w:name="page72"/>
    <w:bookmarkEnd w:id="7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44"/>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Series A</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Series B</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December 31, 2010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5,536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24,257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979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37,159</w:t>
            </w:r>
          </w:p>
        </w:tc>
      </w:tr>
      <w:tr>
        <w:trPr>
          <w:trHeight w:val="148"/>
        </w:trPr>
        <w:tc>
          <w:tcPr>
            <w:tcW w:w="3340" w:type="dxa"/>
            <w:vAlign w:val="bottom"/>
          </w:tcPr>
          <w:p>
            <w:pPr>
              <w:ind w:left="40"/>
              <w:spacing w:after="0" w:line="148" w:lineRule="exact"/>
              <w:rPr>
                <w:sz w:val="20"/>
                <w:szCs w:val="20"/>
                <w:color w:val="auto"/>
              </w:rPr>
            </w:pPr>
            <w:r>
              <w:rPr>
                <w:rFonts w:ascii="Arial" w:cs="Arial" w:eastAsia="Arial" w:hAnsi="Arial"/>
                <w:sz w:val="13"/>
                <w:szCs w:val="13"/>
                <w:color w:val="auto"/>
                <w:w w:val="94"/>
              </w:rPr>
              <w:t>Effect of adoption of amendments in ASU 2010-28 regarding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8"/>
        </w:trPr>
        <w:tc>
          <w:tcPr>
            <w:tcW w:w="3340" w:type="dxa"/>
            <w:vAlign w:val="bottom"/>
          </w:tcPr>
          <w:p>
            <w:pPr>
              <w:ind w:left="200"/>
              <w:spacing w:after="0"/>
              <w:rPr>
                <w:sz w:val="20"/>
                <w:szCs w:val="20"/>
                <w:color w:val="auto"/>
              </w:rPr>
            </w:pPr>
            <w:r>
              <w:rPr>
                <w:rFonts w:ascii="Arial" w:cs="Arial" w:eastAsia="Arial" w:hAnsi="Arial"/>
                <w:sz w:val="13"/>
                <w:szCs w:val="13"/>
                <w:color w:val="auto"/>
              </w:rPr>
              <w:t>goodwill impairment (Note 10)</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(1,466)</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9,287</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(7,115)</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noncontrolling interest shares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11</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Pension plan stock contribution (Note 15)</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1,864</w:t>
            </w:r>
          </w:p>
        </w:tc>
      </w:tr>
      <w:tr>
        <w:trPr>
          <w:trHeight w:val="156"/>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Cash dividends on Series A Preferred Stock and cumulative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6"/>
        </w:trPr>
        <w:tc>
          <w:tcPr>
            <w:tcW w:w="3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dividends on Series B Preferred Stock</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Dividends declared or paid to noncontrolling interest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r>
      <w:tr>
        <w:trPr>
          <w:trHeight w:val="242"/>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Balance December 31, 2011</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5,536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26,391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7,183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(5,861)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871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38,991</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6,136</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Other comprehensive income (loss)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(2,180)</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and retirement of common stock</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(5,109)</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w w:val="99"/>
              </w:rPr>
              <w:t>Conversion of Series B Preferred Stock to common stock</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156"/>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Cash dividends on Series A Preferred Stock and cumulative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6"/>
        </w:trPr>
        <w:tc>
          <w:tcPr>
            <w:tcW w:w="3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dividends on Series B Preferred Stock</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Dividends declared or paid to noncontrolling interest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r>
      <w:tr>
        <w:trPr>
          <w:trHeight w:val="242"/>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Balance December 31, 2012</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5,536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23,834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10,057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(8,052)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37,000</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5,331</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Other comprehensive income (loss)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4,939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4,921</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and cancellation of Series A Preferred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Exercise of common stock warrants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w w:val="99"/>
              </w:rPr>
              <w:t>Conversion of Series B Preferred Stock to common stock</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4,854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Cash dividends paid on Series A Preferred Stock, charge related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35"/>
        </w:trPr>
        <w:tc>
          <w:tcPr>
            <w:tcW w:w="33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4"/>
              </w:rPr>
              <w:t>to purchase of Series A Preferred Stock and dividends on</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76"/>
        </w:trPr>
        <w:tc>
          <w:tcPr>
            <w:tcW w:w="3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Series B Preferred Stock</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Dividends declared or paid to noncontrolling interest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72"/>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242"/>
        </w:trPr>
        <w:tc>
          <w:tcPr>
            <w:tcW w:w="3340" w:type="dxa"/>
            <w:vAlign w:val="bottom"/>
          </w:tcPr>
          <w:p>
            <w:pPr>
              <w:ind w:left="40"/>
              <w:spacing w:after="0"/>
              <w:rPr>
                <w:sz w:val="20"/>
                <w:szCs w:val="20"/>
                <w:color w:val="auto"/>
              </w:rPr>
            </w:pPr>
            <w:r>
              <w:rPr>
                <w:rFonts w:ascii="Arial" w:cs="Arial" w:eastAsia="Arial" w:hAnsi="Arial"/>
                <w:sz w:val="13"/>
                <w:szCs w:val="13"/>
                <w:b w:val="1"/>
                <w:bCs w:val="1"/>
                <w:color w:val="auto"/>
              </w:rPr>
              <w:t>Balance December 31, 2013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28,780</w:t>
            </w:r>
          </w:p>
        </w:tc>
        <w:tc>
          <w:tcPr>
            <w:tcW w:w="120" w:type="dxa"/>
            <w:vAlign w:val="bottom"/>
          </w:tcPr>
          <w:p>
            <w:pPr>
              <w:spacing w:after="0"/>
              <w:rPr>
                <w:sz w:val="21"/>
                <w:szCs w:val="21"/>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13,816</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567</w:t>
            </w:r>
          </w:p>
        </w:tc>
        <w:tc>
          <w:tcPr>
            <w:tcW w:w="120" w:type="dxa"/>
            <w:vAlign w:val="bottom"/>
          </w:tcPr>
          <w:p>
            <w:pPr>
              <w:spacing w:after="0"/>
              <w:rPr>
                <w:sz w:val="21"/>
                <w:szCs w:val="21"/>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43,174</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General Motors Company was formed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through a Section 363 sale under Chapter 11 of the U.S. Bankruptcy Code (363 Sale) and changed its name to General Motors Company, is sometimes referred to in these consolidated financial statements for the periods on or subsequent to July 10, 2009 as “we,” “our,” “us,” “ourselves,” the “Company,” “General Motors,” or “GM.” General Motors Corporation is sometimes referred to in these consolidated financial statements, for the periods on or before July 9, 2009, as “Old GM” as it is the predecessor entity solely for accounting and financial reporting purposes. Old GM was renamed Motors Liquidation Company (MLC), which was dissolved on December 15, 2011 and transferred its remaining assets and liabilities to the Motors Liquidation Company GUC Trust (GUC Trust).</w:t>
      </w:r>
    </w:p>
    <w:p>
      <w:pPr>
        <w:spacing w:after="0" w:line="1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 We analyze the results of our business through our five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consolidated financial statements include our accounts and those of our subsidiaries that we control due to ownership of a majority voting interest and our consolidated variable interest entities (VIEs) of which we are the primary beneficiary. We continually evaluate our involvement with VIEs to determine whether we have variable interests and are the primary beneficiary of the VIE. When these criteria are met, we are required to consolidate the VIE. Our share of earnings or losses of nonconsolidated affiliates is included in our consolidated operating results using the equity method of accounting when we are able to exercise significant influence over the operating and financial decisions of the affiliate. We use the cost method of accounting if we are not able to exercise significant influence over the operating and financial decisions of the affiliate. All intercompany balances and transactions have been eliminated in consolidation.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Certain prior year amounts were reclassified to conform to our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amounts presented for GM Financial have been adjusted to include the effect of our tax attributes on GM Financial's deferred tax positions and provision for income taxes since the date of acquisition,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accounting policies which follow are utilized by our automotive and automotive financing operations, unless otherwise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4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Automotive net sales and revenue are primarily composed of revenue generated from the sale of vehicles. Vehicle sales are recorded when title and all risks and rewards of ownership have passed to our customers. For the majority of our automotive sales this occurs when a vehicle is released to the carrier responsible for transporting to a dealer and when collectability is reasonably assured. Vehicle sales are recorded when the vehicle is delivered to the dealer in most remaining cases. Provisions for recurring dealer and customer sales and leasing incentives, consisting of allowances and rebates, are recorded as reductions to Automotive net sales and revenue at the time of vehicle sales. All other incentives, allowances and rebates related to vehicles previously sold are recorded as reductions to Automotive net sales and revenue when announced.</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Vehicle sales to daily rental car companies with guaranteed repurchase obligations are accounted for as operating leases. Estimated lease revenue is recorded ratably over the estimated term of the lease based on the difference between net sales proceeds and the guaranteed repurchase amount. The difference between the cost of the vehicle and estimated residual value is depreciated on a straight-line basis over the estimated term of the lease.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Finance income earned on receivables is recognized using the effective interest method for consumer financing receivables and accrual method for commercial financing receivables. Fees and commissions (including incentive payments) received and direct costs of originating loans are deferred and amortized over the term of the related finance receivables using the effective interest method and are removed from the consolidated balance sheets when the related finance receivables are sold, charged off or paid in full. Accrual of finance charge income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 Expenditures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Advertising and promotion expenditures, which are expensed as incurred, were $5.5 billion, $5.4 billion and $5.2 billion in the years ended December 31, 2013, 2012 and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Research and development expenditures, which are expensed as incurred, were $7.2 billion, $7.4 billion and $8.1 billion in the years ended December, 31 2013, 2012 and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equivalents are defined as short-term, highly-liquid investments with original maturities of 90 days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in our allowance for doubtful accounts and notes receivable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60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Amounts charged (credited) to costs and expenses</w:t>
            </w:r>
          </w:p>
        </w:tc>
        <w:tc>
          <w:tcPr>
            <w:tcW w:w="2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2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6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70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Financial instruments are transferred in and/or out of Level 1, 2 or 3 at the beginning of the accounting period in which there is a change in the valuation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classify marketable securities as available-for-sale or trading. Various factors, including turnover of holdings and investment guidelines, are considered in determining the classification of securities. Available-for-sale securities are recorded at fair value with unrealized gains and losses recorded net of related income taxes in Accumulated other comprehensive loss until realized. Trading securities are recorded at fair value with changes in fair value recorded in Interest income and other non-operating income, net. We determine realized gains and losses for all securities using the specific identification method.</w:t>
      </w:r>
    </w:p>
    <w:p>
      <w:pPr>
        <w:spacing w:after="0" w:line="154"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We measure the fair value of our marketable securities using a market approach where identical or comparable prices are available and an income approach in other cases. Securities are classified in Level 1 when quoted prices in an active market for identical securities are available. If quoted market prices are not available, fair values of securities are determined using prices from a pricing service, pricing models, quoted prices of securities with similar characteristics or discounted cash flow models and are generally classified in Level 2. These prices represent non-binding quotes. U.S. government and agency securities, sovereign debt and corporate debt securities are classified in Level 2. Our pricing service utilizes industry-standard pricing models that consider various inputs, including benchmark yields, reported trades, broker/dealer quotes, issuer spreads and benchmark securities as well as other relevant economic measures. We conduct an annual review of our pricing service. This review includes discussion and analysis of the inputs used by the pricing service to provide prices for the types of securities we hold. These inputs include prices for comparable securities, bid/ask quotes, interest rate yields and prepayment speeds. Based on our review we believe the prices received from our pricing service are a reliable representation of exit prices. Securities are classified in Level 3 in certain cases where there are unobservable inputs to the valuation in the marketplace. Level 3 financial instruments typically include, in addition to the unobservable inputs, observable components that are validated to external sources.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securities are other-than-temporary. Factors considered in determining whether a loss on a marketable security is other-than-temporary include: (1) the length of time and extent to which the fair value has been below cost; (2) the financial condition and near-term prospects of the issuer; and (3) the intent to sell or likelihood to be forced to sell the security before any anticipated recovery.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As the result of our October 2010 acquisition of GM Financial and GM Financial's acquisition of the Ally Financial, Inc. (Ally Financial) international operations, finance receivables are reported in two portfolios: pre-acquisition and post-acquisition portfolios. The pre-acquisition finance receivables portfolio consists of finance receivables that were considered to have had deterioration in credit quality at the time they were acquired with the acquisition of GM Financial or the acquisition of the Ally Financial international operations. The pre-acquisition portfolio will decrease over time with the amortization of the acquired receivables. The post-acquisition finance receivables portfolio consists of finance receivables that were considered to have had no deterioration in credit quality at the time they were acquired with the acquisition of the Ally Financial international operations and finance receivables originated since the acquisitions of GM Financial and the Ally Financial international operations. The post-acquisition portfolio is expected to grow over time as GM Financial originates new receivables.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Pre-Acquisition Consumer Finance Receivables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the time of acquisitions the receivables were recorded at fair value. The pre-acquisition finance receivables were acquired at a discount, which contains two components: a non-accretable difference and an accretable yield. The accretable yield is recorded as finance charge income over the life of the acquired receivables.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Any deterioration in the performance of the pre-acquisition finance receivables from their expected performance will result in an incremental provision for loan losses. Improvements in the performance of the pre-acquisition finance receivables will result first in the reversal of any incremental related allowance for loan losses and then in a transfer of the excess from the non-accretable difference to accretable yield, which will be recorded as finance charge income over the remaining life of the receivables.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Post-Acquisition Consumer Finance Receivables and Allowance for Loan Losses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Post-acquisition finance receivables originated since the acquisitions of GM Financial and the Ally Financial international operations are carried at amortized cost, net of allowance for loan losses.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component of the allowance for consumer finance receivables that are collectively evaluated for impairment is based on a statistical calculation supplemented by management judgment. GM Financial uses a combination of forecasting models to determine the allowance for loan losses. Factors that are considered when estimating the allowance include loss confirmation period, historical delinquency migration to loss, probability of default and loss given default. The loss confirmation period is a key assumption within the models, which represents the average amount of time between when a loss event first occurs to when the receivable is charged-off.</w:t>
      </w:r>
    </w:p>
    <w:p>
      <w:pPr>
        <w:spacing w:after="0" w:line="188"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Consumer finance receivables that become classified as troubled debt restructurings (TDRs) are separately assessed for impairment. A specific allowance is estimated based on the present value of the expected future cash flows of the receivable discounted at the loan's original effective interest rate.</w:t>
      </w:r>
    </w:p>
    <w:p>
      <w:pPr>
        <w:spacing w:after="0" w:line="12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finance receivables acquired with Ally Financial international operations that were considered to have no deterioration in credit quality at the time of acquisition were recorded at fair value. The purchase discount will accrete to income over the life of the receivables, based on contractual cash flows, using the effective interest method. Provisions for loan losses are charged to operations in amounts equal to net credit losses for the period. Any subsequent deterioration in the performance of the acquired receivables will result in an incremental provision for loan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Inventories are stated at the lower of cost or market. Market, which represents selling price less cost to sell, considers general market and economic conditions, periodic reviews of current profitability of vehicles, product warranty costs and the effect of current and expected incentive offers at the balance sheet date. Market for off-lease and other vehicles is current auction sales proceeds less disposal and warranty costs. Productive material, work in process, supplies and service parts are reviewed to determine if inventory quantities are in excess of forecasted usage or if they have become obsolete.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on Operating Leases, net</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Equipment on operating leases, net is reported at cost, less accumulated depreciation, net of origination fees or costs, and lease incentives. Estimated income from operating lease assets, which includes lease origination fees, net of lease origination costs, is recorded as operating lease revenue on a straight-line basis over the term of the lease agreement. Leased vehicles are depreciated on a straight-line basis to an estimated residual value over the term of the lease agreements.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have significant investments in vehicles in operating lease portfolios, which are composed of vehicle leases to retail customers with lease terms of up to 60 months and vehicles leased to rental car companies with lease terms that average eight months or less. We are exposed to changes in the residual values of those assets. For impairment purposes the residual values represent estimates of the values of the vehicles leased at the end of the lease contracts and are determined based on forecasted auction proceeds when there is a reliable basis to make such a determination. Realization of the residual values is dependent on the future ability to market the vehicles under the prevailing market conditions. The adequacy of the estimate of the residual value is evaluated over the life of the lease and adjustments may be made to the extent the expected value of the vehicle at lease termination changes. Adjustments may be in the form of revisions to the depreciation rate or recognition of an impairment charge. Impairment is determined to exist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expected future cash flows, which include estimated residual values, are lower than the carrying amount of the vehicles leased. If the carrying amount is considered impaired, an impairment charge is recorded for the amount by which the carrying amount exceeds the fair value. Fair value is determined primarily using the anticipated cash flows, including estimated residual values.</w:t>
      </w:r>
    </w:p>
    <w:p>
      <w:pPr>
        <w:spacing w:after="0" w:line="18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In our Automotive operations when a leased vehicle is returned the asset is reclassified from Equipment on operating leases, net to Inventories at the lower of cost or estimated selling price, less cost to sell. In our Automotive Finance operations when a leased vehicle is returned or repossessed the asset is recorded in Other assets at the lower of cost or estimated selling price, less costs to sell. Upon disposition a gain or loss is recorded for any difference between the net book value of the leased asset and the proceeds from the disposition of the asset.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Impairment charges related to Equipment on operating leases, net are recorded in Automotive cost of sales or GM Financial operating and other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Cost and Equity Method Investments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When events and circumstances warrant, investments accounted for under the cost or equity method of accounting are evaluated for impairment. An impairment charge is recorded whenever a decline in value of an investment below its carrying amount is determined to be other-than-temporary. In determining if a decline is other-than-temporary, factors such as the length of time and extent to which the fair value of the investment has been less than the carrying amount of the investment, the near-term and longer-term operating and financial prospects of the affiliate and the intent and ability to hold the investment for a period of time sufficient to allow for any anticipated recovery are considered. Impairment charges related to equity method investments are recorded in Equity income and gain on investments. Impairment charges related to cost method investments are recorded in Interest income and other non-operating income,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net</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Property, plant and equipment, including internal use software, is recorded at cost. Major improvements that extend the useful life or add functionality of property are capitalized. The gross amount of assets under capital leases is included in property, plant and equipment. Expenditures for repairs and maintenance are charged to expense as incurred. We depreciate all depreciable property using the straight-line method. Leasehold improvements are amortized over the period of lease or the life of the asset, whichever is shorter. The amortization of the assets under capital leases is included in depreciation expense. Upon retirement or disposition of property, plant and equipment, the cost and related accumulated depreciation are removed from the accounts and any resulting gain or loss is recorded in earnings. Impairment charges related to property are recorded in Automotive cost of sales, Automotive selling, general and administrative expense or GM Financial operating and other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Tools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Special tools represent product-specific powertrain and non-powertrain related tools, dies, molds and other items used in the vehicle manufacturing process. Expenditures for special tools are recorded at cost and are capitalized. We amortize all non-powertrain special tools over their estimated useful lives using an accelerated amortization method. We amortize powertrain special tools over their estimated useful lives using the straight-line method. Impairment charges related to special tools are recorded in Automotive cost of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Goodwill arises from the application of fresh-start reporting and acquisitions accounted for as business combinations. Goodwill is tested for impairment for all reporting units on an annual basis during the fourth quarter, or more frequently if events occur or circumstances change that would warrant such a review. When the fair value of a reporting unit falls below its carrying amount an impairment charge is recorded for the amount, if any, by which the carrying amount of goodwill exceeds its implied fair value. Fair values of reporting units are established using a discounted cash flow method. Where available and as appropriate, comparative market multiples and the quoted market price for our common stock are used to corroborate the results of the discounted cash flow method. Our reporting units are GMNA and GME and various reporting units within the GMIO, GMSA and GM Financial segments. Due to the integrated nature of our manufacturing operations and the sharing of assets, other resources and vehicle platforms among brands within GMNA and GME and because financial information by brand or country is not discrete below the operating segment level, GMNA and GME do not contain reporting units below the operating segment level. GMIO, GMSA and GM Financial are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less integrated given the lack of regional trade pacts and other unique geographical differences and thus contain separate reporting units below the operating segment level. Goodwill would be reassigned on a relative-fair-value basis to a portion of a reporting unit to be disposed of or upon the reorganization of the composition of one or more of our reporting units, unless the reporting unit was never integrated.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Intangible assets, excluding Goodwill, primarily include brand names (including defensive intangibles associated with discontinued brands), technology and intellectual property, customer relationships and dealer networks.</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Intangible assets are amortized on a straight-line or an accelerated method of amortization over their estimated useful lives. An accelerated amortization method reflecting the pattern in which the asset will be consumed is utilized if that pattern can be reliably determined. We consider the period of expected cash flows and underlying data used to measure the fair value of the intangible assets when selecting a useful life. Impairment charges related to intangible assets are recorded in Automotive selling, general and administrative expense or Automotive cost of sales.</w:t>
      </w:r>
    </w:p>
    <w:p>
      <w:pPr>
        <w:spacing w:after="0" w:line="17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Amortization of developed technology and intellectual property is recorded in Automotive cost of sales. Amortization of brand names, customer relationships and our dealer networks is recorded in Automotive selling, general and administrative expense or GM Financial operating and other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carrying amount of long-lived assets and finite-lived intangible assets to be held and used in the business are evaluated for impairment when events and circumstances warrant. If the carrying amount of a long-lived asset group is considered impaired, a loss is recorded based on the amount by which the carrying amount exceeds fair value. Product-specific long-lived asset groups are tested for impairment at the platform or vehicle line level and consider their geographical location. Non-product specific long-lived assets are tested for impairment on a reporting unit basis in GMNA and GME and tested at or within our various reporting units within our GMIO, GMSA and GM Financial segments. Fair value is determined using either the market or sales comparison approach, cost approach or anticipated cash flows discounted at a rate commensurate with the risk involved. Long-lived assets to be disposed of other than by sale are considered held for use until disposition. Product-specific assets may become impaired as a result of declines in profitability due to changes in volume, pricing or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Attribution, Methods and Assumptions</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cost of benefits provided by defined benefit pension plans is recorded in the period employees provide service. The cost of pension plan amendments that provide for benefits already earned by plan participants is amortized over the expected period of benefit which may be: (1) the duration of the applicable collective bargaining agreement specific to the plan; (2) expected future working lifetime; or (3) the life expectancy of the plan participants.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 or the period to the plan's termination date for a plan which provides legal services.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discount rate assumption is established for each of the retirement-related benefit plans at their respective measurement dates. In the U.S. we use a cash flow matching approach that uses projected cash flows matched to spot rates along a high quality corporate yield curve to determine the present value of cash flows to calculate a single equivalent discount rate.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benefit obligation for pension plans in Canada, the United Kingdom and Germany represents 92% of the non-U.S. pension benefit obligation at December 31, 2013. The discount rates for plans in Canada, the United Kingdom and Germany are determined using a cash flow matching approach, similar to the U.S. approach.</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countries other than the U.S., Canada, the United Kingdom and those located in the Eurozone discount rates are established depending on the local financial markets, using a high quality yield curve based on local bonds, a yield curve adjusted to reflect local conditions or local actuarial standards.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Plan Asset Valuation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 and Other Short-Term Investments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Money market funds and other similar short-term investment funds are valued using the net asset value per share (NAV). Prices for short-term debt securities are received from independent pricing services or from dealers who make markets in such securities. Independent pricing services utilize matrix pricing which considers readily available inputs such as the yield or price of bonds of comparable quality, coupon, maturity and type as well as dealer supplied prices. Money market mutual funds which provide investors with the ability to redeem their interests on a daily basis and for which NAVs are publicly available are classified in Level 1. Other cash equivalents and short-term investments are classified in Level 2.</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Common and Preferred Stock</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Common and preferred stock for which market prices are readily available at the measurement date are valued at the last 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among others, the use of adjusted market prices last available, bids or last available sales prices and/or other observable inputs and are classified in Level 2. Common and preferred stock classified in Level 3 are those privately issued securities or other issues that are valued via the use of valuation models using significant unobservable inputs that generally consider among others, aged (stale) pricing, earnings multiples, discounted cash flows and/or other qualitative and quantitative factors.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Fixed Income Securities</w:t>
      </w:r>
    </w:p>
    <w:p>
      <w:pPr>
        <w:spacing w:after="0" w:line="2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Fixed income securities are valued based on quotations received from independent pricing services or from dealers who make markets in such securities. Debt securities which are priced via the use of pricing services that utilize matrix pricing which considers readily observable inputs such as the yield or price of bonds of comparable quality, coupon, maturity and type as well as dealer supplied prices, are classified in Level 2. Fixed income securities within this category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Funds, Private Equity and Debt Investments and Real Estate Investments</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Investments in exchange traded funds, real estate investment trusts and mutual funds, for which market quotations are generally readily available, are valued at the last reported sale price, official closing price or publicly available NAV (or its equivalent) on the primary market or exchange on which they are traded and are classified in Level 1. Investments in private investment funds (including hedge funds, private equity funds and real estate funds) are generally valued based on their respective NAV (or its equivalent), as a practical expedient to estimate fair value due to the absence of readily available market prices. Investments in private investment funds, which may be fully redeemed at NAV in the near-term are generally classified in Level 2. Investments in funds, which may not be fully redeemed at NAV in the near-term, are generally classified in Level 3.</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Direct investments in private equity, private debt and real estate securities, are generally valued in good faith via the use of the market approach (earnings multiples from comparable companies) or the income approach (discounted cash flow techniques), and consider inputs such as revenue growth and gross margin assumptions, discount rates, discounts for lack of liquidity, market capitalization rates, and the selection of comparable companies. As these valuations incorporate significant unobservable inputs they are classified in Level 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Fair value estimates for private investment funds, private equity, private debt and real estate investments are provided by the respective investment sponsors or investment advisers and are subsequently reviewed and approved by management. In the event management concludes a reported NAV or fair value estimate (collectively, external valuation)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to the composition or performance of the underlying investments or comparable investments, overall market conditions, expected sale prices for private investments which are probable of being sold in the short term and other economic factors that may possibly have a favorable or unfavorable effect on the reported external valuation.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Exchange traded derivatives, such as options and futures, for which market quotations are readily available, are valued at the last reported sale price or official closing price on the primary market or exchange on which they are traded and are classified in Level 1. Over-the-counter derivatives, including but not limited to swaps, swaptions and forwards, which are typically valued through independent pricing services with observable inputs are generally classified in Level 2. Swaps that are cleared by clearinghouses or exchanges are valued with the prices provided by those venues and are generally classified in Level 2. Derivatives classified in Level 3 are typically valued via the use of pricing models which incorporate significant unobservable inputs, but may also include derivatives which are valued with the use of significant observable inputs which are not subject to corroboration. The inputs part of the model based valuations may include extrapolated or model-derived assumptions such as volatilities, yield and credit spread assumptions.</w:t>
      </w:r>
    </w:p>
    <w:p>
      <w:pPr>
        <w:spacing w:after="0" w:line="17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Due to the lack of timely available market information for certain investments in the asset classes described above as well as the inherent uncertainty of valuation, reported fair values may differ from fair values that would have been used had timely available market information been available.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 Security Programs and Extended Disability Benefits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job security programs to provide International Union, United Automobile, Aerospace and Agriculture Implement Workers of America (UAW) and Canadian Auto Workers Union (CAW) employees reduced wages and continued coverage under certain employee benefit programs depending on the employee's classification as well as the number of years of service that the employee has accrued. We also provide extended disability benefits for employees currently disabled and those in the active workforce who may become disabled in the form of income replacement, healthcare costs and life insurance premiums.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recognize a liability for job security programs and extended disability benefits over the expected service period using measurement provisions similar to those used to measure our other postretirement benefits (OPEB) obligations based on our best estimate of the probable liability at the measurement date. We record actuarial gains and losses immediately in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measure and record compensation expense for all share-based payment awards based on the award's estimated fair value which is the fair value of our common stock on the date of grant, or for restricted stock units (RSUs) granted prior to our public offering, the fair value of our common stock as of the date of the public offering. We record compensation cost for the awards on a straight-line basis over the entire vesting period, or for retirement eligible employees over the requisite service period. Salary stock awards granted are fully vested and nonforfeitable upon grant; therefore, compensation cost is recorded on the date of grant. The liability for stock incentive plan awards settled in cash is remeasured to fair value at the end of each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Product Warranty and Recall Campaigns</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estimated costs related to policy and product warranties are accrued at the time products are sold and are charged to Automotive cost of sales. These estimates are established using historical information on the nature, frequency and average cost of claims of each vehicle line or each model year of the vehicle line and assumptions about future activity and events. Revisions are made when necessary based on changes in these factors. Trends of claims are actively studied and actions are taken to improve vehicle quality and minimize claims. The estimated costs related to product recalls based on a formal campaign soliciting return of that product are accrued when they are deemed to be probable and can be reasonably estimated.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liability method is used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recorded in the results of operations in the period that includes the enactment date under the law.</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Deferred income tax assets are evaluated quarterly to determine if valuation allowances are required or should be adjusted. 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w:t>
      </w:r>
    </w:p>
    <w:p>
      <w:pPr>
        <w:spacing w:after="0" w:line="17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based on the technical merits of the position; and (2) for those tax positions that meet the more likely than not recognition, we recognize the largest amount of tax benefit that is greater than 50% likely to be realized upon ultimate settlement with the related tax authority. We record interest and penalties on uncertain tax positions in Income tax expense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 and Translation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assets and liabilities of foreign subsidiaries that use the local currency as their functional currency 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cost of sales and GM Financial operating and other expenses unless related to Automotive debt, which are recorded in Interest income and other non-operating income, net. Foreign currency transaction and remeasurement losses were $350 million, $117 million and $55 million in the years ended December 31, 2013, 2012 and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January 1, 2013 we adopted Accounting Standards Update (ASU) 2013-02, “Reporting of Amounts Reclassified Out of Accumulated Other Comprehensive Income." This ASU does not change current requirements for reporting net income or other comprehensive income (OCI) in financial statements; rather, it requires certain disclosures of the amount of reclassifications of items from OCI to net income by component. The related disclosures are presented in Note 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July 2013 the FASB issued ASU 2013-11, “Presentation of an Unrecognized Tax Benefit When a Net Operating Loss Carryforward, a Similar Tax Loss, or a Tax Credit Carryforward Exists” to eliminate diversity in practice. This ASU requires that companies net their unrecognized tax benefits against all same-jurisdiction net operating losses or tax credit carryforwards that would be used to settle the position with a tax authority. This new guidance is effective prospectively for annual reporting periods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on or after December 15, 2013 and interim periods therein. The adoption of this ASU will not have a material effect on our consolidated financial statements because it aligns with our current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Ally Financial International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November 2012 GM Financial entered into a definitive agreement with Ally Financial to acquire 100% of the outstanding equity interests in the top level holding companies of its automotive finance and financial services operations in Europe and Latin America and a separate agreement to acquire Ally Financial’s non-controlling equity interest in GMAC-SAIC Automotive Finance Company Limited (GMAC-SAIC), which conducts automotive finance and other financial services in China.</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On April 1, 2013 GM Financial completed the acquisition of Ally Financial's European and Latin American automotive finance operations except for France, Portugal and Brazil; on June 1, 2013 it completed the acquisition of Ally Financial's automotive finance operations in France and Portugal; and on October 1, 2013 it completed the acquisition of Ally Financial's automotive finance operations in Brazil. The aggregate consideration for these acquisitions was $3.3 billion, subject to certain closing adjustments. Acquisition-related costs were insignificant. In addition GM Financial repaid loans of $1.4 billion that were assumed as part of the acquisitions. GM Financial recorded the fair value of the assets acquired and liabilities assumed on the acquisition dates. Certain amounts previously presented related to the acquisitions have been, and will continue to be, updated as a result of closing adjustments.</w:t>
      </w:r>
    </w:p>
    <w:p>
      <w:pPr>
        <w:spacing w:after="0" w:line="16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Financial's acquisition of Ally Financial's equity interest in GMAC-SAIC is subject to certain regulatory and other approvals and is expected to close in 2014. GM Financial expects to pay approximately $900 million to close this acquisition subject to certain closing adjustments.</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aggregate consideration and the assets acquired and liabilities assumed at the acquisition dates before eliminations for net intercompany receivables of approximately $300 million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10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15,144</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Other assets, including identifiable intangible assets</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769</w:t>
            </w:r>
          </w:p>
        </w:tc>
      </w:tr>
      <w:tr>
        <w:trPr>
          <w:trHeight w:val="27"/>
        </w:trPr>
        <w:tc>
          <w:tcPr>
            <w:tcW w:w="10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and unsecured debt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(12,833)</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7"/>
        </w:trPr>
        <w:tc>
          <w:tcPr>
            <w:tcW w:w="10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net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Goodwill resulting from the acquisitions</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10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r>
      <w:tr>
        <w:trPr>
          <w:trHeight w:val="20"/>
        </w:trPr>
        <w:tc>
          <w:tcPr>
            <w:tcW w:w="10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fair value of finance receivables was determined using a discounted cash flow approach. The contractual cash flows were adjusted for estimated prepayments, defaults, recoveries and servicing costs and discounted using a discount rate commensurate with risks and maturity inherent in the finance contracts. The contractually required payments receivable, cash flows expected to be collected and fair value for finance receivables acquired with deteriorated credit quality at the acquisition date were $799 million, $728 million and $601 million. The contractually required payments receivable, cash flows not expected to be collected and fair value for other acquired finance receivables were $15.6 billion, $303 million and $14.5 billion. The fair value of secured and unsecured debt was determined using quoted market prices when available and a discounted cash flow approach when not available.</w:t>
      </w:r>
    </w:p>
    <w:p>
      <w:pPr>
        <w:spacing w:after="0" w:line="16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recorded goodwill in the amount of $144 million for the excess of the aggregate consideration over the fair value of the individual assets acquired and liabilities assumed and such amount is primarily attributed to the value of the incremental GM Financial business expected. The recorded goodwill is subject to further adjustment resulting from the finalization of closing balance sheet audits. Valuations and assumptions pertaining to income taxes are subject to change as additional information is obtained during the measurement period. All of the goodwill was assigned to the GM Financial segment and will be assigned to reporting units, which will be determined pending completion of the remaining acquisitions. The goodwill is not tax deductible.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results of the acquired European and Latin American automotive finance operations are included in GM Financial's results beginning on the dates GM Financial completed each acquisition. The following table summarizes the actual amounts of revenue and earnings included in our consolidated financial statements as well as certain pro forma revenue and earnings of the combined entity had these acquisitions occurred as of January 1, 2012, without consideration of historical transactions between the acquired operations and us, as it is impracticable to obtain such information (dollars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Acquired Operations'</w:t>
            </w:r>
          </w:p>
        </w:tc>
        <w:tc>
          <w:tcPr>
            <w:tcW w:w="180" w:type="dxa"/>
            <w:vAlign w:val="bottom"/>
          </w:tcPr>
          <w:p>
            <w:pPr>
              <w:spacing w:after="0"/>
              <w:rPr>
                <w:sz w:val="14"/>
                <w:szCs w:val="14"/>
                <w:color w:val="auto"/>
              </w:rPr>
            </w:pPr>
          </w:p>
        </w:tc>
        <w:tc>
          <w:tcPr>
            <w:tcW w:w="3120" w:type="dxa"/>
            <w:vAlign w:val="bottom"/>
            <w:gridSpan w:val="4"/>
            <w:vMerge w:val="restart"/>
          </w:tcPr>
          <w:p>
            <w:pPr>
              <w:jc w:val="right"/>
              <w:ind w:right="356"/>
              <w:spacing w:after="0"/>
              <w:rPr>
                <w:sz w:val="20"/>
                <w:szCs w:val="20"/>
                <w:color w:val="auto"/>
              </w:rPr>
            </w:pPr>
            <w:r>
              <w:rPr>
                <w:rFonts w:ascii="Arial" w:cs="Arial" w:eastAsia="Arial" w:hAnsi="Arial"/>
                <w:sz w:val="14"/>
                <w:szCs w:val="14"/>
                <w:b w:val="1"/>
                <w:bCs w:val="1"/>
                <w:color w:val="auto"/>
              </w:rPr>
              <w:t>Pro Forma-Combined for Years Ended</w:t>
            </w:r>
          </w:p>
        </w:tc>
        <w:tc>
          <w:tcPr>
            <w:tcW w:w="0" w:type="dxa"/>
            <w:vAlign w:val="bottom"/>
          </w:tcPr>
          <w:p>
            <w:pPr>
              <w:spacing w:after="0"/>
              <w:rPr>
                <w:sz w:val="1"/>
                <w:szCs w:val="1"/>
                <w:color w:val="auto"/>
              </w:rPr>
            </w:pPr>
          </w:p>
        </w:tc>
      </w:tr>
      <w:tr>
        <w:trPr>
          <w:trHeight w:val="158"/>
        </w:trPr>
        <w:tc>
          <w:tcPr>
            <w:tcW w:w="6180" w:type="dxa"/>
            <w:vAlign w:val="bottom"/>
          </w:tcPr>
          <w:p>
            <w:pPr>
              <w:spacing w:after="0"/>
              <w:rPr>
                <w:sz w:val="13"/>
                <w:szCs w:val="13"/>
                <w:color w:val="auto"/>
              </w:rPr>
            </w:pPr>
          </w:p>
        </w:tc>
        <w:tc>
          <w:tcPr>
            <w:tcW w:w="19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Amounts Included in Results</w:t>
            </w:r>
          </w:p>
        </w:tc>
        <w:tc>
          <w:tcPr>
            <w:tcW w:w="18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180" w:type="dxa"/>
            <w:vAlign w:val="bottom"/>
          </w:tcPr>
          <w:p>
            <w:pPr>
              <w:spacing w:after="0"/>
              <w:rPr>
                <w:sz w:val="10"/>
                <w:szCs w:val="10"/>
                <w:color w:val="auto"/>
              </w:rPr>
            </w:pPr>
          </w:p>
        </w:tc>
        <w:tc>
          <w:tcPr>
            <w:tcW w:w="19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For Year Ended December</w:t>
            </w:r>
          </w:p>
        </w:tc>
        <w:tc>
          <w:tcPr>
            <w:tcW w:w="180" w:type="dxa"/>
            <w:vAlign w:val="bottom"/>
          </w:tcPr>
          <w:p>
            <w:pPr>
              <w:spacing w:after="0"/>
              <w:rPr>
                <w:sz w:val="10"/>
                <w:szCs w:val="10"/>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180" w:type="dxa"/>
            <w:vAlign w:val="bottom"/>
          </w:tcPr>
          <w:p>
            <w:pPr>
              <w:spacing w:after="0"/>
              <w:rPr>
                <w:sz w:val="10"/>
                <w:szCs w:val="10"/>
                <w:color w:val="auto"/>
              </w:rPr>
            </w:pPr>
          </w:p>
        </w:tc>
        <w:tc>
          <w:tcPr>
            <w:tcW w:w="14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31, 2013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154,161</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9"/>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SAIC GM Investment Limited</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September 2012 we obtained control of SAIC GM Investment Limited, the holding company of General Motors India Private Limited and Chevrolet Sales India Private Limited (collectively GM India) with an 86% interest and consolidated GM India and recorded goodwill of $61 million. We also recognized a gain of $51 million which was recorded in Equity income and gain on investments. In addition we invested $125 million in GM India, which increased our interest in GM India to 90.8%. Refer to Note 8 for additional details on our investment in GM India prior to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 net</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GM Financial acquired certain international operations in Europe and Latin America from Ally Financial that conduct consumer and commercial lending activities. All of the loans acquired were made on a secured basis.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consumer and commercial finance receivables, net (dollars in millions):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6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53"/>
        </w:trPr>
        <w:tc>
          <w:tcPr>
            <w:tcW w:w="46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Pre-acquisition finance receivables, outstanding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Pre-acquisition finance receivables, carrying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1,958</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Post-acquisition finance receivables, net of fees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9,391</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23,130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29,180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11,349</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9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 Financial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22,633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5,999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28,632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10,444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10,998</w:t>
            </w:r>
          </w:p>
        </w:tc>
      </w:tr>
      <w:tr>
        <w:trPr>
          <w:trHeight w:val="109"/>
        </w:trPr>
        <w:tc>
          <w:tcPr>
            <w:tcW w:w="4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Fair value of GM Financial receivables, net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28,668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11,313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the total allowance for loan losses in the above table, $427 million and $266 million were current at December 31, 2013 and 2012.</w:t>
      </w:r>
    </w:p>
    <w:p>
      <w:pPr>
        <w:spacing w:after="0" w:line="26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GM Financial determined the fair value of consumer finance receivables using observable and unobservable inputs within a cash flow model.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(WACC) using unobservable debt and equity percentages, an 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 Substantially all commercial finance receivables either have variable interest rates and maturities of one year or less, or were acquired or originated within the past year. Therefore, the carrying amount is considered to be a reasonable estimate of fair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GM Financial reviews its pre-acquisition finance receivables portfolios for differences between contractual cash flows and the cash flows expected to be collected to determine if the difference is attributable, at least in part, to credit quality. In the years ended December 31, 2013 and 2012 as a result of improvements in credit performance of the pre-acquisition finance receivables, GM Financial transferred the amount of excess cash flows from the non-accretable difference to accretable yield. GM Financial will recognize this excess as finance charge income over the remaining life of the portfolio.</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accretable yield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Ally Financial international operations acquisition</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accretable yield</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(503)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Transfer from non-accretable difference</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loan losses on consumer and commercial finance receivables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31,(a)</w:t>
            </w:r>
          </w:p>
        </w:tc>
        <w:tc>
          <w:tcPr>
            <w:tcW w:w="9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178</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80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8890</wp:posOffset>
            </wp:positionV>
            <wp:extent cx="252984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balances and activity of the allowance for commercial loan losses included in the amounts at and for the years ended December 31, 2013 and 2012 were insignificant.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uses proprietary scoring systems that measure the credit quality of the receivables using several factors, such as credit bureau information, consumer credit risk scores (e.g. FICO score)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have prime credit scores. In North America sub-prime is typically defined as a loan with a borrower that has a FICO score of less than 620. At December 31, 2013 and 2012 88% and 84% of the consumer finance receivables in North America were consumers with FICO scores less than 620.</w:t>
      </w:r>
    </w:p>
    <w:p>
      <w:pPr>
        <w:spacing w:after="0" w:line="16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December 31, 2013 and 2012 the accrual of finance charge income has been suspended on delinquent consumer finance receivables based on contractual amounts due of $642 million and $503 million.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contractual amount of delinquent contracts, which is not materially different from the recorded investment of the consumer finance receivables (dollars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Amount Due</w:t>
            </w: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Delinquent contracts</w:t>
            </w: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31-to-60 days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Greater-than-60 days</w:t>
            </w: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receivables more than 30 days delinquent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In repossession</w:t>
            </w: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Total finance receivables more than 30 days delinquent or in repossession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Troubled Debt Restructurings</w:t>
      </w:r>
    </w:p>
    <w:p>
      <w:pPr>
        <w:spacing w:after="0" w:line="171"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The following table summarizes the outstanding recorded investment for consumer finance receivables that are considered to be TDRs and the related allowance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09"/>
        </w:trPr>
        <w:tc>
          <w:tcPr>
            <w:tcW w:w="7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Unpaid principal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commercial finance receivables consist of dealer financings. A proprietary model is used to assign a risk rating to each dealer. A credit review of each dealer is performed at least annually and, if necessary, the dealer's risk rating is adjusted on the basis of the review. At December 31, 2013 and 2012 the commercial finance receivables or loans on non-accrual status were insignificant.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credit risk profile by dealer grouping of the commercial finance receivables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2012</w:t>
            </w:r>
          </w:p>
        </w:tc>
      </w:tr>
      <w:tr>
        <w:trPr>
          <w:trHeight w:val="53"/>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strong to superior financial metrics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II - Dealers with fair to favorable financial metrics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marginal to weak financial metrics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IV - Dealers with poor financial metrics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credit lines for Group VI dealers are suspended and no further funding is extended to these dealers.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39"/>
        </w:trPr>
        <w:tc>
          <w:tcPr>
            <w:tcW w:w="6060" w:type="dxa"/>
            <w:vAlign w:val="bottom"/>
          </w:tcPr>
          <w:p>
            <w:pPr>
              <w:spacing w:after="0"/>
              <w:rPr>
                <w:sz w:val="12"/>
                <w:szCs w:val="12"/>
                <w:color w:val="auto"/>
              </w:rPr>
            </w:pPr>
          </w:p>
        </w:tc>
        <w:tc>
          <w:tcPr>
            <w:tcW w:w="9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8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1,437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w:t>
            </w:r>
          </w:p>
        </w:tc>
        <w:tc>
          <w:tcPr>
            <w:tcW w:w="8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10,812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trading securities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20,021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18,422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 - current</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5,343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5,344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Equity and sovereign debt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1 &amp; 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7,235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30"/>
        </w:trPr>
        <w:tc>
          <w:tcPr>
            <w:tcW w:w="60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Trading securities - Sovereign debt</w:t>
            </w:r>
          </w:p>
        </w:tc>
        <w:tc>
          <w:tcPr>
            <w:tcW w:w="8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1,737</w:t>
            </w: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current</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Marketable securities - non-current</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Available-for-sale securities - Investment in Peugeot S.A.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8,972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Other</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Total marketable securities classified as restricted cash and marketable securities</w:t>
            </w: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cash and cash equivalents and time deposits</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1,144</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required to post cash and marketable securities as collateral as part of certain agreements that we enter into as part of our operations. Cash and marketable securities subject to contractual restrictions and not readily available are classified as Restricted cash and marketable securities. Restricted cash and marketable securities are invested in accordance with the terms of the underlying agreements and include amounts related to various deposits, escrows and other cash collateral.</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proceeds from investments classified as available-for-sale and sold prior to maturity were $4.7 billion, $4.7 billion and $1.6 billion in the years ended December 31, 2013, 2012 and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by contractual maturity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ectPr>
          <w:pgSz w:w="11900" w:h="16838" w:orient="portrait"/>
          <w:cols w:equalWidth="0" w:num="1">
            <w:col w:w="11420"/>
          </w:cols>
          <w:pgMar w:left="240" w:top="34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41"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6"/>
                <w:szCs w:val="16"/>
                <w:color w:val="auto"/>
              </w:rPr>
            </w:pP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1,939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16,820</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Cumulative unrealized gains and losses on available-for-sale securities and net unrealized gains (losses) on trading securities were insignificant at and in the years ended December 31, 2013, 2012 and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Peugeot S.A.</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December 2013 we sold our seven percent investment in Peugeot S. A. (PSA) common stock for $339 million, net of disposal costs and we recorded a net gain of $152 million in Interest income and other non-operating income, net.</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At December 31, 2012 we measured the fair value of our investment in PSA common stock using the published stock price and determined the carrying amount of our investment in PSA common stock exceeded its fair value. PSA’s stock price had shown no sustained signs of recovery towards the price at which we acquired it in March 2012. Based upon the 55% decline in PSA common stock price since our acquisition and the nine month duration of the impairment, combined with our fourth quarter reassessment of our European automotive operations, we concluded that the impairment of our investment in PSA common stock was other-than-temporary. As a result we transferred the total unrealized losses from Accumulated other comprehensive loss to Interest income and other non-operating income, net resulting in an impairment charge of $220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Productive material, supplies and work in process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8,154</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14,714</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Equipment on operating leases, net is composed of vehicle sales to daily rental car companies. The following table summarizes information related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Equipment on operating leases, net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depreciation expense and impairment charges related to Equipment on operating leases, net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218</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168</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151</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41"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Financial originates leases in the U.S. and Canada that are recorded as operating leases. A Canadian subsidiary of GM Financial originates and sells leases to a third-party with servicing retained. The following table summarizes GM Financial equipment on operating leases, net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GM Financial equipment on operating leases, net was $450 million, $205 million and $70 million in the years ended December 31, 2013, 2012 and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as lessor under operating leases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Minimum rental receipts under operating leases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and gain on investments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joint ventures (China JVs)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New Delphi (including gain on disposition)</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1,727</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 (including gain on acquisition of GM India)</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equity income and gain on investments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3,192</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joint ventures are not consolidated into our financial statements; rather, our proportionate share of the earnings of each joint venture is reflected as Equity income and gain on investments.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$1.7 billion, $1.4 billion and $1.2 billion in the years ended December 31, 2013, 2012 and 2011. At December 31, 2013 and 2012 we had undistributed earnings including dividends declared but not received, of $1.8 billion and $1.7 billion related to our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China JVs: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2013</w:t>
            </w:r>
          </w:p>
        </w:tc>
        <w:tc>
          <w:tcPr>
            <w:tcW w:w="188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 2012</w:t>
            </w:r>
          </w:p>
        </w:tc>
      </w:tr>
      <w:tr>
        <w:trPr>
          <w:trHeight w:val="53"/>
        </w:trPr>
        <w:tc>
          <w:tcPr>
            <w:tcW w:w="750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Shanghai General Motors Co., Ltd. (SGM)</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Shanghai GM Norsom Motor Co., Ltd. (SGM Norsom)</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Shanghai GM Dong Yue Motors Co., Ltd. (SGM DY)</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Shanghai GM Dong Yue Powertrain (SGM DYPT)</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SAIC-GM-Wuling Automobile Co., Ltd.</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FAW-GM Light Duty Commercial Vehicle Co., Ltd.</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50%</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Pan Asia Technical Automotive Center Co., Ltd.</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Shanghai OnStar Telematics Co., Ltd. (Shanghai OnStar)</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40%</w:t>
            </w:r>
          </w:p>
        </w:tc>
      </w:tr>
      <w:tr>
        <w:trPr>
          <w:trHeight w:val="27"/>
        </w:trPr>
        <w:tc>
          <w:tcPr>
            <w:tcW w:w="7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Shanghai Chengxin Used Car Operation and Management Co., Ltd. (Shanghai Chengxin Used Car)</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SAIC General Motors Sales Co., Ltd. (SGMS)</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SGM is a joint venture established by Shanghai Automotive Industry Corporation (SAIC) (50%) and us (50%). 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Buick, Chevrolet and Cadillac brands. SGM also has interests in Shanghai OnStar (20%) and Shanghai Chengxin Used Car (33%). SGM also has a 20% equity interest in GMAC-SAIC, a joint venture established by General Motors Acceptance Corporation (now Ally Financial) (40%) and SAIC Finance Co., Ltd. (40%).</w:t>
      </w:r>
    </w:p>
    <w:p>
      <w:pPr>
        <w:spacing w:after="0" w:line="17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SGMS is a joint venture established in November 2011 by SAIC (51%) and us (49%) to engage in the sales of the imported Buick, Chevrolet and Cadillac brands and the sales of automobiles manufactured by SGM.</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September 2012 we repurchased a 1% interest in SGM for a total consideration of $119 million, increasing our ownership interest in SGM to 50%. The transaction was accounted for by applying the equity method of accounting. The consideration exceeded our proportionate share of the 1% interest in SGM net assets by $82 million, which consists of plant, property and equipment, intangible assets and goodwill of $8 million, $36 million and $38 million.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The sale terminated any direct and indirect obligation to loan New Delphi up to $500 million under a term loan facility established in October 2009 when New Delphi was created and the Class A Membership Interests were issued. New Delphi had not borrowed under this loan facility. In March 2011 we recorded a gain of $1.6 billion related to the sale in Equity income and gain on investments. Our existing supply contracts with New Delphi were not affected by this transaction.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GM India</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March 2011 the fair value of our investment in GM India was determined to be less than its carrying amount. The loss in value was determined to be other-than-temporary; therefore, we recorded an impairment charge of $39 million in the three months ended March 31, 2011. In addition we recorded other charges totaling $67 million related to our investment in GM India. Refer to Note 3 for detail regarding the acquisition of GM India.</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and Summarized Financial Data of Nonconsolidated Affiliates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of investments in nonconsolidated affiliates (dollars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304</w:t>
            </w: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 net assets of nonconsolidated affiliates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6,883</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2013 and 2012 the carrying amount of our investments in certain joint ventures exceeded our share of the underlying net assets by $3.8 billion. These differences are primarily related to the application of fresh-start reporting and purchase of additional interests in nonconsolidated affiliates, of which $3.4 billion at December 31, 2013 and 2012 were allocated to goodwill and the remainder was allocated to the underlying assets and liabilities, primarily intangibles, and are being amortized over their useful lives.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present summarized financial data for all of our nonconsolidated affiliates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China JVs</w:t>
            </w: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Others</w:t>
            </w:r>
          </w:p>
        </w:tc>
        <w:tc>
          <w:tcPr>
            <w:tcW w:w="280" w:type="dxa"/>
            <w:vAlign w:val="bottom"/>
          </w:tcPr>
          <w:p>
            <w:pPr>
              <w:spacing w:after="0"/>
              <w:rPr>
                <w:sz w:val="22"/>
                <w:szCs w:val="22"/>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China JVs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Others</w:t>
            </w:r>
          </w:p>
        </w:tc>
        <w:tc>
          <w:tcPr>
            <w:tcW w:w="300" w:type="dxa"/>
            <w:vAlign w:val="bottom"/>
          </w:tcPr>
          <w:p>
            <w:pPr>
              <w:spacing w:after="0"/>
              <w:rPr>
                <w:sz w:val="22"/>
                <w:szCs w:val="22"/>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16,900</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14,401</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9,645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8,273</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26,545</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22,674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15,878</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12,612</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14,505</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1,514</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17,454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16,019</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r>
      <w:tr>
        <w:trPr>
          <w:trHeight w:val="399"/>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r>
      <w:tr>
        <w:trPr>
          <w:trHeight w:val="263"/>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 net sales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38,767</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30,511</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sales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4,242</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37,327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34,753</w:t>
            </w: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1"/>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3,203</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income (loss)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11"/>
          </w:tcPr>
          <w:p>
            <w:pPr>
              <w:jc w:val="center"/>
              <w:ind w:left="428"/>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left="232"/>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sales and revenue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Automotive purchases, net</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1"/>
                <w:szCs w:val="21"/>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1"/>
              </w:rPr>
              <w:t>December 31, 2012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Financial Position</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w:t>
            </w:r>
          </w:p>
        </w:tc>
        <w:tc>
          <w:tcPr>
            <w:tcW w:w="3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628"/>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3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and customer deposits</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jc w:val="center"/>
              <w:ind w:left="428"/>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left="232"/>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Investing</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1"/>
                <w:szCs w:val="21"/>
                <w:color w:val="auto"/>
              </w:rPr>
            </w:pPr>
          </w:p>
        </w:tc>
        <w:tc>
          <w:tcPr>
            <w:tcW w:w="460" w:type="dxa"/>
            <w:vAlign w:val="bottom"/>
            <w:gridSpan w:val="5"/>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9. Property, net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60" w:type="dxa"/>
            <w:vAlign w:val="bottom"/>
            <w:gridSpan w:val="4"/>
          </w:tcPr>
          <w:p>
            <w:pPr>
              <w:ind w:left="160"/>
              <w:spacing w:after="0"/>
              <w:rPr>
                <w:sz w:val="20"/>
                <w:szCs w:val="20"/>
                <w:color w:val="auto"/>
              </w:rPr>
            </w:pPr>
            <w:r>
              <w:rPr>
                <w:rFonts w:ascii="Arial" w:cs="Arial" w:eastAsia="Arial" w:hAnsi="Arial"/>
                <w:sz w:val="18"/>
                <w:szCs w:val="18"/>
                <w:color w:val="auto"/>
              </w:rPr>
              <w:t>The following table summarizes the components of Property, net (dollars in millions):</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Estimated Useful Lives in</w:t>
            </w:r>
          </w:p>
        </w:tc>
        <w:tc>
          <w:tcPr>
            <w:tcW w:w="20" w:type="dxa"/>
            <w:vAlign w:val="bottom"/>
          </w:tcPr>
          <w:p>
            <w:pPr>
              <w:spacing w:after="0"/>
              <w:rPr>
                <w:sz w:val="24"/>
                <w:szCs w:val="24"/>
                <w:color w:val="auto"/>
              </w:rPr>
            </w:pPr>
          </w:p>
        </w:tc>
        <w:tc>
          <w:tcPr>
            <w:tcW w:w="1700" w:type="dxa"/>
            <w:vAlign w:val="bottom"/>
            <w:gridSpan w:val="4"/>
            <w:vMerge w:val="restart"/>
          </w:tcPr>
          <w:p>
            <w:pPr>
              <w:jc w:val="right"/>
              <w:ind w:right="172"/>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vMerge w:val="restart"/>
          </w:tcPr>
          <w:p>
            <w:pPr>
              <w:jc w:val="right"/>
              <w:ind w:right="172"/>
              <w:spacing w:after="0"/>
              <w:rPr>
                <w:sz w:val="20"/>
                <w:szCs w:val="20"/>
                <w:color w:val="auto"/>
              </w:rPr>
            </w:pPr>
            <w:r>
              <w:rPr>
                <w:rFonts w:ascii="Arial" w:cs="Arial" w:eastAsia="Arial" w:hAnsi="Arial"/>
                <w:sz w:val="14"/>
                <w:szCs w:val="14"/>
                <w:b w:val="1"/>
                <w:bCs w:val="1"/>
                <w:color w:val="auto"/>
                <w:w w:val="91"/>
              </w:rPr>
              <w:t>December 31, 2012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1,868</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60" w:type="dxa"/>
            <w:vAlign w:val="bottom"/>
          </w:tcPr>
          <w:p>
            <w:pPr>
              <w:jc w:val="right"/>
              <w:ind w:right="254"/>
              <w:spacing w:after="0"/>
              <w:rPr>
                <w:sz w:val="20"/>
                <w:szCs w:val="20"/>
                <w:color w:val="auto"/>
              </w:rPr>
            </w:pPr>
            <w:r>
              <w:rPr>
                <w:rFonts w:ascii="Arial" w:cs="Arial" w:eastAsia="Arial" w:hAnsi="Arial"/>
                <w:sz w:val="18"/>
                <w:szCs w:val="18"/>
                <w:color w:val="auto"/>
              </w:rPr>
              <w:t>5-40</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4,971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3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3-27</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15,222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2,644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plants and equipment</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24,705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plants and equipment, net</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17,918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Special tools, net</w:t>
            </w:r>
          </w:p>
        </w:tc>
        <w:tc>
          <w:tcPr>
            <w:tcW w:w="1360" w:type="dxa"/>
            <w:vAlign w:val="bottom"/>
          </w:tcPr>
          <w:p>
            <w:pPr>
              <w:jc w:val="right"/>
              <w:ind w:right="254"/>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7,949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net</w:t>
            </w:r>
          </w:p>
        </w:tc>
        <w:tc>
          <w:tcPr>
            <w:tcW w:w="1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25,867</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amount of interest capitalized and excluded from Automotive interest expense related to Property, net was $81 million, $117 million and $91 million in the years ended December 31, 2013, 2012 and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amount of capitalized software included in Property,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 in use,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software in the process of being developed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108</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depreciation, impairment charges and amortization expense related to Property, net, recorded in Automotive cost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GM Financial operating and other expenses, and Automotive selling, general and administrative expense (dollars in millions):</w:t>
      </w:r>
    </w:p>
    <w:p>
      <w:pPr>
        <w:sectPr>
          <w:pgSz w:w="11900" w:h="16838" w:orient="portrait"/>
          <w:cols w:equalWidth="0" w:num="1">
            <w:col w:w="11420"/>
          </w:cols>
          <w:pgMar w:left="240" w:top="34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341"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3,604</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Impairment charges(a)</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impairment charges and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3,685</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jc w:val="both"/>
        <w:ind w:left="34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GMIO assets whose fair value was $131 million at December 31, 2013. Includes GME assets whose fair value was $408 million at December 31, 2012. Also includes other assets whose fair value was determined to be $0 in the years ended December 31, 2013, 2012 and 2011 measured utilizing Level 3 inputs. Fair value measurements of the non-GMIO and non-GME asset group long-lived assets utilized projected cash flows discounted at a rate commensurate with the perceived business risks related to the assets involved.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Included in total depreciation, impairment charges and amortization expense.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India</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In the three months ended December 31, 2013 we performed a strategic assessment of GM India in response to lower than expected sales performance of our current product offerings in India, higher raw material costs, unfavorable foreign exchange rates and recent deterioration in local market conditions. Our strategic review indicated that the existing long-lived assets of the GM India asset group were not recoverable. In the three months ended December 31, 2013 we recorded asset impairment charges of $280 million to adjust the carrying amount of GM India’s real and personal property to fair value of $45 million. These charges were recorded in our GMIO segment in Automotive cost of sales. Our recoverability test of the GM India asset group also included Intangible assets, net and Goodwill resulting in additional impairment charges of $103 million, for total impairment charges of $383 million. The noncontrolling interest portion of these charges was $35 million based on our 90.8% ownership of GM India. Refer to Note 11 for additional information regarding the impairment of Intangible assets, net and Note 10 for additional information regarding the impairment of Goodwill.</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Holden Ltd. (Holden)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December 2013 we announced plans to cease manufacturing and reduce engineering at our Holden subsidiary in Australia by the end of 2017. As a result we recorded asset impairment charges of $477 million to adjust the carrying amounts of certain long-lived assets of our Holden asset group to fair value of $71 million. These charges were recorded in our GMIO segment in Automotive cost of sales. Refer to Note 19 for additional information on the actions taken at Holden.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2012</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During the second half of 2011 and continuing into 2012 the European automotive industry was severely affected by the ongoing sovereign debt crisis, high unemployment and a lack of consumer confidence coupled with overcapacity and we began to experience deterioration in cash flows. In response we formulated a plan to implement various actions to strengthen our operations and increase our competitiveness. During the fourth quarter of 2012 our industry outlook deteriorated further and our forecast of 2013 cash flows declined notwithstanding our actions. As a result we performed a recoverability test of the GME asset group by weighting various undiscounted cash flow scenarios and concluded the GME asset group was not recoverable. Accordingly we recorded asset impairment charges of $3.7 billion at December 31, 2012 to adjust the carrying amount of the GME real and personal property to fair value of $0.4 billion. These charges were recorded in our GME segment with $3.5 billion recorded in Automotive cost of sales and $0.2 billion recorded in Automotive selling, general and administrative expense. Our recoverability test of the GME asset group also included Intangible assets, net and other long-lived assets resulting in additional impairment charges of $1.8 billion, for total impairment charges of $5.5 billion. Refer to Note 11 for additional information regarding the impairment of Intangible assets, net.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To determine the estimated fair value of real and personal property, the cost approach, market approach and income approach were considered. Under the cost approach, the determination of fair value considered the estimates of the cost to construct or purchase a new asset of equal utility at current prices with adjustments in value for physical deterioration, functional obsolescence, and economic obsolescence. Under the market approach, the determination of fair value considered the market prices in transactions for similar assets and certain direct market values based on quoted prices from brokers and secondary market participants for similar assets. Under the income approach, the determination of fair value considered the estimate of the present worth of future benefits derived from ownership, usually measured through the capitalization of a specific level of income which can be derived from the subject asset with adjustments in value for demolition costs and for the effect of an estimated holding period. Under the income approach, it was assumed fair value could not exceed the present value of the net cash flows discounted at a rate commensurate with the level of risk inherent in the subject asset. An in-exchange premise was determined to be the highest and best use.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Level 3 inputs for real and personal property measurements: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4"/>
                <w:szCs w:val="14"/>
                <w:b w:val="1"/>
                <w:bCs w:val="1"/>
                <w:color w:val="auto"/>
              </w:rPr>
              <w:t>Range</w:t>
            </w: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India personal property</w:t>
            </w:r>
          </w:p>
        </w:tc>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approach</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Economic obsolescence(a)</w:t>
            </w:r>
          </w:p>
        </w:tc>
        <w:tc>
          <w:tcPr>
            <w:tcW w:w="18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72% - 100%</w:t>
            </w: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Holden real property</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Income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Holding period(b)</w:t>
            </w:r>
          </w:p>
        </w:tc>
        <w:tc>
          <w:tcPr>
            <w:tcW w:w="1820" w:type="dxa"/>
            <w:vAlign w:val="bottom"/>
            <w:gridSpan w:val="2"/>
          </w:tcPr>
          <w:p>
            <w:pPr>
              <w:jc w:val="right"/>
              <w:ind w:right="450"/>
              <w:spacing w:after="0"/>
              <w:rPr>
                <w:sz w:val="20"/>
                <w:szCs w:val="20"/>
                <w:color w:val="auto"/>
              </w:rPr>
            </w:pPr>
            <w:r>
              <w:rPr>
                <w:rFonts w:ascii="Arial" w:cs="Arial" w:eastAsia="Arial" w:hAnsi="Arial"/>
                <w:sz w:val="18"/>
                <w:szCs w:val="18"/>
                <w:color w:val="auto"/>
              </w:rPr>
              <w:t>0 - 3 years</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- 12%</w:t>
            </w: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GME real property</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Market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Demolition costs(d)</w:t>
            </w:r>
          </w:p>
        </w:tc>
        <w:tc>
          <w:tcPr>
            <w:tcW w:w="1820" w:type="dxa"/>
            <w:vAlign w:val="bottom"/>
            <w:gridSpan w:val="2"/>
          </w:tcPr>
          <w:p>
            <w:pPr>
              <w:jc w:val="right"/>
              <w:ind w:right="470"/>
              <w:spacing w:after="0"/>
              <w:rPr>
                <w:sz w:val="20"/>
                <w:szCs w:val="20"/>
                <w:color w:val="auto"/>
              </w:rPr>
            </w:pPr>
            <w:r>
              <w:rPr>
                <w:rFonts w:ascii="Arial" w:cs="Arial" w:eastAsia="Arial" w:hAnsi="Arial"/>
                <w:sz w:val="18"/>
                <w:szCs w:val="18"/>
                <w:color w:val="auto"/>
              </w:rPr>
              <w:t>6% - 23%</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approach</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Holding period(b)</w:t>
            </w:r>
          </w:p>
        </w:tc>
        <w:tc>
          <w:tcPr>
            <w:tcW w:w="182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0 - 4 years</w:t>
            </w: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Income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Discount rate(c)</w:t>
            </w: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960" w:type="dxa"/>
            <w:vAlign w:val="bottom"/>
          </w:tcPr>
          <w:p>
            <w:pPr>
              <w:ind w:left="20"/>
              <w:spacing w:after="0"/>
              <w:rPr>
                <w:sz w:val="20"/>
                <w:szCs w:val="20"/>
                <w:color w:val="auto"/>
              </w:rPr>
            </w:pPr>
            <w:r>
              <w:rPr>
                <w:rFonts w:ascii="Arial" w:cs="Arial" w:eastAsia="Arial" w:hAnsi="Arial"/>
                <w:sz w:val="18"/>
                <w:szCs w:val="18"/>
                <w:color w:val="auto"/>
              </w:rPr>
              <w:t>- 14.5%</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GME personal property</w:t>
            </w:r>
          </w:p>
        </w:tc>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approach</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Physical deterioration(e)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- 69%</w:t>
            </w: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Cost approach</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Functional obsolescence(f)</w:t>
            </w:r>
          </w:p>
        </w:tc>
        <w:tc>
          <w:tcPr>
            <w:tcW w:w="1820" w:type="dxa"/>
            <w:vAlign w:val="bottom"/>
            <w:gridSpan w:val="2"/>
          </w:tcPr>
          <w:p>
            <w:pPr>
              <w:jc w:val="right"/>
              <w:ind w:right="470"/>
              <w:spacing w:after="0"/>
              <w:rPr>
                <w:sz w:val="20"/>
                <w:szCs w:val="20"/>
                <w:color w:val="auto"/>
              </w:rPr>
            </w:pPr>
            <w:r>
              <w:rPr>
                <w:rFonts w:ascii="Arial" w:cs="Arial" w:eastAsia="Arial" w:hAnsi="Arial"/>
                <w:sz w:val="18"/>
                <w:szCs w:val="18"/>
                <w:color w:val="auto"/>
              </w:rPr>
              <w:t>8% - 28%</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Economic obsolescence(a)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- 23%</w:t>
            </w:r>
          </w:p>
        </w:tc>
      </w:tr>
      <w:tr>
        <w:trPr>
          <w:trHeight w:val="193"/>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__________</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estimated loss in asset value caused by factors external to the asset such as legislative enactments, changes in use, social change and change in supply and demand.</w:t>
      </w:r>
    </w:p>
    <w:p>
      <w:pPr>
        <w:ind w:left="340" w:hanging="332"/>
        <w:spacing w:after="0"/>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estimated marketing period for each property which dictates the amount of property specific holding costs to be incurred such as real estate taxes.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discount rate for the specific property based on local market sources and available benchmarking data.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estimated gross cost to demolish and clear the structures on the property as a percentage of replacement cost new.</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estimated loss in asset value due to wear and tear, action of the elements and other physical factors that reduce the life and serviceability of the asset.</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estimated loss in asset value caused by inefficiencies and inadequacies of the asset itself.</w:t>
      </w:r>
    </w:p>
    <w:p>
      <w:pPr>
        <w:spacing w:after="0" w:line="20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personal property in our Holden asset group was determined to have a nominal fair value because of anticipated losses during the wind-down period and limited to no salvage value given the decline in the automotive manufacturing base in Australia.</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estimates for GM India, Holden and GME real and personal property are based on a valuation premise that assumes the assets' highest and best use are different than their current use based on the forecasted financial results of the asset groups.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changes in the carrying amounts of Goodwill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14"/>
                <w:szCs w:val="14"/>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Automotive</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(27,145)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from business combinations(a)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Effect of foreign currency and 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from business combinations(a)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Effect of foreign currency and 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Accumulated impairment charges at January 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w w:val="92"/>
              </w:rPr>
              <w:t>Accumulated impairment charges at December 31,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(29,897)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Accumulated impairment charges at December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(30,438)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_________</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Refer to Note 3 for additional information concerning the acquisitions.</w:t>
      </w:r>
    </w:p>
    <w:p>
      <w:pPr>
        <w:spacing w:after="0" w:line="20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December 31, 2013, 2012, and 2011 we performed our annual goodwill impairment testing as of October 1 for all reporting units. In addition, in the years ended December 31, 2013, 2012 and 2011, we performed event-driven goodwill impairment tests at various dates for certain of our reporting units.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Subsequent to our 2012 annual goodwill impairment testing, we reversed $36.2 billion of our deferred tax asset valuation allowances for our GMNA reporting unit. The reversal of the deferred tax asset valuation allowances resulted in the carrying amount of our GMNA reporting unit exceeding its fair value. As a result we performed an event-driven goodwill impairment test in the three months ended December 31, 2012 and recorded a Goodwill impairment charge of $26.4 billion. At December 31, 2012 GMNA's Goodwill balance was $0. Refer to Note 18 for additional information on the reversal of our deferred tax asset valuation allowances for our U.S. and Canadian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adopted the provisions of ASU 2010-28, “When to Perform Step 2 of the Goodwill Impairment Test for Reporting Units with Zero or Negative Carrying Amounts” (ASU 2010-28) on January 1, 2011 and performed Step 2 of the goodwill impairment testing analysis for our GME reporting unit which had a negative carrying amount resulting in the recognition of a cumulative-effect adjustment to beginning Retained earnings. GME continued to have a negative carrying amount and because it was more likely than not further goodwill impairment existed due to further deterioration in the business outlook for GME and increases in the fair value of estimated employee benefit obligations, we recorded Goodwill impairment charges of $590 million and $1.0 billion in the years ended December 31, 2012 and 2011. At December 31, 2012 GME's Goodwill balance was $0.</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Based on the results of our annual and event-driven goodwill impairment tests, we recorded total Goodwill impairment charges of $541 million, $156 million and $270 million in the years ended December 31, 2013, 2012 and 2011 within our GMIO segment. The impairment charges primarily related to our GM Korea Company (GM Korea) and Holden reporting units. We performed event-driven goodwill impairment tests for GM Korea in 2013, 2012 and 2011 as the fair value of GM Korea continued to be below its carrying amount due to ongoing economic weakness in certain markets to which GM Korea exports coupled with lower forecasted margins resulting from higher raw material costs and unfavorable foreign exchange rates. Furthermore, in the three months ended December 31, 2013 we announced our plans to cease mainstream distribution of Chevrolet brand in Western and Central Europe that resulted in the impairment of the remaining goodwill. Chevrolet sales in Europe are included in our GM Korea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4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operations. We also recorded a Goodwill impairment charge in the three months ended December 31, 2013 associated with our GM India reporting unit resulting from lower forecasted profitability in India due to lower than expected sales performance of our current product offerings in India, higher raw material costs, unfavorable foreign exchange rates and recent deterioration in local market conditions. Refer to Note 9 for additional information on our operations in India. In the three months ended December 31, 2011 we reversed a deferred tax asset valuation allowance for our Holden reporting unit that resulted in the carrying amount of this reporting unit exceeding its fair value. At December 31, 2013 the goodwill balance was $0 for all of the reporting units in GMIO.</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The impairment charges recorded as a result of the initial adoption of ASU 2010-28 and the annual and event-driven goodwill impairment tests in the years ended December 31, 2013, 2012 and 2011 represent the net decreases in implied goodwill resulting primarily from decreases in the fair value-to-U.S. GAAP differences attributable to those assets and liabilities that gave rise to goodwill upon our application of fresh-start reporting. The net decreases resulted primarily from the reversal of our deferred tax asset valuation allowances for certain reporting units thus resulting in the recorded amount for deferred taxes exceeding their fair values which under Accounting Standards Codification (ASC) 805, "Business Combinations" (ASC 805) results in less implied goodwill. The net decreases also resulted from improvements in our nonperformance risk and in our incremental borrowing rates since July 10, 2009. At certain of the testing dates the net decrease was also due to an increase in the high quality corporate bond rates utilized to measure our employee benefit obligations and a decrease in credit spreads between high quality corporate bond rates and market interest rates for companies with similar nonperformance risk. For the purpose of deriving an implied goodwill balance, deterioration in the business outlook and anticipated restructuring activities for GME and GM Korea resulted in a reduction in the fair value of certain tax attributes and an increase in estimated employee benefit obligations. The amount of implied goodwill derived from GM India decreased primarily from a reduction in the fair value of certain tax attributes.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which utilized Level 3 measures, about the extent and timing of future cash flows, growth rates, market share and discount rates that represent unobservable inputs into our valuation methodologies. Our fair value estimates for annual and event-driven impairment tests assume the achievement of the future financial results contemplated in our forecasted cash flows and there can be no assurance that we will realize that value.</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valuation methodologies utilized to perform our goodwill impairment testing were consistent with those used in our application of fresh-start reporting on July 10, 2009 and in any subsequent annual or event-driven goodwill impairment tests and utilized Level 3 measures. Because the fair value of goodwill can be measured only as a residual amount and cannot be determined directly we calculated the implied goodwill for those reporting units failing Step 1 in the same manner that goodwill is recognized in a business combination pursuant to ASC 805.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7"/>
              </w:rPr>
              <w:t>December 31, 2013</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2"/>
              </w:rPr>
              <w:t>December 31, 2012</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4"/>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Gross Carrying</w:t>
            </w:r>
          </w:p>
        </w:tc>
        <w:tc>
          <w:tcPr>
            <w:tcW w:w="140" w:type="dxa"/>
            <w:vAlign w:val="bottom"/>
          </w:tcPr>
          <w:p>
            <w:pPr>
              <w:spacing w:after="0"/>
              <w:rPr>
                <w:sz w:val="12"/>
                <w:szCs w:val="12"/>
                <w:color w:val="auto"/>
              </w:rPr>
            </w:pPr>
          </w:p>
        </w:tc>
        <w:tc>
          <w:tcPr>
            <w:tcW w:w="10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Net Carrying</w:t>
            </w:r>
          </w:p>
        </w:tc>
        <w:tc>
          <w:tcPr>
            <w:tcW w:w="112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Gross Carrying</w:t>
            </w:r>
          </w:p>
        </w:tc>
        <w:tc>
          <w:tcPr>
            <w:tcW w:w="140" w:type="dxa"/>
            <w:vAlign w:val="bottom"/>
          </w:tcPr>
          <w:p>
            <w:pPr>
              <w:spacing w:after="0"/>
              <w:rPr>
                <w:sz w:val="12"/>
                <w:szCs w:val="12"/>
                <w:color w:val="auto"/>
              </w:rPr>
            </w:pPr>
          </w:p>
        </w:tc>
        <w:tc>
          <w:tcPr>
            <w:tcW w:w="9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2"/>
                <w:szCs w:val="12"/>
                <w:color w:val="auto"/>
              </w:rPr>
            </w:pPr>
          </w:p>
        </w:tc>
        <w:tc>
          <w:tcPr>
            <w:tcW w:w="880" w:type="dxa"/>
            <w:vAlign w:val="bottom"/>
          </w:tcPr>
          <w:p>
            <w:pPr>
              <w:jc w:val="right"/>
              <w:ind w:right="63"/>
              <w:spacing w:after="0" w:line="144"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Arial" w:cs="Arial" w:eastAsia="Arial" w:hAnsi="Arial"/>
                <w:sz w:val="13"/>
                <w:szCs w:val="13"/>
                <w:b w:val="1"/>
                <w:bCs w:val="1"/>
                <w:color w:val="auto"/>
              </w:rPr>
              <w:t>Amount</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Technology and intellectual property</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1,455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Brands</w:t>
            </w:r>
          </w:p>
        </w:tc>
        <w:tc>
          <w:tcPr>
            <w:tcW w:w="10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4,466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3,907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4,464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4,033</w:t>
            </w:r>
          </w:p>
        </w:tc>
      </w:tr>
      <w:tr>
        <w:trPr>
          <w:trHeight w:val="3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Dealer network and customer relationships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Favorable contracts and other</w:t>
            </w:r>
          </w:p>
        </w:tc>
        <w:tc>
          <w:tcPr>
            <w:tcW w:w="10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98</w:t>
            </w:r>
          </w:p>
        </w:tc>
      </w:tr>
      <w:tr>
        <w:trPr>
          <w:trHeight w:val="33"/>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amortizing intangible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14,129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8,557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6,634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Nonamortizing in process research and development</w:t>
            </w:r>
          </w:p>
        </w:tc>
        <w:tc>
          <w:tcPr>
            <w:tcW w:w="10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175</w:t>
            </w:r>
          </w:p>
        </w:tc>
      </w:tr>
      <w:tr>
        <w:trPr>
          <w:trHeight w:val="33"/>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6,809</w:t>
            </w: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December 2012 we entered into a product development agreement with PSA to collaborate on the development of certain vehicle platforms, components and modules. As a result of this agreement, in the three months ended March 31, 2013 we acquired the rights to certain technology and intellectual property for total consideration of $642 million. Consideration of $201 million was paid in cash in May 2013 with the remaining consideration to be paid by May 2018. The acquired rights were recorded at the present value of the total payments to be made as technology and intellectual property of $594 million.</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December 2013 we agreed with PSA to mutually cancel development of one of the vehicle programs and reduce the amount of remaining consideration to be paid, resulting in a net charge of $49 million recorded in Automotive cost of sales in GMNA. The net charge consisted of an impairment of the associated intellectual property of $211 million and a reduction of total consideration from $642 million to $480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amortization expense and impairment charges related to Intangible assets,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523</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estimated amortization expense related to Intangible assets, net in each of the next five years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300</w:t>
            </w:r>
          </w:p>
        </w:tc>
      </w:tr>
      <w:tr>
        <w:trPr>
          <w:trHeight w:val="27"/>
        </w:trPr>
        <w:tc>
          <w:tcPr>
            <w:tcW w:w="47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India</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December 31, 2013 we recorded impairment charges of $48 million to adjust the carrying amounts of Intangible assets, net, primarily favorable contract intangibles, to fair value of $0, because of a lack of economic support associated with GM India's declining operations. These charges were recorded in our GMIO segment primarily in Automotive cost of sales. Refer to Note 9 for additional information regarding the triggering events of the impairment charge in India and information on the impairment of Property, net.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Withdrawal of the Chevrolet Brand from Europe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December 31, 2013 we recorded impairment charges of $264 million to adjust the carrying amounts of Intangible assets, net, primarily dealer network intangibles, to fair value because we are winding down the dealer network in 2014 and we expect to incur losses during the wind-down period. These charges were recorded in our GMIO segment in Automotive cost of sales. Refer to Note 19 for additional information on the withdrawal of the Chevrolet brand from Europe.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2012</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adjusted the carrying amount of the GME intangible assets to their fair value of $139 million and recorded asset impairment charges of $1.8 billion at December 31, 2012. These charges were recorded in our GME segment with $1.6 billion recorded in Automotive selling, general and administrative expense and $0.2 billion recorded in Automotive cost of sales. The fair value estimates for GME's intangible assets are based on a valuation premise that assumes the assets' highest and best use are different than their current use due to the overall European macro-economic environment.</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recoverability test of the GME asset group includes real and personal property, resulting in additional impairment charges of $3.7 billion, for total impairment charges of $5.5 billion. Refer to Note 9 for additional information regarding the impairment of real and personal property.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4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To determine the estimated fair value of the brand intangible assets we used the relief from royalty method which is a form of the income approach. Under this approach revenue associated with the brand is projected over the expected remaining useful life of the asset. A royalty rate is then applied to estimate the royalty savings. The royalty rate used was based on an analysis of empirical, market-derived royalty rates for guideline intangible assets and a profit split analysis to determine a rate that is economically supported by GME's forecasted profitability. The net after-tax royalty savings are calculated for each year during the remaining economic life of the asset and discounted to present value.</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To determine the estimated fair value of the dealer network we used the cost approach with adjustments in value for the overcapacity of dealers and the sales environment in the region. We determined the fair value to be $0.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Level 3 inputs for brand intangible assets measurements: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jc w:val="right"/>
              <w:ind w:right="3594"/>
              <w:spacing w:after="0"/>
              <w:rPr>
                <w:sz w:val="20"/>
                <w:szCs w:val="20"/>
                <w:color w:val="auto"/>
              </w:rPr>
            </w:pPr>
            <w:r>
              <w:rPr>
                <w:rFonts w:ascii="Arial" w:cs="Arial" w:eastAsia="Arial" w:hAnsi="Arial"/>
                <w:sz w:val="18"/>
                <w:szCs w:val="18"/>
                <w:color w:val="auto"/>
                <w:w w:val="88"/>
              </w:rPr>
              <w:t>Brand intangible assets</w:t>
            </w:r>
          </w:p>
        </w:tc>
        <w:tc>
          <w:tcPr>
            <w:tcW w:w="2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approach</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growth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0.50%</w:t>
            </w:r>
          </w:p>
        </w:tc>
      </w:tr>
      <w:tr>
        <w:trPr>
          <w:trHeight w:val="24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Pre-tax royalty rate(a)</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0.14%</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21.25%</w:t>
            </w:r>
          </w:p>
        </w:tc>
      </w:tr>
      <w:tr>
        <w:trPr>
          <w:trHeight w:val="193"/>
        </w:trPr>
        <w:tc>
          <w:tcPr>
            <w:tcW w:w="20" w:type="dxa"/>
            <w:vAlign w:val="bottom"/>
          </w:tcPr>
          <w:p>
            <w:pPr>
              <w:spacing w:after="0"/>
              <w:rPr>
                <w:sz w:val="16"/>
                <w:szCs w:val="16"/>
                <w:color w:val="auto"/>
              </w:rPr>
            </w:pPr>
          </w:p>
        </w:tc>
        <w:tc>
          <w:tcPr>
            <w:tcW w:w="5360" w:type="dxa"/>
            <w:vAlign w:val="bottom"/>
          </w:tcPr>
          <w:p>
            <w:pPr>
              <w:jc w:val="right"/>
              <w:ind w:right="4474"/>
              <w:spacing w:after="0"/>
              <w:rPr>
                <w:sz w:val="20"/>
                <w:szCs w:val="20"/>
                <w:color w:val="auto"/>
              </w:rPr>
            </w:pPr>
            <w:r>
              <w:rPr>
                <w:rFonts w:ascii="Arial" w:cs="Arial" w:eastAsia="Arial" w:hAnsi="Arial"/>
                <w:sz w:val="16"/>
                <w:szCs w:val="16"/>
                <w:color w:val="auto"/>
                <w:w w:val="87"/>
              </w:rPr>
              <w:t>__________</w:t>
            </w: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estimated savings realized from owning the asset or having the royalty-free right to use the asset.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WACC adjusted for perceived business risks related to these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VIEs that we do not control through a majority voting interest that are consolidated because we are the primary beneficiary include certain vehicle assembling, manufacturing and selling venture arrangements, the most significant of which is GM Egypt. At December 31, 2013 and 2012: (1) Total assets of these VIEs were $564 million and $436 million, which were composed of Cash and cash equivalents, Accounts and notes receivables, net, Inventories, and Property, net; and (2) Total liabilities were $395 million and $254 million, which were composed of Accounts payable (principally trade) and Accrued liabilities. In the years ended December 31, 2013 and 2012 Total net sales and revenue recorded for these consolidated VIEs were $1.1 billion and $1.0 billion and Net income was $55 million and $56 million. These amounts are stated prior to intercompany eliminations. Liabilities recognized as a result of consolidating VIEs generally do not represent claims against us or our other subsidiaries and assets recognized generally are for the benefit of the VIEs' operations and cannot be used to satisfy our obligations.</w:t>
      </w:r>
    </w:p>
    <w:p>
      <w:pPr>
        <w:spacing w:after="0" w:line="19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GM Korea and GM India are non-wholly owned consolidated subsidiaries that we control through a majority voting interest. They are also VIEs because in the future they may require additional subordinated financial support. At December 31, 2013 and 2012 the combined creditors of GM Korea's and GM India's liabilities of $242 million and $368 million, which were composed of short-term debt, current derivative liabilities and long-term debt, do not have recourse to our general credit.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 Financial determined that it is the primary beneficiary of the SPEs because (1) the servicing responsibilities for the Securitized Assets give it the power to direct the activities that most significantly impact the performance of the VIEs and (2) the variable interests in the VIEs give it the obligation to absorb losses and the right to receive residual returns that could potentially be significant. The assets and liabilities of the VIEs are included in GM Financial's consolidated balance sheets. The amounts are stated prior to intercompany eliminations.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Securitized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23,584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10,442</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Securitization notes payable and other credit facilities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9,378</w:t>
            </w:r>
          </w:p>
        </w:tc>
      </w:tr>
      <w:tr>
        <w:trPr>
          <w:trHeight w:val="27"/>
        </w:trPr>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Restricted cash represents collections from the underlying Securitized Assets and certain reserve accounts held as credit enhancement for securitizations held by GM Financial for the benefit of the noteholders. Except for the acquisition accounting adjustments, which are not recorded in SPE trusts, GM Financial recognizes finance charge income, leased vehicle income and other income on the Securitized Assets and interest expense on the secured debt issued by the SPEs. GM Financial also maintains an allowance for credit losses on the Securitized Assets. Cash pledged to support the secured borrowings is deposited to a restricted cash account which is invested in highly liquid securities with original maturities of 90 days or less.</w:t>
      </w:r>
    </w:p>
    <w:p>
      <w:pPr>
        <w:spacing w:after="0" w:line="15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assets of the VIEs and the restricted cash held by GM Financial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our consolidated financial statements, these subsidiaries are separate legal entities and their assets are legally owned by them and are not available to GM Financial's creditors.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GM India prior to September 2012 and Ally Financial.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6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At December 31, 2013 and 2012 our variable interests in these VIEs included: (1) Total assets of $169 million and $351 million, which were composed of Accounts and notes receivable, net and Equity in net assets of nonconsolidated affiliates; (2) Total liabilities of $838 million and $1.9 billion, which were composed of Accounts payable (principally trade), Short-term debt and current portion of long-term debt, Accrued liabilities and Other liabilities and deferred income taxes; and (3) Total off-balance sheet arrangements of $115 million and $32 million, which were composed of loan commitments and other liquidity arrangements. The amount of total off-balance sheet arrangements at December 31, 2013 includes contractual commitments under an agreement with a supplier that became a VIE in January 2013. The maximum exposure to loss for total assets approximated the carrying amount at December 31, 2013 and 2012. Refer to Note 17 for additional information on our maximum exposure to loss under agreements with Ally Financial.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Ally Financial Common Stock</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December 31, 2012 we held a 9.9% common equity ownership in Ally Financial with carrying amount and fair value of $399 million and $1.3 billion. We estimated the fair value of Ally Financial common stock using a market approach that applied the average price to tangible book value multiples of comparable companies to the consolidated Ally Financial tangible book value. The significant inputs used in our fair value analyses included Ally Financial's financial statements, financial statements and price to tangible book value multiples of comparable companies in the banking and finance industry and the effects of certain Ally Financial shareholder rights. The inputs used in the measurement of the fair value are Level 3 inputs. In December 2013 we sold our investment through a private offering for net proceeds of $880 million and recorded a gain of $483 million in Interest income and other non-operating income,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Ally Financial Preferred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4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March 2011 our investment in Ally Financial preferred stock was sold through a public offering for net proceeds of $1.0 billion. The gain of $339 million related to the sale was recorded in Interest income and other non-operating income,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Accrued Liabilities, Other Liabilities and Deferred Income Taxes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Accrued liabilities and Other liabilities and deferred income taxes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Current</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and customer allowances, claims and discounts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Deposits primarily from rental car companies</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Policy, product warranty and recall campaigns</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Payrolls and employee benefits excluding postemployment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23,308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Non-current</w:t>
            </w: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Policy, product warranty and recall campaigns</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excluding postemployment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Postemployment benefits including facility idling reserves</w:t>
            </w: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liabilities and deferred income taxes</w:t>
            </w: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13,169</w:t>
            </w:r>
          </w:p>
        </w:tc>
        <w:tc>
          <w:tcPr>
            <w:tcW w:w="0" w:type="dxa"/>
            <w:vAlign w:val="bottom"/>
          </w:tcPr>
          <w:p>
            <w:pPr>
              <w:spacing w:after="0"/>
              <w:rPr>
                <w:sz w:val="1"/>
                <w:szCs w:val="1"/>
                <w:color w:val="auto"/>
              </w:rPr>
            </w:pPr>
          </w:p>
        </w:tc>
      </w:tr>
      <w:tr>
        <w:trPr>
          <w:trHeight w:val="20"/>
        </w:trPr>
        <w:tc>
          <w:tcPr>
            <w:tcW w:w="7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720" w:type="dxa"/>
            <w:vAlign w:val="bottom"/>
            <w:gridSpan w:val="7"/>
          </w:tcPr>
          <w:p>
            <w:pPr>
              <w:ind w:left="180"/>
              <w:spacing w:after="0"/>
              <w:rPr>
                <w:sz w:val="20"/>
                <w:szCs w:val="20"/>
                <w:color w:val="auto"/>
              </w:rPr>
            </w:pPr>
            <w:r>
              <w:rPr>
                <w:rFonts w:ascii="Arial" w:cs="Arial" w:eastAsia="Arial" w:hAnsi="Arial"/>
                <w:sz w:val="18"/>
                <w:szCs w:val="18"/>
                <w:color w:val="auto"/>
              </w:rPr>
              <w:t>The following table summarizes activity for policy, product warranty and recall campaigns (dollars in millions):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Years Ended December 31,</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Short-Term and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our short-term debt and long-term debt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4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Pr>
          <w:p>
            <w:pPr>
              <w:spacing w:after="0"/>
              <w:rPr>
                <w:sz w:val="16"/>
                <w:szCs w:val="16"/>
                <w:color w:val="auto"/>
              </w:rPr>
            </w:pPr>
          </w:p>
        </w:tc>
        <w:tc>
          <w:tcPr>
            <w:tcW w:w="1560" w:type="dxa"/>
            <w:vAlign w:val="bottom"/>
          </w:tcPr>
          <w:p>
            <w:pPr>
              <w:jc w:val="right"/>
              <w:ind w:right="231"/>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1,182</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unsecured notes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Canadian Health Care Trust (HCT) notes</w:t>
            </w:r>
          </w:p>
        </w:tc>
        <w:tc>
          <w:tcPr>
            <w:tcW w:w="22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1,239</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unsecured debt</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1,713</w:t>
            </w:r>
          </w:p>
        </w:tc>
      </w:tr>
      <w:tr>
        <w:trPr>
          <w:trHeight w:val="237"/>
        </w:trPr>
        <w:tc>
          <w:tcPr>
            <w:tcW w:w="20" w:type="dxa"/>
            <w:vAlign w:val="bottom"/>
          </w:tcPr>
          <w:p>
            <w:pPr>
              <w:spacing w:after="0"/>
              <w:rPr>
                <w:sz w:val="20"/>
                <w:szCs w:val="20"/>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unsecured debt</w:t>
            </w: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5,852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2,952</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1,038</w:t>
            </w:r>
          </w:p>
        </w:tc>
      </w:tr>
      <w:tr>
        <w:trPr>
          <w:trHeight w:val="237"/>
        </w:trPr>
        <w:tc>
          <w:tcPr>
            <w:tcW w:w="20" w:type="dxa"/>
            <w:vAlign w:val="bottom"/>
          </w:tcPr>
          <w:p>
            <w:pPr>
              <w:spacing w:after="0"/>
              <w:rPr>
                <w:sz w:val="20"/>
                <w:szCs w:val="20"/>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automotive debt(a)</w:t>
            </w: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5,172</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short-term debt and 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1,748</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6,573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3,424</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Fair value of automotive debt(b)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6,837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5,298</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22"/>
        </w:trPr>
        <w:tc>
          <w:tcPr>
            <w:tcW w:w="20" w:type="dxa"/>
            <w:vAlign w:val="bottom"/>
          </w:tcPr>
          <w:p>
            <w:pPr>
              <w:spacing w:after="0"/>
              <w:rPr>
                <w:sz w:val="10"/>
                <w:szCs w:val="10"/>
                <w:color w:val="auto"/>
              </w:rPr>
            </w:pPr>
          </w:p>
        </w:tc>
        <w:tc>
          <w:tcPr>
            <w:tcW w:w="7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Available under credit facility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10,404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11,119</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range on outstanding debt(c)</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0.0-19.0%</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short-term debt(c)</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long-term debt(c)</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of a $765 million and $1.1 billion net discount at December 31, 2013 and 2012.</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debt includes $6.8 billion and $4.1 billion measured utilizing Level 2 inputs at December 31, 2013 and 2012 and $1.2 billion measured utilizing Level 3 inputs at December 31, 2012.</w:t>
      </w: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176"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Level 2 fair value measurements utilize quoted market prices and if unavailable, a discounted cash flow model. The valuation is reviewed internally by personnel with appropriate expertise in valuation methodologies. This model utilizes observable inputs such as contractual repayment terms and benchmark yield curves, plus a spread that is intended to represent our nonperformance risk for secured or unsecured obligations. We estimate our nonperformance risk using our corporate credit rating, the ratings on our senior unsecured notes and on our secured revolver, yields on traded bonds of companies with comparable credit ratings and risk profiles. We acquire the benchmark yield curves and nonperformance risk 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in Level 3.</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Wholesale financing represents arrangements, primarily with Ally Financial, where cash is received in advance of the final sale of vehicles, parts and accessories to our dealers or ultimate consumer. These obligations typically settle through the sale and delivery of our products and generally do not require cash outflows to settle. Following GM Financial's acquisition of the Ally Financial international operations in April 2013, most of the wholesale financing balance classified as debt became intercompany debt and was eliminated in consolidation, resulting in a decrease to our automotive debt balance of $682 million.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Secured Revolving Credit Facilities</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November 2012 we entered into two new secured revolving credit facilities with an aggregate borrowing capacity of $11.0 billion. These facilities consist of a three-year, $5.5 billion facility and a five-year, $5.5 billion facility and replaced our previous five-year, $5.0 billion secured revolving credit facility. Availability under the secured revolving credit facilities is subject to borrowing base restrictions.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three-year, $5.5 billion facility is available to GM Financial as well as certain wholly-owned domestic and international subsidiaries. The facility includes various sub-limits including a GM Financial borrowing sub-limit of $4.0 billion, a multi-currency</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41"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borrowing sub-limit of $3.5 billion, a Brazilian Real borrowing sub-limit of approximately $485 million and a letter of credit sub-facility limit of $1.5 billion.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had amounts in use under the letter of credit sub-facility of $625 million at December 31, 2013.</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five-year, $5.5 billion facility allows for borrowings in U.S. Dollars and other currencies and includes a letter of credit sub-limit of $500 million. This facility is not available to GM Financial.</w:t>
      </w:r>
    </w:p>
    <w:p>
      <w:pPr>
        <w:spacing w:after="0" w:line="17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Our obligations under the secured revolving credit facilities are guaranteed by certain of our domestic subsidiaries and by a substantial portion of our domestic assets including accounts receivable, inventory, property, plant and equipment, intellectual property and trademarks, equity interests in certain of our direct domestic subsidiaries as well as up to 65% of the voting equity interests in certain of our direct foreign subsidiaries, in each case, subject to certain exceptions. The collateral securing the secured revolving credit facilities does not include, among other assets, cash, cash equivalents and marketable securities as well as our investments in GM Financial, GM Korea and in our China JVs. If we receive and maintain an investment grade corporate rating from two or more of the following credit rating agencies: Fitch Ratings, Moody's Investor Service and Standard &amp; Poor's, we will no longer have to post collateral or provide guarantees from certain domestic subsidiaries under the terms of the facilities.</w:t>
      </w:r>
    </w:p>
    <w:p>
      <w:pPr>
        <w:spacing w:after="0" w:line="17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secured revolving credit facilities contain representations, warranties and covenants customary of these types of facilities, including negative covenants restricting incurring liens, consummating mergers or sales of assets and incurring secured indebtedness, and restricting us from making restricted payments, in each case, subject to exceptions and limitations. These restricted payments include limitations on the amount of dividend payments and repurchases of our common stock. These restrictions can be mitigated based on various factors including but not limited to cash flows generated from operating and investing activities, prior restricted payments, our borrowing base coverage ratio, consolidated global liquidity and other provisions. The facilities also require us to maintain at least $4.0 billion in consolidated global liquidity and at least $2.0 billion in consolidated U.S. liquidity.</w:t>
      </w:r>
    </w:p>
    <w:p>
      <w:pPr>
        <w:spacing w:after="0" w:line="16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Interest rates on obligations under the secured revolving credit facilities are based on prevailing per annum interest rates for Eurodollar loans or an alternative base rate plus an applicable margin, in each case, based upon the credit rating assigned to the secured revolving credit facilities or our corporate rating depending on certain criteria.</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2013 we issued $4.5 billion in aggregate principal amount of senior unsecured notes comprising $1.5 billion of 3.5% notes due in 2018, $1.5 billion of 4.875% notes due in 2023 and $1.5 billion of 6.25% notes due in 2043. These notes contain terms and covenants customary of these types of securities including limitations on the amount of the secured debt we may issue.</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connection with the issuance of these notes we entered into a registration rights agreement that requires us to file a registration statement with the Securities and Exchange Commission (SEC) for an exchange offer with respect to the senior notes. If the registration statement has not been declared effective by the SEC within 365 days after the closing date of the debt issuance, if we fail to consummate the exchange offer within 30 business days after such target effective date or if the registration statement ceases to remain effective, we will be required to pay additional interest of 0.25% per annum for the first 90 day period following such event and an additional 0.25% per annum for each subsequent 90 day period prior to the consummation of the exchange offer up to a maximum additional interest rate of 0.5% per annum.</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HCT Notes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part of the establishment of the HCT to provide retiree healthcare benefits to certain active and retired employees in Canada, we issued notes to the HCT with a fair value of $1.1 billion in October 2011. We recorded a premium of $42 million at issuance. The notes accrued interest at an annual rate of 7.0%. The notes were due in periodic installments through 2018. In October 2013 we prepaid the HCT notes in full for $1.2 billion. Refer to Note 15 for additional information on the HCT settlement.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Korea Preferred Shares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Prior to April 2013 GM Korea had outstanding non-convertible mandatorily redeemable preferred shares. Dividends accrued at a rate of 2.5% through October 2012 and increased to 7.0% through 2017. In December 2012 GM Korea made a payment of $671 million to redeem early a portion of shares that had a carrying amount of $429 million and the difference was recorded as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4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extinguishment of debt. In April 2013 GM Korea made a payment of $708 million to redeem early the remaining balance of the shares that had a carrying amount of $468 million and the difference was recorded as a loss on extinguishment of debt.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Gains (Losses) on Extinguishment of Debt</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2013 we prepaid and retired debt obligations with a total carrying amount of $1.8 billion and recorded a net loss on extinguishment of debt of $212 million which primarily represented the unamortized debt discount on the GM Korea mandatorily redeemable preferred shares. In the year ended December 31, 2012 we prepaid and retired debt obligations with a total carrying amount of $514 million and recorded a net loss on extinguishment of debt of $250 million which primarily represented the unamortized debt discount on the GM Korea mandatorily redeemable preferred shares. In the year ended December 31, 2011 we prepaid and retired in full debt facilities of $1.0 billion held by certain of our subsidiaries, primarily in GMNA and GMSA, and recorded a gain on these debt facilities of $18 million.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Technical Defaults and Covenant Violations</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Several of our loan facilities, including our secured revolving credit facilities, require compliance with certain financial and operational covenants as well as regular reporting to lenders, including providing certain subsidiary financial statements.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to obtain additional borrowings. A foreign subsidiary was not in compliance with certain financial covenants under its $77 million term loan facility. We are evaluating alternatives to cure this financial covenant issue and included this liability in Short-term debt and current portion of long-term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63"/>
        </w:trPr>
        <w:tc>
          <w:tcPr>
            <w:tcW w:w="608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Value(a)</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22"/>
                <w:szCs w:val="22"/>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9"/>
              </w:rPr>
              <w:t>Fair Value(a)</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Secured</w:t>
            </w: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facilities</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Securitization notes payable(b)</w:t>
            </w: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13,175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secured</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Unsecured</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Bank lines and other unsecured debt</w:t>
            </w: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unsecured</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Total GM Financial debt</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29,046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29,248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_______</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64"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fair value of debt includes $23.0 billion and $11.1 billion measured utilizing Level 2 inputs at December 31, 2013 and 2012 and $6.2 billion measured utilizing Level 3 inputs at December 31, 2013. For revolving credit facilities with variable interest rates and maturities of one year or less, the carrying amount is considered to be a reasonable estimate of fair value. The fair value of other secured debt and the unsecured debt is based on quoted market prices, when available. If quoted market prices are not available, the market value is estimated by discounting future net cash flows expected to be paid using current risk-adjusted rates.</w:t>
      </w:r>
    </w:p>
    <w:p>
      <w:pPr>
        <w:spacing w:after="0" w:line="1" w:lineRule="exact"/>
        <w:rPr>
          <w:rFonts w:ascii="Arial" w:cs="Arial" w:eastAsia="Arial" w:hAnsi="Arial"/>
          <w:sz w:val="15"/>
          <w:szCs w:val="15"/>
          <w:color w:val="auto"/>
        </w:rPr>
      </w:pPr>
    </w:p>
    <w:p>
      <w:pPr>
        <w:jc w:val="both"/>
        <w:ind w:left="340" w:hanging="332"/>
        <w:spacing w:after="0" w:line="25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private securitization that GM Financial used observable and unobservable inputs to estimate fair value. Unobservable inputs are related to the structuring of the debt into various classes, which is based on public securitizations issued during the same time frame. 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Revolving Credit Facilities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4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revolving credit facilities have revolving periods ranging from one to three years. At the end of the revolving period, if the facilities are not renewed, the debt will amortize over periods ranging up to six years. Most of the secured debt was issued by VIEs and it is repayable only from proceeds related to the underlying pledged finance receivables and leases. Refer to Note 12 for additional information relating to GM Financial's involvement with VIEs. Weighted-average interest rates are both fixed and variable, ranging from 0.9% to 15.9% at December 31, 2013.</w:t>
      </w:r>
    </w:p>
    <w:p>
      <w:pPr>
        <w:spacing w:after="0" w:line="1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is required to hold certain funds in restricted cash accounts to provide additional collateral for borrowings under certain secured credit facilities. Additionally, some of GM Financial’s secured credit facilities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restrict GM Financial’s ability to obtain additional borrowings under these agreements and/or remove GM Financial as servicer. At December 31, 2013 GM Financial was in compliance with all covenants related to its credit facilities.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2013 GM Financial entered into two new credit facilities with a total borrowing capacity of $1.3 billion. At December 31, 2013 revolving credit facilities of $7.3 billion resulted from the acquisition of the Ally Financial international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Securitization Notes Payable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Securitization notes payable represents debt issued by GM Financial through securitization transactions. Debt issuance costs are amortized over the expected term of the securitizations on an effective yield basis. As a result of GM Financial's acquisition of the Ally Financial international operations, GM Financial recorded a purchase accounting discount of $69 million that will amortize to interest expense over the expected term of the notes. At December 31, 2013 the remaining purchase accounting discount of $47 million is included in Total secured debt.</w:t>
      </w:r>
    </w:p>
    <w:p>
      <w:pPr>
        <w:spacing w:after="0" w:line="22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At the time of securitization of finance receivables, GM Financial is required to pledge assets equal to a specified percentage of the securitization pool to support the securitization transaction. The assets pledged consist of cash deposited to a restricted account and additional receivables delivered to the trust, which create overcollateralization. The securitization transactions require the percentage of assets pledged to support the transaction to increase until a specified level is attained. Excess cash flows generated by the trusts are added to the restricted cash account or used to pay down outstanding debt in the trusts, creating overcollateralization until the targeted percentage level of assets is reached. Once the targeted percentage level of assets is reached and maintained, excess cash flows generated by the trusts are released to GM Financial as distributions from trusts. As the balance of the securitization pool declines, the amount of pledged assets needed to maintain the required percentage level is reduced. Assets in excess of the required percentage are also released to GM Financial as distributions from trusts.</w:t>
      </w:r>
    </w:p>
    <w:p>
      <w:pPr>
        <w:spacing w:after="0" w:line="1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2013 GM Financial issued securitization notes payable of $6.8 billion with a weighted-average interest rate of 1.7% maturing on various dates through 2021. At December 31, 2013 securitization notes payable of $2.3 billion resulted from the acquisition of the Ally Financial international operations.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May 2013 GM Financial issued $2.5 billion in aggregate principal amount of senior notes due in 2016 through 2023 with interest rates that range from 2.75% to 4.25%. In August 2012 GM Financial issued 4.75% senior notes of $1.0 billion which are due in August 2017 with interest payable semiannually. Senior notes outstanding at December 31, 2013 are due beginning in 2016 through 2023 and have interest rates that range from 2.75% to 6.75%. The notes are guaranteed by GM Financial's principal operating subsidiary.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Bank Lines and Other Unsecured Debt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4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maturity dates of bank lines and other unsecured debt, which was assumed in the acquisition of the Ally Financial international operations, range up to five years. If not renewed, any balance outstanding under these bank lines is either immediately due in full or will amortize over a defined period. Interest rates on bank lines and other unsecured debt ranged from 1.1% to 12.9% at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interest expense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Automotive Financing - GM Financial</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capital leases at December 31, 2013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Automotive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Automotive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Financing(a)</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36,948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Secured debt, bank lines and other unsecured debt are based on expected payoff date. Senior notes principal amounts are based on maturity.</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December 31, 2013 future interest payments on automotive capital lease obligations were $578 million. GM Financial had no capital lease obligations at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Defined benefit pension plans covering eligible U.S. hourly employees (hired prior to October 2007) and Canadian hourly employees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on September 30, 2012 for U.S. salaried employees and on December 31, 2012 for Canadian salaried employees. There is also an unfunded nonqualified pension plan covering primarily U.S. executives for service prior to January 1, 2007 and it is based on an “excess plan” for service after that date.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Pension Contributions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341"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funding policy for qualified defined benefit pension plans is to contribute annually not less than the minimum required by applicable law and regulations or to directly pay benefit payments where appropriate. At December 31, 2013 all legal funding requirements had been met. We expect to contribute $100 million to our U.S. non-qualified plans and $749 million to our non-U.S. pension plans in 2014. The following table summarizes contributions made to the defined benefit pension plans (dollars in millions):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836</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made a voluntary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valued at $1.9 billion for accounting purposes in July 2011. This was a voluntary contribution above our funding requirements for the pension plans.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Postretirement Benefit Plans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Certain hourly and salaried defined benefit plans provide postretirement medical, dental, legal service and life insurance to eligible U.S. and Canadian retirees and their eligible dependents. Certain other non-U.S. subsidiaries have postretirement benefit plans, although most non-U.S. employees are covered by government sponsored or administered programs.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OPEB Contributions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contributions to the U.S. OPEB plans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27"/>
        </w:trPr>
        <w:tc>
          <w:tcPr>
            <w:tcW w:w="7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contributions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422</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year ended December 31, 2011 we also contributed $1.9 billion to the independent HCT consisting of restricted cash of $782 million and notes payable of $1.1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a defined contribution plan for eligible U.S. salaried employees. This plan provides discretionary matching contributions which we instituted in October 2009. U.S. hourly employees hired after September 2007 also participate in a defined contribution plan. Contributions are also made to certain non-U.S. defined contribution plans. We made contributions to our defined contribution plans of $502 million, $352 million and $297 million in the years ended December 31, 2013, 2012 and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Life Insurance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September 2013 we amended the U.S. salaried life insurance plan effective January 1, 2014 to eliminate benefits for retirees and eligible employees retiring on or after August 1, 2009. The remeasurement, settlement and curtailment resulted in a decrease in the OPEB liability of $319 million, a decrease in the net pre-tax actuarial loss component of Accumulated other comprehensive loss of $236 million and a pre-tax gain of $83 million.</w:t>
      </w:r>
    </w:p>
    <w:p>
      <w:pPr>
        <w:sectPr>
          <w:pgSz w:w="11900" w:h="16838" w:orient="portrait"/>
          <w:cols w:equalWidth="0" w:num="1">
            <w:col w:w="11420"/>
          </w:cols>
          <w:pgMar w:left="240" w:top="34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341"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2012 we amended the salaried pension plan to cease the accrual of additional benefits effective September 30, 2012 resulting in a curtailment of $309 million which decreased the pension liability. We divided the plan to create a new legally separate defined benefit plan primarily for active and terminated vested participants. Settlement payments of $30.6 billion were made consisting of lump-sum pension distributions of $3.6 billion to retired salaried plan participants, group annuity contracts purchased for a total annuity premium of $25.1 billion and two separate previously guaranteed obligations of $1.9 billion were settled. These agreements unconditionally and irrevocably guarantee the full payment of all annuity payments to the participants that were receiving payments from the plan and the insurance companies assumed all investment risk associated with the assets that were delivered as the annuity contract premiums.</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 these transactions we have settled certain pension obligations in their entirety resulting in a pre-tax settlement loss of $2.6 billion ($2.2 billion after tax) in Automotive cost of sales. The pre-tax loss is composed of existing losses in Accumulated other comprehensive loss of $377 million, and the premium paid to the insurance company of $2.1 billion. The tax benefit of $413 million is composed of the statutory tax benefit of $1.0 billion offset by tax expense of $596 million primarily associated with the removal of prior period income tax allocations between Accumulated other comprehensive loss and Income tax expense (benefit).</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2012 we provided short-term, interest-free, unsecured loans of $2.2 billion to provide the plan with incremental liquidity to pay ongoing benefits and administrative costs. Contributions of $1.7 billion were made from the $2.2 billion loans. Through December 31, 2012 $430 million was repaid and $90 million of the loan was still outstanding. In the year ended December 31, 2013 $60 million was repaid and the remaining $30 million was deemed a plan contribution.</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Active salaried plan participants began receiving additional contributions in the defined contribution plan in October 2012. Lump-sum pension distributions in 2013 of $430 million resulted in a pre-tax settlement gain of $128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Salaried Defined Benefit Plans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June 2012 we amended the Canadian salaried pension plan to cease the accrual of additional benefits effective December 31, 2012 and provide active employees a lump-sum distribution option at retirement. The remeasurement, amendments and offsetting curtailment increased the pension liability by $84 million. Active plan participants started receiving additional contributions in the defined contribution plan starting in January 2013.</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also amended the Canadian salaried retiree healthcare plan to eliminate post-65 healthcare benefits for employees retiring on or after July 1, 2014. In conjunction with this change we amended the plan to offer either a monthly monetary payment or an annual lump-sum cash payment to a defined contribution plan for health care in lieu of the benefit coverage provisions formerly provided under the healthcare plan. These amendments decreased the OPEB liability by $28 million.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HCT</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October 2011 pursuant to a June 2009 agreement between General Motors of Canada Limited (GMCL) and the CAW an independent HCT was implemented to provide retiree healthcare benefits to certain active and retired employees. Concurrent with the implementation of the HCT, GMCL was legally released from all obligations associated with the cost of providing retiree healthcare benefits to CAW retirees and surviving spouses by the class action process and to CAW active employees as of June 8, 2009. We accounted for the related termination of CAW hourly retiree healthcare benefits as a settlement and recorded a gain of $749 million in Automotive cost of sales. The settlement gain represents the difference between the healthcare plan obligation of $3.1 billion (as of the implementation date) and the fair value of the notes and restricted cash contributed totaling $1.9 billion, and recognition of Accumulated other comprehensive loss of $414 million.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Remeasurements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March 2012 certain pension plans in GME were remeasured as part of our goodwill impairment testing, resulting in an increase of $150 million in the pension liability and a pre-tax increase in the net actuarial loss component of Accumulated other comprehensive loss.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4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September 2011 a plan which provided legal services to U.S. hourly employees and retirees was remeasured as a result of our labor agreement provisions which terminated the plan effective December 31, 2013. The negotiated termination has been accounted for as a negative plan amendment resulting in a decrease in the OPEB liability and a pre-tax increase of $266 million in the prior service credit component of Accumulated other comprehensive loss was amortized through December 31, 2013.</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March 2011 certain pension plans in GME were remeasured as part of our goodwill impairment testing, resulting in a decrease of $272 million in the pension liability and a pre-tax increase in the net actuarial gain component of Accumulated other comprehensive loss.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10 for additional information on our Goodwill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 in benefit obligations and related plan assets (dollars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4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 2013</w:t>
            </w: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6"/>
              </w:rPr>
              <w:t>Year Ended December 31, 2012</w:t>
            </w: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3"/>
                <w:szCs w:val="13"/>
                <w:b w:val="1"/>
                <w:bCs w:val="1"/>
                <w:color w:val="auto"/>
              </w:rPr>
              <w:t>Pension Benefits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Other Benefits</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3"/>
                <w:szCs w:val="13"/>
                <w:b w:val="1"/>
                <w:bCs w:val="1"/>
                <w:color w:val="auto"/>
              </w:rPr>
              <w:t>Pension Benefits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89"/>
              </w:rPr>
              <w:t>Other Benefits</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U.S. Plans</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Non-U.S. Plans</w:t>
            </w:r>
          </w:p>
        </w:tc>
        <w:tc>
          <w:tcPr>
            <w:tcW w:w="14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U.S. Plans</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Non-U.S. Plans</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U.S. Plans</w:t>
            </w: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Non-U.S. Plans</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U.S. Plans</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Non-U.S. Plans</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benefit obligation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82,110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6,271</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108,562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Service cost</w:t>
            </w: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cost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Amendments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Actuarial (gains) losses</w:t>
            </w: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(7,661)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(757)</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8,432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combinations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Curtailments, settlements and other</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benefit obligation</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71,480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27,528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5,110</w:t>
            </w:r>
          </w:p>
        </w:tc>
        <w:tc>
          <w:tcPr>
            <w:tcW w:w="1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82,110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29,301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6,271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5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fair value of plan assets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68,085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94,349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Actual return on plan assets</w:t>
            </w: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2,107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10,332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Employer contributions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393</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combinations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4"/>
                <w:szCs w:val="14"/>
                <w:color w:val="auto"/>
              </w:rPr>
              <w:t>Ending fair value of plan assets</w:t>
            </w:r>
          </w:p>
        </w:tc>
        <w:tc>
          <w:tcPr>
            <w:tcW w:w="14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64,166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14,986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68,085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funded status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(7,314)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(1,528)</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Amounts recorded in the consolidated balance sheets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(368)</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(7,183)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(1,155)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(1,444)</w:t>
            </w:r>
          </w:p>
        </w:tc>
        <w:tc>
          <w:tcPr>
            <w:tcW w:w="0" w:type="dxa"/>
            <w:vAlign w:val="bottom"/>
          </w:tcPr>
          <w:p>
            <w:pPr>
              <w:spacing w:after="0"/>
              <w:rPr>
                <w:sz w:val="1"/>
                <w:szCs w:val="1"/>
                <w:color w:val="auto"/>
              </w:rPr>
            </w:pPr>
          </w:p>
        </w:tc>
      </w:tr>
      <w:tr>
        <w:trPr>
          <w:trHeight w:val="2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amount recorded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(7,314)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(12,542)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(5,110)</w:t>
            </w: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(1,238)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(14,025)</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(1,528)</w:t>
            </w:r>
          </w:p>
        </w:tc>
        <w:tc>
          <w:tcPr>
            <w:tcW w:w="0" w:type="dxa"/>
            <w:vAlign w:val="bottom"/>
          </w:tcPr>
          <w:p>
            <w:pPr>
              <w:spacing w:after="0"/>
              <w:rPr>
                <w:sz w:val="1"/>
                <w:szCs w:val="1"/>
                <w:color w:val="auto"/>
              </w:rPr>
            </w:pPr>
          </w:p>
        </w:tc>
      </w:tr>
      <w:tr>
        <w:trPr>
          <w:trHeight w:val="106"/>
        </w:trPr>
        <w:tc>
          <w:tcPr>
            <w:tcW w:w="332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Amounts recorded in Accumulated other</w:t>
            </w: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rPr>
                <w:sz w:val="20"/>
                <w:szCs w:val="20"/>
                <w:color w:val="auto"/>
              </w:rPr>
            </w:pPr>
            <w:r>
              <w:rPr>
                <w:rFonts w:ascii="Arial" w:cs="Arial" w:eastAsia="Arial" w:hAnsi="Arial"/>
                <w:sz w:val="14"/>
                <w:szCs w:val="14"/>
                <w:color w:val="auto"/>
              </w:rPr>
              <w:t>Net actuarial gain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4,747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(3,379)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(542)</w:t>
            </w:r>
          </w:p>
        </w:tc>
        <w:tc>
          <w:tcPr>
            <w:tcW w:w="140" w:type="dxa"/>
            <w:vAlign w:val="bottom"/>
          </w:tcPr>
          <w:p>
            <w:pPr>
              <w:spacing w:after="0"/>
              <w:rPr>
                <w:sz w:val="22"/>
                <w:szCs w:val="22"/>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prior service (cost) credit</w:t>
            </w: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37"/>
        </w:trPr>
        <w:tc>
          <w:tcPr>
            <w:tcW w:w="3320" w:type="dxa"/>
            <w:vAlign w:val="bottom"/>
          </w:tcPr>
          <w:p>
            <w:pPr>
              <w:ind w:left="20"/>
              <w:spacing w:after="0" w:line="137" w:lineRule="exact"/>
              <w:rPr>
                <w:sz w:val="20"/>
                <w:szCs w:val="20"/>
                <w:color w:val="auto"/>
              </w:rPr>
            </w:pPr>
            <w:r>
              <w:rPr>
                <w:rFonts w:ascii="Arial" w:cs="Arial" w:eastAsia="Arial" w:hAnsi="Arial"/>
                <w:sz w:val="14"/>
                <w:szCs w:val="14"/>
                <w:color w:val="auto"/>
              </w:rPr>
              <w:t>Total recorded in Accumulated other comprehensive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4,785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(523)</w:t>
            </w:r>
          </w:p>
        </w:tc>
        <w:tc>
          <w:tcPr>
            <w:tcW w:w="140" w:type="dxa"/>
            <w:vAlign w:val="bottom"/>
          </w:tcPr>
          <w:p>
            <w:pPr>
              <w:spacing w:after="0"/>
              <w:rPr>
                <w:sz w:val="11"/>
                <w:szCs w:val="11"/>
                <w:color w:val="auto"/>
              </w:rPr>
            </w:pPr>
          </w:p>
        </w:tc>
        <w:tc>
          <w:tcPr>
            <w:tcW w:w="380" w:type="dxa"/>
            <w:vAlign w:val="bottom"/>
            <w:vMerge w:val="restart"/>
          </w:tcPr>
          <w:p>
            <w:pPr>
              <w:jc w:val="right"/>
              <w:ind w:right="229"/>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(1,392)</w:t>
            </w:r>
          </w:p>
        </w:tc>
        <w:tc>
          <w:tcPr>
            <w:tcW w:w="1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3320" w:type="dxa"/>
            <w:vAlign w:val="bottom"/>
          </w:tcPr>
          <w:p>
            <w:pPr>
              <w:ind w:left="200"/>
              <w:spacing w:after="0"/>
              <w:rPr>
                <w:sz w:val="20"/>
                <w:szCs w:val="20"/>
                <w:color w:val="auto"/>
              </w:rPr>
            </w:pPr>
            <w:r>
              <w:rPr>
                <w:rFonts w:ascii="Arial" w:cs="Arial" w:eastAsia="Arial" w:hAnsi="Arial"/>
                <w:sz w:val="14"/>
                <w:szCs w:val="14"/>
                <w:color w:val="auto"/>
              </w:rPr>
              <w:t>loss</w:t>
            </w:r>
          </w:p>
        </w:tc>
        <w:tc>
          <w:tcPr>
            <w:tcW w:w="1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 summarizes the total accumulated benefit obligations (ABO), the fair value of plan assets for defined benefit pension plans with ABO in excess of plan assets, and the projected benefit obligation (PBO) and fair value of plan assets for defined benefit pension plans with PBO in excess of plan assets (dollars in millions):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34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6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Non-U.S. Plans</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28,880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28,156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64,166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13,663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68,085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14,702</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PBO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71,480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26,788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82,110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28,537</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64,166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68,085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14,704</w:t>
            </w:r>
          </w:p>
        </w:tc>
      </w:tr>
      <w:tr>
        <w:trPr>
          <w:trHeight w:val="27"/>
        </w:trPr>
        <w:tc>
          <w:tcPr>
            <w:tcW w:w="6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ind w:left="40"/>
              <w:spacing w:after="0"/>
              <w:rPr>
                <w:sz w:val="20"/>
                <w:szCs w:val="20"/>
                <w:color w:val="auto"/>
              </w:rPr>
            </w:pPr>
            <w:r>
              <w:rPr>
                <w:rFonts w:ascii="Arial" w:cs="Arial" w:eastAsia="Arial" w:hAnsi="Arial"/>
                <w:sz w:val="11"/>
                <w:szCs w:val="11"/>
                <w:b w:val="1"/>
                <w:bCs w:val="1"/>
                <w:color w:val="auto"/>
                <w:w w:val="94"/>
              </w:rPr>
              <w:t>Year Ended December 31, 2013</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6"/>
          </w:tcPr>
          <w:p>
            <w:pPr>
              <w:ind w:left="40"/>
              <w:spacing w:after="0"/>
              <w:rPr>
                <w:sz w:val="20"/>
                <w:szCs w:val="20"/>
                <w:color w:val="auto"/>
              </w:rPr>
            </w:pPr>
            <w:r>
              <w:rPr>
                <w:rFonts w:ascii="Arial" w:cs="Arial" w:eastAsia="Arial" w:hAnsi="Arial"/>
                <w:sz w:val="11"/>
                <w:szCs w:val="11"/>
                <w:b w:val="1"/>
                <w:bCs w:val="1"/>
                <w:color w:val="auto"/>
                <w:w w:val="94"/>
              </w:rPr>
              <w:t>Year Ended December 31, 2012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ind w:left="40"/>
              <w:spacing w:after="0"/>
              <w:rPr>
                <w:sz w:val="20"/>
                <w:szCs w:val="20"/>
                <w:color w:val="auto"/>
              </w:rPr>
            </w:pPr>
            <w:r>
              <w:rPr>
                <w:rFonts w:ascii="Arial" w:cs="Arial" w:eastAsia="Arial" w:hAnsi="Arial"/>
                <w:sz w:val="11"/>
                <w:szCs w:val="11"/>
                <w:b w:val="1"/>
                <w:bCs w:val="1"/>
                <w:color w:val="auto"/>
                <w:w w:val="94"/>
              </w:rPr>
              <w:t>Year Ended December 31, 2011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5"/>
          </w:tcPr>
          <w:p>
            <w:pPr>
              <w:ind w:left="260"/>
              <w:spacing w:after="0"/>
              <w:rPr>
                <w:sz w:val="20"/>
                <w:szCs w:val="20"/>
                <w:color w:val="auto"/>
              </w:rPr>
            </w:pPr>
            <w:r>
              <w:rPr>
                <w:rFonts w:ascii="Arial" w:cs="Arial" w:eastAsia="Arial" w:hAnsi="Arial"/>
                <w:sz w:val="11"/>
                <w:szCs w:val="11"/>
                <w:b w:val="1"/>
                <w:bCs w:val="1"/>
                <w:color w:val="auto"/>
              </w:rPr>
              <w:t>Pension Benefits</w:t>
            </w:r>
          </w:p>
        </w:tc>
        <w:tc>
          <w:tcPr>
            <w:tcW w:w="100" w:type="dxa"/>
            <w:vAlign w:val="bottom"/>
          </w:tcPr>
          <w:p>
            <w:pPr>
              <w:spacing w:after="0"/>
              <w:rPr>
                <w:sz w:val="21"/>
                <w:szCs w:val="21"/>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Other Benefits</w:t>
            </w:r>
          </w:p>
        </w:tc>
        <w:tc>
          <w:tcPr>
            <w:tcW w:w="100" w:type="dxa"/>
            <w:vAlign w:val="bottom"/>
          </w:tcPr>
          <w:p>
            <w:pPr>
              <w:spacing w:after="0"/>
              <w:rPr>
                <w:sz w:val="21"/>
                <w:szCs w:val="21"/>
                <w:color w:val="auto"/>
              </w:rPr>
            </w:pPr>
          </w:p>
        </w:tc>
        <w:tc>
          <w:tcPr>
            <w:tcW w:w="1500" w:type="dxa"/>
            <w:vAlign w:val="bottom"/>
            <w:gridSpan w:val="5"/>
          </w:tcPr>
          <w:p>
            <w:pPr>
              <w:ind w:left="280"/>
              <w:spacing w:after="0"/>
              <w:rPr>
                <w:sz w:val="20"/>
                <w:szCs w:val="20"/>
                <w:color w:val="auto"/>
              </w:rPr>
            </w:pPr>
            <w:r>
              <w:rPr>
                <w:rFonts w:ascii="Arial" w:cs="Arial" w:eastAsia="Arial" w:hAnsi="Arial"/>
                <w:sz w:val="11"/>
                <w:szCs w:val="11"/>
                <w:b w:val="1"/>
                <w:bCs w:val="1"/>
                <w:color w:val="auto"/>
              </w:rPr>
              <w:t>Pension Benefits</w:t>
            </w:r>
          </w:p>
        </w:tc>
        <w:tc>
          <w:tcPr>
            <w:tcW w:w="100" w:type="dxa"/>
            <w:vAlign w:val="bottom"/>
          </w:tcPr>
          <w:p>
            <w:pPr>
              <w:spacing w:after="0"/>
              <w:rPr>
                <w:sz w:val="21"/>
                <w:szCs w:val="21"/>
                <w:color w:val="auto"/>
              </w:rPr>
            </w:pPr>
          </w:p>
        </w:tc>
        <w:tc>
          <w:tcPr>
            <w:tcW w:w="1480" w:type="dxa"/>
            <w:vAlign w:val="bottom"/>
            <w:gridSpan w:val="5"/>
          </w:tcPr>
          <w:p>
            <w:pPr>
              <w:ind w:left="320"/>
              <w:spacing w:after="0"/>
              <w:rPr>
                <w:sz w:val="20"/>
                <w:szCs w:val="20"/>
                <w:color w:val="auto"/>
              </w:rPr>
            </w:pPr>
            <w:r>
              <w:rPr>
                <w:rFonts w:ascii="Arial" w:cs="Arial" w:eastAsia="Arial" w:hAnsi="Arial"/>
                <w:sz w:val="11"/>
                <w:szCs w:val="11"/>
                <w:b w:val="1"/>
                <w:bCs w:val="1"/>
                <w:color w:val="auto"/>
              </w:rPr>
              <w:t>Other Benefits</w:t>
            </w:r>
          </w:p>
        </w:tc>
        <w:tc>
          <w:tcPr>
            <w:tcW w:w="100" w:type="dxa"/>
            <w:vAlign w:val="bottom"/>
          </w:tcPr>
          <w:p>
            <w:pPr>
              <w:spacing w:after="0"/>
              <w:rPr>
                <w:sz w:val="21"/>
                <w:szCs w:val="21"/>
                <w:color w:val="auto"/>
              </w:rPr>
            </w:pPr>
          </w:p>
        </w:tc>
        <w:tc>
          <w:tcPr>
            <w:tcW w:w="1500" w:type="dxa"/>
            <w:vAlign w:val="bottom"/>
            <w:gridSpan w:val="5"/>
          </w:tcPr>
          <w:p>
            <w:pPr>
              <w:ind w:left="280"/>
              <w:spacing w:after="0"/>
              <w:rPr>
                <w:sz w:val="20"/>
                <w:szCs w:val="20"/>
                <w:color w:val="auto"/>
              </w:rPr>
            </w:pPr>
            <w:r>
              <w:rPr>
                <w:rFonts w:ascii="Arial" w:cs="Arial" w:eastAsia="Arial" w:hAnsi="Arial"/>
                <w:sz w:val="11"/>
                <w:szCs w:val="11"/>
                <w:b w:val="1"/>
                <w:bCs w:val="1"/>
                <w:color w:val="auto"/>
              </w:rPr>
              <w:t>Pension Benefits</w:t>
            </w:r>
          </w:p>
        </w:tc>
        <w:tc>
          <w:tcPr>
            <w:tcW w:w="100" w:type="dxa"/>
            <w:vAlign w:val="bottom"/>
          </w:tcPr>
          <w:p>
            <w:pPr>
              <w:spacing w:after="0"/>
              <w:rPr>
                <w:sz w:val="21"/>
                <w:szCs w:val="21"/>
                <w:color w:val="auto"/>
              </w:rPr>
            </w:pPr>
          </w:p>
        </w:tc>
        <w:tc>
          <w:tcPr>
            <w:tcW w:w="1380" w:type="dxa"/>
            <w:vAlign w:val="bottom"/>
            <w:gridSpan w:val="4"/>
          </w:tcPr>
          <w:p>
            <w:pPr>
              <w:jc w:val="right"/>
              <w:ind w:right="318"/>
              <w:spacing w:after="0"/>
              <w:rPr>
                <w:sz w:val="20"/>
                <w:szCs w:val="20"/>
                <w:color w:val="auto"/>
              </w:rPr>
            </w:pPr>
            <w:r>
              <w:rPr>
                <w:rFonts w:ascii="Arial" w:cs="Arial" w:eastAsia="Arial" w:hAnsi="Arial"/>
                <w:sz w:val="11"/>
                <w:szCs w:val="11"/>
                <w:b w:val="1"/>
                <w:bCs w:val="1"/>
                <w:color w:val="auto"/>
              </w:rPr>
              <w:t>Other Benefits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Non-U.S.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58"/>
              <w:spacing w:after="0"/>
              <w:rPr>
                <w:sz w:val="20"/>
                <w:szCs w:val="20"/>
                <w:color w:val="auto"/>
              </w:rPr>
            </w:pPr>
            <w:r>
              <w:rPr>
                <w:rFonts w:ascii="Arial" w:cs="Arial" w:eastAsia="Arial" w:hAnsi="Arial"/>
                <w:sz w:val="11"/>
                <w:szCs w:val="11"/>
                <w:b w:val="1"/>
                <w:bCs w:val="1"/>
                <w:color w:val="auto"/>
                <w:w w:val="94"/>
              </w:rPr>
              <w:t>Non-U.S.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Plans</w:t>
            </w:r>
          </w:p>
        </w:tc>
        <w:tc>
          <w:tcPr>
            <w:tcW w:w="10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U.S. Plans</w:t>
            </w:r>
          </w:p>
        </w:tc>
        <w:tc>
          <w:tcPr>
            <w:tcW w:w="120" w:type="dxa"/>
            <w:vAlign w:val="bottom"/>
          </w:tcPr>
          <w:p>
            <w:pPr>
              <w:spacing w:after="0"/>
              <w:rPr>
                <w:sz w:val="12"/>
                <w:szCs w:val="12"/>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Plans</w:t>
            </w: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0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Plans</w:t>
            </w: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00" w:type="dxa"/>
            <w:vAlign w:val="bottom"/>
          </w:tcPr>
          <w:p>
            <w:pPr>
              <w:spacing w:after="0"/>
              <w:rPr>
                <w:sz w:val="12"/>
                <w:szCs w:val="12"/>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Plans</w:t>
            </w:r>
          </w:p>
        </w:tc>
        <w:tc>
          <w:tcPr>
            <w:tcW w:w="10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U.S. Plans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Plans</w:t>
            </w: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U.S. Plans</w:t>
            </w:r>
          </w:p>
        </w:tc>
        <w:tc>
          <w:tcPr>
            <w:tcW w:w="100" w:type="dxa"/>
            <w:vAlign w:val="bottom"/>
          </w:tcPr>
          <w:p>
            <w:pPr>
              <w:spacing w:after="0"/>
              <w:rPr>
                <w:sz w:val="12"/>
                <w:szCs w:val="12"/>
                <w:color w:val="auto"/>
              </w:rPr>
            </w:pPr>
          </w:p>
        </w:tc>
        <w:tc>
          <w:tcPr>
            <w:tcW w:w="580" w:type="dxa"/>
            <w:vAlign w:val="bottom"/>
          </w:tcPr>
          <w:p>
            <w:pPr>
              <w:jc w:val="right"/>
              <w:ind w:right="158"/>
              <w:spacing w:after="0"/>
              <w:rPr>
                <w:sz w:val="20"/>
                <w:szCs w:val="20"/>
                <w:color w:val="auto"/>
              </w:rPr>
            </w:pPr>
            <w:r>
              <w:rPr>
                <w:rFonts w:ascii="Arial" w:cs="Arial" w:eastAsia="Arial" w:hAnsi="Arial"/>
                <w:sz w:val="11"/>
                <w:szCs w:val="11"/>
                <w:b w:val="1"/>
                <w:bCs w:val="1"/>
                <w:color w:val="auto"/>
              </w:rPr>
              <w:t>Plans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Components of expense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rPr>
              <w:t>Interest cost</w:t>
            </w: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2,837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4,055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1,110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4,915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1,215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return on plan assets</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(3,562)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(5,029)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prior service cost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3"/>
                <w:szCs w:val="13"/>
                <w:color w:val="auto"/>
              </w:rPr>
              <w:t>(credit)</w:t>
            </w: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Recognized net actuarial loss</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20"/>
              <w:spacing w:after="0" w:line="148" w:lineRule="exact"/>
              <w:rPr>
                <w:sz w:val="20"/>
                <w:szCs w:val="20"/>
                <w:color w:val="auto"/>
              </w:rPr>
            </w:pPr>
            <w:r>
              <w:rPr>
                <w:rFonts w:ascii="Arial" w:cs="Arial" w:eastAsia="Arial" w:hAnsi="Arial"/>
                <w:sz w:val="13"/>
                <w:szCs w:val="13"/>
                <w:color w:val="auto"/>
                <w:w w:val="92"/>
              </w:rPr>
              <w:t>Curtailments, settlements and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3"/>
                <w:szCs w:val="13"/>
                <w:color w:val="auto"/>
              </w:rPr>
              <w:t>(gains) losses</w:t>
            </w:r>
          </w:p>
        </w:tc>
        <w:tc>
          <w:tcPr>
            <w:tcW w:w="10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2,580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8"/>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4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rPr>
              <w:t>Net periodic pension and OPEB</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(405)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833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148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62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2,197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758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193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(1,170)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680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255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expense (income)</w:t>
            </w: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tcPr>
          <w:p>
            <w:pPr>
              <w:ind w:left="20"/>
              <w:spacing w:after="0" w:line="139" w:lineRule="exact"/>
              <w:rPr>
                <w:sz w:val="20"/>
                <w:szCs w:val="20"/>
                <w:color w:val="auto"/>
              </w:rPr>
            </w:pPr>
            <w:r>
              <w:rPr>
                <w:rFonts w:ascii="Arial" w:cs="Arial" w:eastAsia="Arial" w:hAnsi="Arial"/>
                <w:sz w:val="13"/>
                <w:szCs w:val="13"/>
                <w:b w:val="1"/>
                <w:bCs w:val="1"/>
                <w:color w:val="auto"/>
                <w:w w:val="97"/>
              </w:rPr>
              <w:t>Weighted-average assumptions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used to determine benefit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3"/>
                <w:szCs w:val="13"/>
                <w:b w:val="1"/>
                <w:bCs w:val="1"/>
                <w:color w:val="auto"/>
              </w:rPr>
              <w:t>obligations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w w:val="97"/>
              </w:rPr>
              <w:t>Rate of compensation increase(a)</w:t>
            </w:r>
          </w:p>
        </w:tc>
        <w:tc>
          <w:tcPr>
            <w:tcW w:w="100" w:type="dxa"/>
            <w:vAlign w:val="bottom"/>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7"/>
              </w:rPr>
              <w:t>Weighted-average assumptions</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w w:val="90"/>
              </w:rPr>
              <w:t>used to determine net expense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rPr>
              <w:t>Discount rate</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rate of return on plan</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w w:val="97"/>
              </w:rPr>
              <w:t>Rate of compensation increase(a)</w:t>
            </w:r>
          </w:p>
        </w:tc>
        <w:tc>
          <w:tcPr>
            <w:tcW w:w="10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74"/>
        </w:trPr>
        <w:tc>
          <w:tcPr>
            <w:tcW w:w="1960" w:type="dxa"/>
            <w:vAlign w:val="bottom"/>
            <w:gridSpan w:val="2"/>
          </w:tcPr>
          <w:p>
            <w:pPr>
              <w:jc w:val="right"/>
              <w:ind w:right="1237"/>
              <w:spacing w:after="0"/>
              <w:rPr>
                <w:sz w:val="20"/>
                <w:szCs w:val="20"/>
                <w:color w:val="auto"/>
              </w:rPr>
            </w:pPr>
            <w:r>
              <w:rPr>
                <w:rFonts w:ascii="Arial" w:cs="Arial" w:eastAsia="Arial" w:hAnsi="Arial"/>
                <w:sz w:val="14"/>
                <w:szCs w:val="14"/>
                <w:color w:val="auto"/>
                <w:w w:val="91"/>
              </w:rPr>
              <w:t>_________</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a result of ceasing the accrual of additional benefits for salaried plan participants, the rate of compensation increase does not have a significant effect on our U.S. pension and OPEB plans.</w:t>
      </w:r>
    </w:p>
    <w:p>
      <w:pPr>
        <w:spacing w:after="0" w:line="22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U.S. pension plan service cost includes administrative expenses of $97 million, $138 million and $138 million in the years ended December 31, 2013, 2012 and 2011. Weighted-average assumptions used to determine net expense are determined at the beginning of the period and updated for remeasurements. Non-U.S. pension plan service cost includes administrative expenses of $31 million and $28 million in the years ended December 31, 2013 and 2012.</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estimated amounts to be amortized from Accumulated other comprehensive loss into net periodic benefit cost in the year ending December 31, 2014 based on December 31, 2013 plan measurements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U.S. Pension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Non-U.S. Pension</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U.S. Other Benefit</w:t>
            </w:r>
          </w:p>
        </w:tc>
        <w:tc>
          <w:tcPr>
            <w:tcW w:w="16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w w:val="97"/>
              </w:rPr>
              <w:t>Non-U.S. Other</w:t>
            </w: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32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Plans</w:t>
            </w:r>
          </w:p>
        </w:tc>
        <w:tc>
          <w:tcPr>
            <w:tcW w:w="16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rPr>
              <w:t>Benefit Plans</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Amortization of net actuarial (gain) loss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ectPr>
          <w:pgSz w:w="11900" w:h="16838" w:orient="portrait"/>
          <w:cols w:equalWidth="0" w:num="1">
            <w:col w:w="11420"/>
          </w:cols>
          <w:pgMar w:left="240" w:top="341"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341"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Strategies and Long-Term Rate of Return</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Detailed periodic studies conducted by outside actuaries and an internal asset management group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long-term return on plan asset assumptions are determined based on long-term, prospective rates of return.</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setting new strategic asset mixes, consideration is given to the likelihood that the selected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Derivatives may be used to provide cost effective solutions for rebalancing investment portfolios, increasing or decreasing exposure to various asset classes and for mitigating risks, primarily interest rate and currency risks. Equity and fixed income managers are permitted to utilize derivatives as efficient substitutes for traditional physical securities. Interest rate derivatives may be used to adjust portfolio duration to align with a plan's targeted investment policy. Alternative investment managers are permitted to employ leverage, including through the use of derivatives, which may alter economic exposure.</w:t>
      </w:r>
    </w:p>
    <w:p>
      <w:pPr>
        <w:spacing w:after="0" w:line="15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December 2013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increased from 5.8% at December 31, 2012 to 6.5% at December 31, 2013 due primarily to higher yields on fixed income securities. The expected long-term rate of return on plan assets used in determining pension expense for non-U.S. plans is determined in a similar manner to the U.S. plans.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Target Allocation Percentages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target allocations by asset category for U.S. and non-U.S. defined benefit pension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U.S. Plans</w:t>
            </w: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Non-U.S. Plans</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U.S. Plans</w:t>
            </w:r>
          </w:p>
        </w:tc>
        <w:tc>
          <w:tcPr>
            <w:tcW w:w="1300" w:type="dxa"/>
            <w:vAlign w:val="bottom"/>
          </w:tcPr>
          <w:p>
            <w:pPr>
              <w:jc w:val="right"/>
              <w:ind w:right="94"/>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Asset Categories</w:t>
            </w: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Debt</w:t>
            </w: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4870"/>
              <w:spacing w:after="0"/>
              <w:rPr>
                <w:sz w:val="20"/>
                <w:szCs w:val="20"/>
                <w:color w:val="auto"/>
              </w:rPr>
            </w:pPr>
            <w:r>
              <w:rPr>
                <w:rFonts w:ascii="Arial" w:cs="Arial" w:eastAsia="Arial" w:hAnsi="Arial"/>
                <w:sz w:val="18"/>
                <w:szCs w:val="18"/>
                <w:color w:val="auto"/>
                <w:w w:val="87"/>
              </w:rPr>
              <w:t>__________</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Primarily includes private equity, real estate and absolute return strategies which mainly consist of hedge funds.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Fair Value Measurements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fair value of defined benefit pension plan assets by asset class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4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420" w:type="dxa"/>
            <w:vAlign w:val="bottom"/>
            <w:gridSpan w:val="12"/>
          </w:tcPr>
          <w:p>
            <w:pPr>
              <w:jc w:val="center"/>
              <w:spacing w:after="0"/>
              <w:rPr>
                <w:sz w:val="20"/>
                <w:szCs w:val="20"/>
                <w:color w:val="auto"/>
              </w:rPr>
            </w:pPr>
            <w:r>
              <w:rPr>
                <w:rFonts w:ascii="Arial" w:cs="Arial" w:eastAsia="Arial" w:hAnsi="Arial"/>
                <w:sz w:val="14"/>
                <w:szCs w:val="14"/>
                <w:b w:val="1"/>
                <w:bCs w:val="1"/>
                <w:color w:val="auto"/>
                <w:w w:val="86"/>
              </w:rPr>
              <w:t>Fair Value Measurements of U.S. Plan Assets at December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86"/>
              </w:rPr>
              <w:t>Fair Value Measurements of Non-U.S. Plan Assets at</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7"/>
              </w:rPr>
              <w:t>Total U.S. and</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4"/>
          </w:tcPr>
          <w:p>
            <w:pPr>
              <w:jc w:val="center"/>
              <w:ind w:right="333"/>
              <w:spacing w:after="0" w:line="135" w:lineRule="exact"/>
              <w:rPr>
                <w:sz w:val="20"/>
                <w:szCs w:val="20"/>
                <w:color w:val="auto"/>
              </w:rPr>
            </w:pPr>
            <w:r>
              <w:rPr>
                <w:rFonts w:ascii="Arial" w:cs="Arial" w:eastAsia="Arial" w:hAnsi="Arial"/>
                <w:sz w:val="14"/>
                <w:szCs w:val="14"/>
                <w:b w:val="1"/>
                <w:bCs w:val="1"/>
                <w:color w:val="auto"/>
                <w:w w:val="88"/>
              </w:rPr>
              <w:t>31, 2013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7"/>
              </w:rPr>
              <w:t>December 31, 2013</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88"/>
              </w:rPr>
              <w:t>Non-U.S. Plan</w:t>
            </w:r>
          </w:p>
        </w:tc>
        <w:tc>
          <w:tcPr>
            <w:tcW w:w="0" w:type="dxa"/>
            <w:vAlign w:val="bottom"/>
          </w:tcPr>
          <w:p>
            <w:pPr>
              <w:spacing w:after="0"/>
              <w:rPr>
                <w:sz w:val="1"/>
                <w:szCs w:val="1"/>
                <w:color w:val="auto"/>
              </w:rPr>
            </w:pPr>
          </w:p>
        </w:tc>
      </w:tr>
      <w:tr>
        <w:trPr>
          <w:trHeight w:val="75"/>
        </w:trPr>
        <w:tc>
          <w:tcPr>
            <w:tcW w:w="3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Arial" w:cs="Arial" w:eastAsia="Arial" w:hAnsi="Arial"/>
                <w:sz w:val="13"/>
                <w:szCs w:val="13"/>
                <w:b w:val="1"/>
                <w:bCs w:val="1"/>
                <w:color w:val="auto"/>
                <w:w w:val="90"/>
              </w:rPr>
              <w:t>Level 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62"/>
        </w:trPr>
        <w:tc>
          <w:tcPr>
            <w:tcW w:w="364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 and other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411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4"/>
                <w:szCs w:val="14"/>
                <w:color w:val="auto"/>
              </w:rPr>
              <w:t>Common and preferred stocks(a)</w:t>
            </w:r>
          </w:p>
        </w:tc>
        <w:tc>
          <w:tcPr>
            <w:tcW w:w="14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w w:val="97"/>
              </w:rPr>
              <w:t>10,234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10,310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12,132</w:t>
            </w: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 and agency debt securities(b)</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14,971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3,418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3,418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18,389</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4"/>
                <w:szCs w:val="14"/>
                <w:color w:val="auto"/>
              </w:rPr>
              <w:t>Corporate debt securities(c)</w:t>
            </w:r>
          </w:p>
        </w:tc>
        <w:tc>
          <w:tcPr>
            <w:tcW w:w="14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20,409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20,467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2,410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2,422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22,889</w:t>
            </w: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and asset-backed securities</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4"/>
                <w:szCs w:val="14"/>
                <w:color w:val="auto"/>
              </w:rPr>
              <w:t>Investment funds</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funds</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63"/>
        </w:trPr>
        <w:tc>
          <w:tcPr>
            <w:tcW w:w="3640" w:type="dxa"/>
            <w:vAlign w:val="bottom"/>
          </w:tcPr>
          <w:p>
            <w:pPr>
              <w:ind w:left="200"/>
              <w:spacing w:after="0"/>
              <w:rPr>
                <w:sz w:val="20"/>
                <w:szCs w:val="20"/>
                <w:color w:val="auto"/>
              </w:rPr>
            </w:pPr>
            <w:r>
              <w:rPr>
                <w:rFonts w:ascii="Arial" w:cs="Arial" w:eastAsia="Arial" w:hAnsi="Arial"/>
                <w:sz w:val="14"/>
                <w:szCs w:val="14"/>
                <w:color w:val="auto"/>
              </w:rPr>
              <w:t>Fixed income funds</w:t>
            </w:r>
          </w:p>
        </w:tc>
        <w:tc>
          <w:tcPr>
            <w:tcW w:w="14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Funds of hedge funds</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4,285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4,285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5,018</w:t>
            </w:r>
          </w:p>
        </w:tc>
        <w:tc>
          <w:tcPr>
            <w:tcW w:w="0" w:type="dxa"/>
            <w:vAlign w:val="bottom"/>
          </w:tcPr>
          <w:p>
            <w:pPr>
              <w:spacing w:after="0"/>
              <w:rPr>
                <w:sz w:val="1"/>
                <w:szCs w:val="1"/>
                <w:color w:val="auto"/>
              </w:rPr>
            </w:pPr>
          </w:p>
        </w:tc>
      </w:tr>
      <w:tr>
        <w:trPr>
          <w:trHeight w:val="263"/>
        </w:trPr>
        <w:tc>
          <w:tcPr>
            <w:tcW w:w="3640" w:type="dxa"/>
            <w:vAlign w:val="bottom"/>
          </w:tcPr>
          <w:p>
            <w:pPr>
              <w:ind w:left="200"/>
              <w:spacing w:after="0"/>
              <w:rPr>
                <w:sz w:val="20"/>
                <w:szCs w:val="20"/>
                <w:color w:val="auto"/>
              </w:rPr>
            </w:pPr>
            <w:r>
              <w:rPr>
                <w:rFonts w:ascii="Arial" w:cs="Arial" w:eastAsia="Arial" w:hAnsi="Arial"/>
                <w:sz w:val="14"/>
                <w:szCs w:val="14"/>
                <w:color w:val="auto"/>
              </w:rPr>
              <w:t>Other investment funds</w:t>
            </w:r>
          </w:p>
        </w:tc>
        <w:tc>
          <w:tcPr>
            <w:tcW w:w="14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Private equity and debt investments(d)</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6,335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6,335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6,765</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4"/>
                <w:szCs w:val="14"/>
                <w:color w:val="auto"/>
              </w:rPr>
              <w:t>Real estate investments(e)</w:t>
            </w:r>
          </w:p>
        </w:tc>
        <w:tc>
          <w:tcPr>
            <w:tcW w:w="14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4,127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4,521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1,405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1,430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5,951</w:t>
            </w: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contracts</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3640" w:type="dxa"/>
            <w:vAlign w:val="bottom"/>
          </w:tcPr>
          <w:p>
            <w:pPr>
              <w:ind w:left="200"/>
              <w:spacing w:after="0"/>
              <w:rPr>
                <w:sz w:val="20"/>
                <w:szCs w:val="20"/>
                <w:color w:val="auto"/>
              </w:rPr>
            </w:pPr>
            <w:r>
              <w:rPr>
                <w:rFonts w:ascii="Arial" w:cs="Arial" w:eastAsia="Arial" w:hAnsi="Arial"/>
                <w:sz w:val="14"/>
                <w:szCs w:val="14"/>
                <w:color w:val="auto"/>
              </w:rPr>
              <w:t>Foreign exchange and other contracts</w:t>
            </w:r>
          </w:p>
        </w:tc>
        <w:tc>
          <w:tcPr>
            <w:tcW w:w="14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57"/>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97"/>
              </w:rPr>
              <w:t>10,740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37,278</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15,834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63,852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1,960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9,640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3,212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14,812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78,664</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00"/>
              <w:spacing w:after="0"/>
              <w:rPr>
                <w:sz w:val="20"/>
                <w:szCs w:val="20"/>
                <w:color w:val="auto"/>
              </w:rPr>
            </w:pPr>
            <w:r>
              <w:rPr>
                <w:rFonts w:ascii="Arial" w:cs="Arial" w:eastAsia="Arial" w:hAnsi="Arial"/>
                <w:sz w:val="14"/>
                <w:szCs w:val="14"/>
                <w:color w:val="auto"/>
              </w:rPr>
              <w:t>Interest rate contracts</w:t>
            </w:r>
          </w:p>
        </w:tc>
        <w:tc>
          <w:tcPr>
            <w:tcW w:w="14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1"/>
        </w:trPr>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and other contracts</w:t>
            </w: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w w:val="97"/>
              </w:rPr>
              <w:t>10,718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36,967</w:t>
            </w: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15,828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63,513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1,948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9,584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14,744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78,257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Other plan assets and liabilities(g)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ind w:right="73"/>
              <w:spacing w:after="0"/>
              <w:rPr>
                <w:sz w:val="20"/>
                <w:szCs w:val="20"/>
                <w:color w:val="auto"/>
              </w:rPr>
            </w:pPr>
            <w:r>
              <w:rPr>
                <w:rFonts w:ascii="Arial" w:cs="Arial" w:eastAsia="Arial" w:hAnsi="Arial"/>
                <w:sz w:val="14"/>
                <w:szCs w:val="14"/>
                <w:color w:val="auto"/>
              </w:rPr>
              <w:t>653</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33"/>
              <w:spacing w:after="0"/>
              <w:rPr>
                <w:sz w:val="20"/>
                <w:szCs w:val="20"/>
                <w:color w:val="auto"/>
              </w:rPr>
            </w:pPr>
            <w:r>
              <w:rPr>
                <w:rFonts w:ascii="Arial" w:cs="Arial" w:eastAsia="Arial" w:hAnsi="Arial"/>
                <w:sz w:val="14"/>
                <w:szCs w:val="14"/>
                <w:color w:val="auto"/>
              </w:rPr>
              <w:t>242</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4"/>
                <w:szCs w:val="14"/>
                <w:color w:val="auto"/>
              </w:rPr>
              <w:t>895</w:t>
            </w:r>
          </w:p>
        </w:tc>
        <w:tc>
          <w:tcPr>
            <w:tcW w:w="0" w:type="dxa"/>
            <w:vAlign w:val="bottom"/>
          </w:tcPr>
          <w:p>
            <w:pPr>
              <w:spacing w:after="0" w:line="20" w:lineRule="exact"/>
              <w:rPr>
                <w:sz w:val="1"/>
                <w:szCs w:val="1"/>
                <w:color w:val="auto"/>
              </w:rPr>
            </w:pPr>
          </w:p>
        </w:tc>
      </w:tr>
      <w:tr>
        <w:trPr>
          <w:trHeight w:val="244"/>
        </w:trPr>
        <w:tc>
          <w:tcPr>
            <w:tcW w:w="364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64,166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14,986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79,152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34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20" w:type="dxa"/>
            <w:vAlign w:val="bottom"/>
            <w:gridSpan w:val="12"/>
          </w:tcPr>
          <w:p>
            <w:pPr>
              <w:jc w:val="center"/>
              <w:spacing w:after="0"/>
              <w:rPr>
                <w:sz w:val="20"/>
                <w:szCs w:val="20"/>
                <w:color w:val="auto"/>
              </w:rPr>
            </w:pPr>
            <w:r>
              <w:rPr>
                <w:rFonts w:ascii="Arial" w:cs="Arial" w:eastAsia="Arial" w:hAnsi="Arial"/>
                <w:sz w:val="14"/>
                <w:szCs w:val="14"/>
                <w:b w:val="1"/>
                <w:bCs w:val="1"/>
                <w:color w:val="auto"/>
                <w:w w:val="86"/>
              </w:rPr>
              <w:t>Fair Value Measurements of U.S. Plan Assets at December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86"/>
              </w:rPr>
              <w:t>Fair Value Measurements of Non-U.S. Plan Assets at</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7"/>
              </w:rPr>
              <w:t>Total U.S. 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4"/>
          </w:tcPr>
          <w:p>
            <w:pPr>
              <w:jc w:val="center"/>
              <w:ind w:right="332"/>
              <w:spacing w:after="0" w:line="135" w:lineRule="exact"/>
              <w:rPr>
                <w:sz w:val="20"/>
                <w:szCs w:val="20"/>
                <w:color w:val="auto"/>
              </w:rPr>
            </w:pPr>
            <w:r>
              <w:rPr>
                <w:rFonts w:ascii="Arial" w:cs="Arial" w:eastAsia="Arial" w:hAnsi="Arial"/>
                <w:sz w:val="14"/>
                <w:szCs w:val="14"/>
                <w:b w:val="1"/>
                <w:bCs w:val="1"/>
                <w:color w:val="auto"/>
                <w:w w:val="88"/>
              </w:rPr>
              <w:t>31, 2012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7"/>
              </w:rPr>
              <w:t>December 31, 2012</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88"/>
              </w:rPr>
              <w:t>Non-U.S. Plan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w w:val="88"/>
              </w:rPr>
              <w:t>Level 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Cash equivalents and other short-term investments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551</w:t>
            </w:r>
          </w:p>
        </w:tc>
        <w:tc>
          <w:tcPr>
            <w:tcW w:w="300" w:type="dxa"/>
            <w:vAlign w:val="bottom"/>
            <w:gridSpan w:val="3"/>
          </w:tcPr>
          <w:p>
            <w:pPr>
              <w:jc w:val="center"/>
              <w:ind w:left="11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551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and preferred stocks(a)</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9,663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9,708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11,935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Government and agency debt securities(b)</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17,835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17,835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3,722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3,722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21,557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debt securities(c)</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19,193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21,791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Mortgage and asset-backed securities</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1,804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1,909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1,966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funds</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0"/>
              <w:spacing w:after="0"/>
              <w:rPr>
                <w:sz w:val="20"/>
                <w:szCs w:val="20"/>
                <w:color w:val="auto"/>
              </w:rPr>
            </w:pPr>
            <w:r>
              <w:rPr>
                <w:rFonts w:ascii="Arial" w:cs="Arial" w:eastAsia="Arial" w:hAnsi="Arial"/>
                <w:sz w:val="14"/>
                <w:szCs w:val="14"/>
                <w:color w:val="auto"/>
              </w:rPr>
              <w:t>Equity funds</w:t>
            </w:r>
          </w:p>
        </w:tc>
        <w:tc>
          <w:tcPr>
            <w:tcW w:w="12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Fixed income funds</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0"/>
              <w:spacing w:after="0"/>
              <w:rPr>
                <w:sz w:val="20"/>
                <w:szCs w:val="20"/>
                <w:color w:val="auto"/>
              </w:rPr>
            </w:pPr>
            <w:r>
              <w:rPr>
                <w:rFonts w:ascii="Arial" w:cs="Arial" w:eastAsia="Arial" w:hAnsi="Arial"/>
                <w:sz w:val="14"/>
                <w:szCs w:val="14"/>
                <w:color w:val="auto"/>
              </w:rPr>
              <w:t>Funds of hedge funds</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3,768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3,768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investment funds</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Private equity and debt investments(d)</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6,400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6,400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6,781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investments(e)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4,747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6,219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Other investments</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0"/>
              <w:spacing w:after="0"/>
              <w:rPr>
                <w:sz w:val="20"/>
                <w:szCs w:val="20"/>
                <w:color w:val="auto"/>
              </w:rPr>
            </w:pPr>
            <w:r>
              <w:rPr>
                <w:rFonts w:ascii="Arial" w:cs="Arial" w:eastAsia="Arial" w:hAnsi="Arial"/>
                <w:sz w:val="14"/>
                <w:szCs w:val="14"/>
                <w:color w:val="auto"/>
              </w:rPr>
              <w:t>Interest rate contracts</w:t>
            </w:r>
          </w:p>
        </w:tc>
        <w:tc>
          <w:tcPr>
            <w:tcW w:w="12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1,553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1,568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and other contracts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10,178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42,597</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15,959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68,734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2,460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9,684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3,114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15,258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83,992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4"/>
                <w:szCs w:val="14"/>
                <w:color w:val="auto"/>
              </w:rPr>
              <w:t>Mortgage and asset-backed securities(f)</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ind w:left="200"/>
              <w:spacing w:after="0"/>
              <w:rPr>
                <w:sz w:val="20"/>
                <w:szCs w:val="20"/>
                <w:color w:val="auto"/>
              </w:rPr>
            </w:pPr>
            <w:r>
              <w:rPr>
                <w:rFonts w:ascii="Arial" w:cs="Arial" w:eastAsia="Arial" w:hAnsi="Arial"/>
                <w:sz w:val="14"/>
                <w:szCs w:val="14"/>
                <w:color w:val="auto"/>
              </w:rPr>
              <w:t>Interest rate contracts</w:t>
            </w:r>
          </w:p>
        </w:tc>
        <w:tc>
          <w:tcPr>
            <w:tcW w:w="12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and other contracts</w:t>
            </w: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(1,149)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plan assets subject to leveling</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10,153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41,482</w:t>
            </w:r>
          </w:p>
        </w:tc>
        <w:tc>
          <w:tcPr>
            <w:tcW w:w="300" w:type="dxa"/>
            <w:vAlign w:val="bottom"/>
            <w:gridSpan w:val="3"/>
            <w:shd w:val="clear" w:color="auto" w:fill="CCEEFF"/>
          </w:tcPr>
          <w:p>
            <w:pPr>
              <w:jc w:val="center"/>
              <w:ind w:left="11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15,950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67,585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9,648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15,217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82,802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Other plan assets and liabilities(g)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72"/>
              <w:spacing w:after="0"/>
              <w:rPr>
                <w:sz w:val="20"/>
                <w:szCs w:val="20"/>
                <w:color w:val="auto"/>
              </w:rPr>
            </w:pPr>
            <w:r>
              <w:rPr>
                <w:rFonts w:ascii="Arial" w:cs="Arial" w:eastAsia="Arial" w:hAnsi="Arial"/>
                <w:sz w:val="14"/>
                <w:szCs w:val="14"/>
                <w:color w:val="auto"/>
              </w:rPr>
              <w:t>500</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4"/>
                <w:szCs w:val="14"/>
                <w:color w:val="auto"/>
              </w:rPr>
              <w:t>324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4"/>
                <w:szCs w:val="14"/>
                <w:color w:val="auto"/>
              </w:rPr>
              <w:t>824</w:t>
            </w: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6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68,085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83,626</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jc w:val="right"/>
              <w:ind w:right="2692"/>
              <w:spacing w:after="0"/>
              <w:rPr>
                <w:sz w:val="20"/>
                <w:szCs w:val="20"/>
                <w:color w:val="auto"/>
              </w:rPr>
            </w:pPr>
            <w:r>
              <w:rPr>
                <w:rFonts w:ascii="Arial" w:cs="Arial" w:eastAsia="Arial" w:hAnsi="Arial"/>
                <w:sz w:val="18"/>
                <w:szCs w:val="18"/>
                <w:color w:val="auto"/>
                <w:w w:val="87"/>
              </w:rPr>
              <w:t>__________</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GM common stock of $2 million and $1.4 billion in Level 1 of U.S. plan assets at December 31, 2013 and 2012.</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U.S. and sovereign government and agency issues. Excludes mortgage and asset-backed securities.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bank debt obligations.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private equity investment funds.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investment funds and public real estate investment trusts.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investments sold short.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Cash held by the plans, net of amounts receivable/payable for unsettled security transactions and payables for investment manager fees, custody fees and other expenses.</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activity for U.S. plan assets measured at fair value using Level 3 inputs (dollars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34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Change in Unrealized</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Net</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7"/>
              </w:rPr>
              <w:t>Attributable to Assets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Realized/Unrealized</w:t>
            </w:r>
          </w:p>
        </w:tc>
        <w:tc>
          <w:tcPr>
            <w:tcW w:w="26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and</w:t>
            </w:r>
          </w:p>
        </w:tc>
        <w:tc>
          <w:tcPr>
            <w:tcW w:w="13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Transfers Into/Out of</w:t>
            </w: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Balance at</w:t>
            </w:r>
          </w:p>
        </w:tc>
        <w:tc>
          <w:tcPr>
            <w:tcW w:w="100" w:type="dxa"/>
            <w:vAlign w:val="bottom"/>
          </w:tcPr>
          <w:p>
            <w:pPr>
              <w:spacing w:after="0"/>
              <w:rPr>
                <w:sz w:val="11"/>
                <w:szCs w:val="11"/>
                <w:color w:val="auto"/>
              </w:rPr>
            </w:pPr>
          </w:p>
        </w:tc>
        <w:tc>
          <w:tcPr>
            <w:tcW w:w="114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92"/>
              </w:rPr>
              <w:t>Held at</w:t>
            </w:r>
          </w:p>
        </w:tc>
      </w:tr>
      <w:tr>
        <w:trPr>
          <w:trHeight w:val="174"/>
        </w:trPr>
        <w:tc>
          <w:tcPr>
            <w:tcW w:w="412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January 1, 2013</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Gains (Losses)</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Settlements, Net</w:t>
            </w:r>
          </w:p>
        </w:tc>
        <w:tc>
          <w:tcPr>
            <w:tcW w:w="2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3</w:t>
            </w:r>
          </w:p>
        </w:tc>
        <w:tc>
          <w:tcPr>
            <w:tcW w:w="12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December 31, 2013</w:t>
            </w:r>
          </w:p>
        </w:tc>
        <w:tc>
          <w:tcPr>
            <w:tcW w:w="100" w:type="dxa"/>
            <w:vAlign w:val="bottom"/>
          </w:tcPr>
          <w:p>
            <w:pPr>
              <w:spacing w:after="0"/>
              <w:rPr>
                <w:sz w:val="15"/>
                <w:szCs w:val="15"/>
                <w:color w:val="auto"/>
              </w:rPr>
            </w:pPr>
          </w:p>
        </w:tc>
        <w:tc>
          <w:tcPr>
            <w:tcW w:w="1140" w:type="dxa"/>
            <w:vAlign w:val="bottom"/>
          </w:tcPr>
          <w:p>
            <w:pPr>
              <w:jc w:val="center"/>
              <w:ind w:right="42"/>
              <w:spacing w:after="0"/>
              <w:rPr>
                <w:sz w:val="20"/>
                <w:szCs w:val="20"/>
                <w:color w:val="auto"/>
              </w:rPr>
            </w:pPr>
            <w:r>
              <w:rPr>
                <w:rFonts w:ascii="Arial" w:cs="Arial" w:eastAsia="Arial" w:hAnsi="Arial"/>
                <w:sz w:val="13"/>
                <w:szCs w:val="13"/>
                <w:b w:val="1"/>
                <w:bCs w:val="1"/>
                <w:color w:val="auto"/>
                <w:w w:val="87"/>
              </w:rPr>
              <w:t>December 31, 2013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and preferred stocks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and asset-backed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funds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funds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200"/>
              <w:spacing w:after="0"/>
              <w:rPr>
                <w:sz w:val="20"/>
                <w:szCs w:val="20"/>
                <w:color w:val="auto"/>
              </w:rPr>
            </w:pPr>
            <w:r>
              <w:rPr>
                <w:rFonts w:ascii="Arial" w:cs="Arial" w:eastAsia="Arial" w:hAnsi="Arial"/>
                <w:sz w:val="16"/>
                <w:szCs w:val="16"/>
                <w:color w:val="auto"/>
              </w:rPr>
              <w:t>Fixed income funds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Funds of hedge funds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497</w:t>
            </w:r>
          </w:p>
        </w:tc>
      </w:tr>
      <w:tr>
        <w:trPr>
          <w:trHeight w:val="237"/>
        </w:trPr>
        <w:tc>
          <w:tcPr>
            <w:tcW w:w="4120" w:type="dxa"/>
            <w:vAlign w:val="bottom"/>
          </w:tcPr>
          <w:p>
            <w:pPr>
              <w:ind w:left="200"/>
              <w:spacing w:after="0"/>
              <w:rPr>
                <w:sz w:val="20"/>
                <w:szCs w:val="20"/>
                <w:color w:val="auto"/>
              </w:rPr>
            </w:pPr>
            <w:r>
              <w:rPr>
                <w:rFonts w:ascii="Arial" w:cs="Arial" w:eastAsia="Arial" w:hAnsi="Arial"/>
                <w:sz w:val="16"/>
                <w:szCs w:val="16"/>
                <w:color w:val="auto"/>
              </w:rPr>
              <w:t>Other investment funds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29</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equity and debt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436</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Real estate investments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4,335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4,127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190</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15,958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15,834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1,159</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net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200"/>
              <w:spacing w:after="0"/>
              <w:rPr>
                <w:sz w:val="20"/>
                <w:szCs w:val="20"/>
                <w:color w:val="auto"/>
              </w:rPr>
            </w:pPr>
            <w:r>
              <w:rPr>
                <w:rFonts w:ascii="Arial" w:cs="Arial" w:eastAsia="Arial" w:hAnsi="Arial"/>
                <w:sz w:val="16"/>
                <w:szCs w:val="16"/>
                <w:color w:val="auto"/>
              </w:rPr>
              <w:t>Interest rate contracts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net assets</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15,828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1,160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r>
      <w:tr>
        <w:trPr>
          <w:trHeight w:val="266"/>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Change in Unrealized</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Net</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7"/>
              </w:rPr>
              <w:t>Attributable to Assets</w:t>
            </w:r>
          </w:p>
        </w:tc>
      </w:tr>
      <w:tr>
        <w:trPr>
          <w:trHeight w:val="135"/>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Realized/Unrealized</w:t>
            </w:r>
          </w:p>
        </w:tc>
        <w:tc>
          <w:tcPr>
            <w:tcW w:w="26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and</w:t>
            </w:r>
          </w:p>
        </w:tc>
        <w:tc>
          <w:tcPr>
            <w:tcW w:w="13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Transfers Into/Out of</w:t>
            </w: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Balance at</w:t>
            </w:r>
          </w:p>
        </w:tc>
        <w:tc>
          <w:tcPr>
            <w:tcW w:w="100" w:type="dxa"/>
            <w:vAlign w:val="bottom"/>
          </w:tcPr>
          <w:p>
            <w:pPr>
              <w:spacing w:after="0"/>
              <w:rPr>
                <w:sz w:val="11"/>
                <w:szCs w:val="11"/>
                <w:color w:val="auto"/>
              </w:rPr>
            </w:pPr>
          </w:p>
        </w:tc>
        <w:tc>
          <w:tcPr>
            <w:tcW w:w="114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92"/>
              </w:rPr>
              <w:t>Held at</w:t>
            </w:r>
          </w:p>
        </w:tc>
      </w:tr>
      <w:tr>
        <w:trPr>
          <w:trHeight w:val="174"/>
        </w:trPr>
        <w:tc>
          <w:tcPr>
            <w:tcW w:w="412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January 1, 2012</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Gains (Losses)</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Settlements, Net</w:t>
            </w:r>
          </w:p>
        </w:tc>
        <w:tc>
          <w:tcPr>
            <w:tcW w:w="2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3</w:t>
            </w:r>
          </w:p>
        </w:tc>
        <w:tc>
          <w:tcPr>
            <w:tcW w:w="12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December 31, 2012</w:t>
            </w:r>
          </w:p>
        </w:tc>
        <w:tc>
          <w:tcPr>
            <w:tcW w:w="100" w:type="dxa"/>
            <w:vAlign w:val="bottom"/>
          </w:tcPr>
          <w:p>
            <w:pPr>
              <w:spacing w:after="0"/>
              <w:rPr>
                <w:sz w:val="15"/>
                <w:szCs w:val="15"/>
                <w:color w:val="auto"/>
              </w:rPr>
            </w:pPr>
          </w:p>
        </w:tc>
        <w:tc>
          <w:tcPr>
            <w:tcW w:w="1140" w:type="dxa"/>
            <w:vAlign w:val="bottom"/>
          </w:tcPr>
          <w:p>
            <w:pPr>
              <w:jc w:val="center"/>
              <w:ind w:right="42"/>
              <w:spacing w:after="0"/>
              <w:rPr>
                <w:sz w:val="20"/>
                <w:szCs w:val="20"/>
                <w:color w:val="auto"/>
              </w:rPr>
            </w:pPr>
            <w:r>
              <w:rPr>
                <w:rFonts w:ascii="Arial" w:cs="Arial" w:eastAsia="Arial" w:hAnsi="Arial"/>
                <w:sz w:val="13"/>
                <w:szCs w:val="13"/>
                <w:b w:val="1"/>
                <w:bCs w:val="1"/>
                <w:color w:val="auto"/>
                <w:w w:val="87"/>
              </w:rPr>
              <w:t>December 31, 2012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and preferred stocks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Government and agency debt securities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Mortgage and asset-backed securities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24</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Group annuity contracts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funds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funds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w:t>
            </w:r>
          </w:p>
        </w:tc>
      </w:tr>
      <w:tr>
        <w:trPr>
          <w:trHeight w:val="237"/>
        </w:trPr>
        <w:tc>
          <w:tcPr>
            <w:tcW w:w="4120" w:type="dxa"/>
            <w:vAlign w:val="bottom"/>
          </w:tcPr>
          <w:p>
            <w:pPr>
              <w:ind w:left="200"/>
              <w:spacing w:after="0"/>
              <w:rPr>
                <w:sz w:val="20"/>
                <w:szCs w:val="20"/>
                <w:color w:val="auto"/>
              </w:rPr>
            </w:pPr>
            <w:r>
              <w:rPr>
                <w:rFonts w:ascii="Arial" w:cs="Arial" w:eastAsia="Arial" w:hAnsi="Arial"/>
                <w:sz w:val="16"/>
                <w:szCs w:val="16"/>
                <w:color w:val="auto"/>
              </w:rPr>
              <w:t>Fixed income funds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Funds of hedge funds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239</w:t>
            </w:r>
          </w:p>
        </w:tc>
      </w:tr>
      <w:tr>
        <w:trPr>
          <w:trHeight w:val="237"/>
        </w:trPr>
        <w:tc>
          <w:tcPr>
            <w:tcW w:w="4120" w:type="dxa"/>
            <w:vAlign w:val="bottom"/>
          </w:tcPr>
          <w:p>
            <w:pPr>
              <w:ind w:left="200"/>
              <w:spacing w:after="0"/>
              <w:rPr>
                <w:sz w:val="20"/>
                <w:szCs w:val="20"/>
                <w:color w:val="auto"/>
              </w:rPr>
            </w:pPr>
            <w:r>
              <w:rPr>
                <w:rFonts w:ascii="Arial" w:cs="Arial" w:eastAsia="Arial" w:hAnsi="Arial"/>
                <w:sz w:val="16"/>
                <w:szCs w:val="16"/>
                <w:color w:val="auto"/>
              </w:rPr>
              <w:t>Other investment funds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equity and debt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154</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Real estate investments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5,092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4,335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27,262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(13,093)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15,958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318</w:t>
            </w: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net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200"/>
              <w:spacing w:after="0"/>
              <w:rPr>
                <w:sz w:val="20"/>
                <w:szCs w:val="20"/>
                <w:color w:val="auto"/>
              </w:rPr>
            </w:pPr>
            <w:r>
              <w:rPr>
                <w:rFonts w:ascii="Arial" w:cs="Arial" w:eastAsia="Arial" w:hAnsi="Arial"/>
                <w:sz w:val="16"/>
                <w:szCs w:val="16"/>
                <w:color w:val="auto"/>
              </w:rPr>
              <w:t>Interest rate contracts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exchange and other contracts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net assets</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27,263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(13,102)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15,950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317</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activity for non-U.S. plan assets measured at fair value using Level 3 inputs (dollars in millions):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341"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Change in</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91"/>
              </w:rPr>
              <w:t>Unrealized</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Net</w:t>
            </w: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Transfers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Effect of</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Balance at</w:t>
            </w: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90"/>
              </w:rPr>
              <w:t>Attributable to</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9"/>
              </w:rPr>
              <w:t>Realized/Unrealized</w:t>
            </w:r>
          </w:p>
        </w:tc>
        <w:tc>
          <w:tcPr>
            <w:tcW w:w="28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and</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Into/Out of</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84"/>
              </w:rPr>
              <w:t>Assets Held at</w:t>
            </w:r>
          </w:p>
        </w:tc>
      </w:tr>
      <w:tr>
        <w:trPr>
          <w:trHeight w:val="174"/>
        </w:trPr>
        <w:tc>
          <w:tcPr>
            <w:tcW w:w="37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January 1, 2013</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Gains (Losses)</w:t>
            </w:r>
          </w:p>
        </w:tc>
        <w:tc>
          <w:tcPr>
            <w:tcW w:w="1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Settlements, Net</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Level 3</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5"/>
                <w:szCs w:val="15"/>
                <w:color w:val="auto"/>
              </w:rPr>
            </w:pPr>
          </w:p>
        </w:tc>
        <w:tc>
          <w:tcPr>
            <w:tcW w:w="90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December 31, 2013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Mortgage and asset-backed securities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Fixed income funds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Funds of hedge funds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112</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Private equity and debt investments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53</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122</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4</w:t>
            </w: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292</w:t>
            </w: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6"/>
        </w:trPr>
        <w:tc>
          <w:tcPr>
            <w:tcW w:w="3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Change in</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91"/>
              </w:rPr>
              <w:t>Unrealized</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85"/>
              </w:rPr>
              <w:t>Gains/(Losses)</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Net</w:t>
            </w: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Purchases, Sales</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Transfers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Effect of</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Balance at</w:t>
            </w: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90"/>
              </w:rPr>
              <w:t>Attributable to</w:t>
            </w:r>
          </w:p>
        </w:tc>
      </w:t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Balance at</w:t>
            </w:r>
          </w:p>
        </w:tc>
        <w:tc>
          <w:tcPr>
            <w:tcW w:w="13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99"/>
              </w:rPr>
              <w:t>Realized/Unrealized</w:t>
            </w:r>
          </w:p>
        </w:tc>
        <w:tc>
          <w:tcPr>
            <w:tcW w:w="28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and</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Into/Out of</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98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84"/>
              </w:rPr>
              <w:t>Assets Held at</w:t>
            </w:r>
          </w:p>
        </w:tc>
      </w:tr>
      <w:tr>
        <w:trPr>
          <w:trHeight w:val="174"/>
        </w:trPr>
        <w:tc>
          <w:tcPr>
            <w:tcW w:w="37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January 1, 2012</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Gains (Losses)</w:t>
            </w:r>
          </w:p>
        </w:tc>
        <w:tc>
          <w:tcPr>
            <w:tcW w:w="1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Settlements, Net</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Level 3</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5"/>
                <w:szCs w:val="15"/>
                <w:color w:val="auto"/>
              </w:rPr>
            </w:pPr>
          </w:p>
        </w:tc>
        <w:tc>
          <w:tcPr>
            <w:tcW w:w="90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2012</w:t>
            </w:r>
          </w:p>
        </w:tc>
        <w:tc>
          <w:tcPr>
            <w:tcW w:w="1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December 31, 2012</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Government and agency debt securities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and 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Investment funds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funds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Fixed income funds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Funds of hedge funds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26</w:t>
            </w: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Other investment funds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equity and debt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investments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119</w:t>
            </w:r>
          </w:p>
        </w:tc>
      </w:tr>
      <w:tr>
        <w:trPr>
          <w:trHeight w:val="33"/>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w:t>
            </w: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3,078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3,114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179</w:t>
            </w: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Fund Strategies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Equity funds include funds that invest in U.S. common and preferred stocks as well as similar equity securities issued by companies incorporated, listed or domiciled in developed and/or emerging markets countries.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Fixed income funds include investments in high quality and high yield funds as well as in credit arbitrage funds. High quality fixed income funds invest in government securities, investment-grade corporate bonds, mortgages and asset-backed securities. High yield fixed income funds invest in high yield fixed income securities issued by corporations which are rated below investment grade, are unrated but are believed by the investment manager to have similar risk characteristics or are rated investment grade or higher but are priced at yields comparable to securities rated below investment grade and believed to have similar risk characteristics. Credit arbitrage funds invest in a variety of credit and credit-related instruments that allow fund managers to profit from mispricing of these credit instruments. Certain derivatives may be used for hedging purposes by some fixed income fund managers to limit exposure to various risk factors.</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Funds of hedge funds represent funds that invest in a portfolio of hedge funds. Fund managers typically seek to achieve their objectives by allocating capital across a broad array of funds and/or investment managers.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341"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Other investment funds primarily represent multi-strategy funds. These funds invest in broadly diversified portfolios of equity, fixed income and derivative instruments. Certain funds may also employ multiple alternative investment strategies, in combination, such as global macro, event-driven (which seeks to profit from opportunities created by significant transactional events such as spin-offs, mergers and acquisitions, bankruptcy reorganizations, recapitalizations and share buybacks) and relative value (which seeks to take advantage of pricing discrepancies between instruments including equities, debt, options and futures).</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Private equity and debt investments principally consists of investments in private equity and debt funds. These investments provide exposure to and benefit from long-term equity investments in private companies, including leveraged buy-outs, venture capital and distressed debt strategies.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Real estate investments include funds that invest in entities which are principally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Significant Concentrations of Risk</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assets of the pension plans include certain private investment funds, private equity and debt securities, real estate investments and derivative instruments.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fixed income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Counterparty credit risk is the risk that a counterparty to a financial instrument will default on its commitment. Counterparty risk is primarily related to over-the-counter derivative instruments used to manage risk exposures related to interest rates on long-term debt securities and foreign currency exchange rate fluctuations. The risk of default can be influenced by various factors including macro-economic conditions, market liquidity, fiscal and monetary policies and counterparty-specific characteristics and activities. Certain agreements with counterparties employ set-off, collateral support arrangements and other risk mitigating procedures designed to reduce the net exposure to credit risk in the event of counterparty default. Credit policies and processes are in place to manage concentrations of counterparty risk by seeking to undertake transactions with large well-capitalized counterparties and by monitoring the creditworthiness of these counterparties. The majority of derivatives held by the plans at December 31, 2013 were fully collateralized and therefore, the related counterparty credit risk was significantly reduced.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Funding Requirements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are subject to a variety of U.S. federal rules and regulations, including the Employee Retirement Income Security Act of 1974, as amended and the Pension Protection Act of 2006, which govern the manner in which we fund and administer our pensions for our retired employees and their spouses. In 2012 the U.S. government enacted the Moving Ahead for Progress in the 21st Century Act which allows plan sponsors funding relief for pension plans through the application of higher funding interest rates. As a result, under current economic conditions, we expect no mandatory contributions to our U.S. qualified pension plans for at least five years. The new law does not impact our reported funded status. We have no funding requirements for our U.S. qualified plans in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4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also maintain pension plans for employees in a number of countries outside the U.S. which are subject to local laws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net benefit payments expected to be paid in the future, which include assumptions related to estimated future employee service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Pension Benefits(a)</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Other Benefits</w:t>
            </w: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Non-U.S. Plans</w:t>
            </w: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5,687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5,368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2019 - 2023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24,019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7,858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357</w:t>
            </w: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Benefits for most U.S. pension plans and certain non-U.S. pension plans are paid out of plan assets rather than our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At December 31, 2013 and 2012 our derivative instruments consisted primarily of options and forward contracts, none of which were designated as hedging relationships. We had derivative instruments in asset positions with notional amounts of $9.3 billion and $9.1 billion and liability positions with notional amounts of $427 million and $1.6 billion at December 31, 2013 and 2012. The fair value of these derivative instruments was insignificant.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had interest rate swaps and caps in asset positions with notional amounts of $3.8 billion and $775 million and liability positions with notional amounts of $5.5 billion and $775 million at December 31, 2013 and 2012. As a result of the acquisition of certain Ally Financial international operations, GM Financial had foreign currency swaps with notional amounts of $1.7 billion and $2.1 billion in asset and liability positions at December 31, 2013. The fair value of these derivative financial instruments was insignificant.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Liability Recorded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Maximum</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Liability Recorded</w:t>
            </w:r>
          </w:p>
        </w:tc>
        <w:tc>
          <w:tcPr>
            <w:tcW w:w="200" w:type="dxa"/>
            <w:vAlign w:val="bottom"/>
          </w:tcPr>
          <w:p>
            <w:pPr>
              <w:spacing w:after="0"/>
              <w:rPr>
                <w:sz w:val="13"/>
                <w:szCs w:val="13"/>
                <w:color w:val="auto"/>
              </w:rPr>
            </w:pPr>
          </w:p>
        </w:tc>
        <w:tc>
          <w:tcPr>
            <w:tcW w:w="10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Liability(a)</w:t>
            </w: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Arial" w:cs="Arial" w:eastAsia="Arial" w:hAnsi="Arial"/>
                <w:sz w:val="14"/>
                <w:szCs w:val="14"/>
                <w:b w:val="1"/>
                <w:bCs w:val="1"/>
                <w:color w:val="auto"/>
              </w:rPr>
              <w:t>Liability(a)</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Guarantees</w:t>
            </w: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commercial loans and other obligations(b)</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15,616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22,496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product-related claims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6060" w:type="dxa"/>
            <w:vAlign w:val="bottom"/>
          </w:tcPr>
          <w:p>
            <w:pPr>
              <w:jc w:val="right"/>
              <w:ind w:right="5070"/>
              <w:spacing w:after="0"/>
              <w:rPr>
                <w:sz w:val="20"/>
                <w:szCs w:val="20"/>
                <w:color w:val="auto"/>
              </w:rPr>
            </w:pPr>
            <w:r>
              <w:rPr>
                <w:rFonts w:ascii="Arial" w:cs="Arial" w:eastAsia="Arial" w:hAnsi="Arial"/>
                <w:sz w:val="18"/>
                <w:szCs w:val="18"/>
                <w:color w:val="auto"/>
                <w:w w:val="87"/>
              </w:rPr>
              <w:t>__________</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liabilities recorded of $10 million and $15 million and maximum liabilities of $15.3 billion and $22.1 billion related to Ally Financial repurchase obligations at December 31, 2013 and 2012.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4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Liability Recorded</w:t>
            </w:r>
          </w:p>
        </w:tc>
      </w:tr>
      <w:tr>
        <w:trPr>
          <w:trHeight w:val="264"/>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22"/>
                <w:szCs w:val="22"/>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litigation-related liability and tax administrative matters(a)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601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card programs(b)</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Redemption liability(c)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revenue(d)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Environmental 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166</w:t>
            </w: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indirect tax-related litigation as well as various non-U.S. labor related matters.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 December 31, 2013 and 2012 qualified cardholders had rebates available, net of deferred program revenue, of approximately $2.6 billion and $2.9 billion.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or rental car companies. These guarantees either expire in 2018 or are ongoing. We determined the fair value ascribed to the guarantees at inception and subsequent to inception to be insignificant based on the credit worthiness of the third parties.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2014 through 2016 or are ongoing, or upon the occurrence of specific events.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ASC 740, "Income Taxes" (indirect tax-related matters) and environmental matters.</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w:t>
      </w:r>
    </w:p>
    <w:p>
      <w:pPr>
        <w:sectPr>
          <w:pgSz w:w="11900" w:h="16838" w:orient="portrait"/>
          <w:cols w:equalWidth="0" w:num="1">
            <w:col w:w="11420"/>
          </w:cols>
          <w:pgMar w:left="240" w:top="34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341" w:right="2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funds in escrow. Escrow deposits may range from $500 million to $800 million. Some of the matters may involve compensatory, punitive or other treble damage claims, environmental remediation programs or sanctions that, if granted, could require us to pay damages or make other expenditures in amounts that could not be reasonably estimated at December 31, 2013.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67" w:lineRule="auto"/>
        <w:rPr>
          <w:sz w:val="20"/>
          <w:szCs w:val="20"/>
          <w:color w:val="auto"/>
        </w:rPr>
      </w:pPr>
      <w:r>
        <w:rPr>
          <w:rFonts w:ascii="Arial" w:cs="Arial" w:eastAsia="Arial" w:hAnsi="Arial"/>
          <w:sz w:val="17"/>
          <w:szCs w:val="17"/>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In November 2012 the Seoul High Court (an intermediate level appellate court) issued a decision affirming a decision of the Incheon District Court in a case involving five GM Korea employees which was contrary to GM Korea's position in all of these cases. GM Korea appealed to the Supreme Court of the Republic of Korea (Supreme Court) and initiated a constitutional challenge to the adverse interpretation of the relevant statute. At September 30, 2013 we had an accrual of 843 billion South Korean Won (equivalent to $784 million) in connection with these cases.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We believe the Supreme Court’s reasoning is applicable to GM Korea, even though GM Korea’s case remains pending before the Supreme Court. Accordingly, we have eliminated the accrual associated with these cases. In the year ended December 31, 2013 we recorded a net reduction of our accrual of 746 billion South Korean Won (equivalent to $711 million) to Automotive cost of sales (77% of which is reflected in our Net income attributable to stockholders based on our ownership interest in GM Korea). We estimate our reasonably possible loss, as defined by ASC 450, “Contingencies,” to be 632 billion South Korean Won (equivalent to $599 million) at December 31, 2013. We are also party to litigation with current and former salaried employees over allegations relating to Ordinary Wages regulation. Although the issues differ due to differences between hourly and salaried benefit design, we believe the latest decision of the Supreme Court also impacts this litigation. At December 31, 2013 we have identified a reasonably possible loss in excess of the amount of our accrual of 165 billion South Korean Won (equivalent to $156 million). Both the scope of claims asserted and GM Korea's assessment of any or all of the individual claim elements may change if new information becomes available.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83" w:lineRule="auto"/>
        <w:rPr>
          <w:sz w:val="20"/>
          <w:szCs w:val="20"/>
          <w:color w:val="auto"/>
        </w:rPr>
      </w:pPr>
      <w:r>
        <w:rPr>
          <w:rFonts w:ascii="Arial" w:cs="Arial" w:eastAsia="Arial" w:hAnsi="Arial"/>
          <w:sz w:val="16"/>
          <w:szCs w:val="16"/>
          <w:color w:val="auto"/>
        </w:rPr>
        <w:t>On February 12, 2010 a claim was filed in the Ontario Superior Court of Justice against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Canadian Dollar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w:t>
      </w:r>
    </w:p>
    <w:p>
      <w:pPr>
        <w:spacing w:after="0" w:line="4" w:lineRule="exact"/>
        <w:rPr>
          <w:sz w:val="20"/>
          <w:szCs w:val="20"/>
          <w:color w:val="auto"/>
        </w:rPr>
      </w:pPr>
    </w:p>
    <w:p>
      <w:pPr>
        <w:jc w:val="both"/>
        <w:ind w:firstLine="8"/>
        <w:spacing w:after="0" w:line="302" w:lineRule="auto"/>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assuming liability, whether the Plaintiff Dealers can recover damages in the aggregate (as opposed to proving individual damages). A number of former dealers have opted out of participation in the litigation, leaving 181 dealers in the certified class. Trial of the class issues is scheduled to occur in the third quarter of 2014. The current prospects for liability are uncertain, but because liability is not deemed probable we have no accrual relating to this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4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litigation. We cannot estimate the range of reasonably possible loss in the event of liability as the case presents a variety of different legal theories, none of which GMCL believes are valid.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April 6, 2010 the UAW filed suit against us in the U.S. District Court for the Eastern District of Michigan claiming that we breached an obligation to contribute $450 million to the UAW Retiree Medical Benefits Trust (New VEBA). The UAW alleges that we were contractually required to make this contribution. On December 10, 2013 the court granted our motion for summary judgment and dismissed the claims asserted by the UAW, holding that the relevant agreement is unambiguous and does not require the payment sought. The UAW has appealed. At this juncture, we believe the prospects for liability on the claims asserted in this matter are remote.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Nova Scotia Claims Litigation</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were a participating party-in-interest in proceedings pending in the U.S. Bankruptcy Court for the Southern District of New York to adjudicate claims in the Old GM bankruptcy arising from certain securities issued by General Motors Nova Scotia Finance Company (Nova Scotia Finance), an Old GM subsidiary which we did not acquire in 2009 (Nova Scotia Claims Litigation). Although the proceedings involved no claims against us, they presented issues which, depending upon their resolution, could have resulted in future claims against GMCL. In December 2013, pursuant to the agreement, GMCL paid $50 million to, or as directed by, the Trustee of Nova Scotia Finance and we (including our subsidiaries and affiliates) were released from all claims relating to Nova Scotia Finance, the Nova Scotia Claims Litigation and the transactions at issue in the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With respect to product liability claims involving our and Old GM's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Liabilities have been recorded in Accrued liabilities and Other liabilities and deferred income taxes for the expected cost of all known product liability claims plus an estimate of the expected cost for product liability claims that have already been incurred and are expected to be filed in the future for which we are self-insured.</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indemnify dealers for certain product liability related claims including products sold by Old GM. We monitor actual claims experience and make periodic adjustments to our estimates. Based on both management's judgment concerning the projected number and value of both dealer indemnification obligations and product liability claims, we have applied actuarial methodologies and estimated the liability. We expect our product liability reserve to rise in future periods as new claims arise from incidents subsequent to July 9,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Programs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Credit card programs offer rebates that can be applied primarily against the purchase or lease of our vehicles.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Liabilities have been recorded primarily in Other liabilities and deferred income taxes for the expected costs to be paid over the periods of remediation for the applicable sites, which typically range from five to 30 years.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December 31, 2013 we estimate the remediation losses could range from $120 million to $230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4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3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December 31, 2013 we believe it is reasonably assured that the program requirements will be met based on the current business model and available technologies</w:t>
      </w:r>
      <w:r>
        <w:rPr>
          <w:rFonts w:ascii="Arial" w:cs="Arial" w:eastAsia="Arial" w:hAnsi="Arial"/>
          <w:sz w:val="19"/>
          <w:szCs w:val="19"/>
          <w:color w:val="auto"/>
        </w:rPr>
        <w: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Planned Spending Guarantee</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$200 million and $186 million at December 31, 2013 and 2012 was pledged as collateral under the agreement. Through December 31, 2013 spending was sufficient to meet the current requirements under the agreement and the specified milestones have been accomplished. Management has the intent and believes it has the ability to meet the future requirements under the agreement.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identified an emissions compliance issue with the Tavera produced in India. We have self-reported this issue to local government authorities and will cooperate with any review they may conduct. It is too early to determine the impact this issue will have on us or our Indian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Asset retirement obligations relate to legal obligations associated with retirement of tangible long-lived assets that result from acquisition, construction, development or normal operation of a long-lived asset. An analysis is performed of such obligations associated with all real property owned or leased, including facilities, warehouses and offices. Estimates of conditional asset retirement obligations relate, in the case of owned properties, to costs estimated to be necessary for the legally required removal or remediation of various regulated materials, primarily asbestos. Asbestos abatement was estimated using site-specific surveys where available and a per square foot estimate where surveys were unavailable. For leased properties such obligations relate to the estimated cost of contractually required property restoration. At December 31, 2013 and 2012 accruals for asset retirement obligations were $159 million and $116 million.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Noncancelable Operating Leases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our minimum commitments under noncancelable operating leases having initial terms in excess of one year, primarily for property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commitments(a)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380" w:type="dxa"/>
            <w:vAlign w:val="bottom"/>
            <w:vMerge w:val="restart"/>
          </w:tcPr>
          <w:p>
            <w:pPr>
              <w:jc w:val="right"/>
              <w:ind w:right="439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of the leases contain escalation clauses and renewal or purchase options.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Rental expense under operating leases was $477 million, $474 million and $556 million in the years ended December 31, 2013, 2012 and 2011.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income (loss) before income taxes and equity income and gain on investments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4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Non-U.S. income (loss)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equity income and gain on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Income Tax Expense (Benefit)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180"/>
              <w:spacing w:after="0"/>
              <w:rPr>
                <w:sz w:val="20"/>
                <w:szCs w:val="20"/>
                <w:color w:val="auto"/>
              </w:rPr>
            </w:pPr>
            <w:r>
              <w:rPr>
                <w:rFonts w:ascii="Arial" w:cs="Arial" w:eastAsia="Arial" w:hAnsi="Arial"/>
                <w:sz w:val="18"/>
                <w:szCs w:val="18"/>
                <w:color w:val="auto"/>
              </w:rPr>
              <w:t>The following table summarizes Income tax expense (benefit) (dollars in millions):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income tax expense (benefit)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state and local</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expense (benefit)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Provisions are made for estimated U.S. and non-U.S. income taxes, less available tax credits and deductions, which may be incurred on the remittance of our basis differences in investments in foreign subsidiaries and corporate joint ventures not deemed to be indefinitely reinvested. Taxes have not been provided on basis differences in investments primarily as a result of earnings in foreign subsidiaries and corporate joint ventures which are deemed indefinitely reinvested of $2.6 billion and $1.4 billion at December 31, 2013 and 2012. Additional basis differences in investments in nonconsolidated China JVs exist of $4.1 billion at December 31, 2013 and 2012 primarily related to fresh-start reporting. Quantification of the deferred tax liability, if any, associated with indefinitely reinvested basis differences is not practicable.</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a reconciliation of Income tax expense (benefit) compared with the amounts at the U.S. federal statutory rate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4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at U.S. federal statutory income tax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and local tax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income taxed at other than 35%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tax credit election change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on Non-U.S.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laws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Research incentives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New Delphi equity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prior year tax matters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VEBA contribution</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remeasurement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Pension contribution</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salaried pension plan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 Assets and Liabilities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Deferred income tax assets and liabilities at December 31, 2013 and 2012 reflect the effect of temporary differences between amounts of assets, liabilities and equity for financial reporting purposes and the bases of such assets, liabilities and equity as measured by tax laws, as well as tax loss and tax credit carryforwards. The following table summarizes the components of temporary differences and carryforwards that give rise to deferred tax assets and liabilities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6"/>
                <w:szCs w:val="16"/>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Pension and other employee benefit plans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dealer and customer allowances, claims and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plants and equipment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research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loss and tax credit carryforwards(a)</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19,342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Miscellaneous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37"/>
        </w:trPr>
        <w:tc>
          <w:tcPr>
            <w:tcW w:w="7900" w:type="dxa"/>
            <w:vAlign w:val="bottom"/>
          </w:tcPr>
          <w:p>
            <w:pPr>
              <w:ind w:left="200"/>
              <w:spacing w:after="0"/>
              <w:rPr>
                <w:sz w:val="20"/>
                <w:szCs w:val="20"/>
                <w:color w:val="auto"/>
              </w:rPr>
            </w:pPr>
            <w:r>
              <w:rPr>
                <w:rFonts w:ascii="Arial" w:cs="Arial" w:eastAsia="Arial" w:hAnsi="Arial"/>
                <w:sz w:val="18"/>
                <w:szCs w:val="18"/>
                <w:color w:val="auto"/>
              </w:rPr>
              <w:t>Total deferred tax assets before valuation allowances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36,586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63"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operating loss and tax credit carryforwards of $16.3 billion expiring through 2033 and $3.0 billion that may be carried forward indefinitely at December 31, 2013.</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341"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2013 we retained valuation allowances of $10.8 billion against deferred tax assets primarily in GME and South Korea business units with losses and in the U.S. and Canada related primarily to capital loss tax attributes and state operating loss carryforwards.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December 31, 2012 as a result of sustained profitability in the U.S. and Canada evidenced by three years of earnings and the completion of our near- and medium-term business plans in the three months ended December 31, 2012 that forecast continuing profitability, we determined it was more likely than not future earnings will be sufficient to realize deferred tax assets in these two jurisdictions. Accordingly we reversed most of the U.S. and Canadian valuation allowances resulting in non-cash income tax benefits of $33.2 billion and $3.1 billion.</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At December 31, 2011 as a result of sustained profitability in Australia, we released the valuation allowance against deferred tax assets. The reduction in the valuation allowance resulted in a non-cash income tax benefit of $502 million. In Australia we have net operating loss carryforwards which are subject to meeting a "Same Business Test" requirement that we assess on a quarterly basis. At December 31, 2013 as a result of our plans to cease vehicle and engine manufacturing at Holden, we determined that it was more likely than not Holden would not realize a portion of the deferred tax assets and recorded a valuation allowance in the amount of $133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of the total amounts of unrecognized tax benefits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to current year tax positions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prior years'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Reductions to prior years' tax 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At December 31, 2013 and 2012 there are $1.5 billion and $1.2 billion of unrecognized tax benefits that if recognized would favorably affect our effective tax rate in the future. In the years ended December 31, 2013, 2012 and 2011 we recorded income tax related interest expense (benefit) and penalties of $(25) million, $44 million and $(145) million. The interest and penalty benefit in the year ended December 31, 2011 was due primarily to remeasurements, settlements and statute expirations. At December 31, 2013 and 2012 we had liabilities of $286 million and $222 million for income tax related interest and penalties.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November 2013 we remeasured a previously disclosed uncertain tax position and recorded a $473 million tax benefit that increased net operating loss carryforwards, reducing future taxable income.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2011 certain issues were resolved relating to uncertain tax positions in jurisdictions which had full valuation allowances. The resolution of these matters resulted in a $2.7 billion reduction to gross uncertain positions. No tax benefit was recognized with respect to these reductions because the entities were in full valuation allowance jurisdictions or the amounts were reserved in a prior period.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2013 it is not possible to reasonably estimate the expected change to the total amount of unrecognized tax benefits in the next twelve months.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Income tax returns are filed in multiple jurisdictions and are subject to examination by taxing authorities throughout the world. We have open tax years from 2005 to 2013 with various significant tax jurisdictions. These open years contain matters that could be subject to differing interpretations of applicable tax laws and regulations as they relate to the amount, character, timing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4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inclusion of revenue and expenses or the sustainability of income tax credits for a given audit cycle. Given the global nature of our operations there is a risk that transfer pricing disputes may arise.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net operating loss carryforwards in Germany through November 30, 2009 that, as a result of reorganizations that took place in 2008 and 2009, were not recorded as deferred tax assets. Depending on the outcome of European court decisions these loss carryforwards may be available to reduce future taxable income in Germany.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June 2011 we settled a Brazilian income tax matter for $241 million that was reserved and disclosed in a prior period.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U.S. we have continuing responsibility for Old GM's open tax years. Old GM was liquidated on December 15, 2011. The Internal Revenue Service has audited the returns through the liquidation date and, in January 2014, the audit of these returns was closed. The reduction to the amount of unrecognized tax benefits is not expected to be significant. In January 2013 the U.S. Congress enacted federal income tax legislation including an extension of the research credit for tax years 2012 and 2013. As a result, in the year ended December 31, 2013 we recorded an income tax benefit related to the 2012 research credit of approximately $200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GMIO</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GMSA</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2011(a)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Balance at December 31, 2011(a)</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Revisions to estimates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Effect of foreign currency</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2012(a)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Revisions to estimates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Balance at December 31, 2013(a)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3710"/>
              <w:spacing w:after="0"/>
              <w:rPr>
                <w:sz w:val="20"/>
                <w:szCs w:val="20"/>
                <w:color w:val="auto"/>
              </w:rPr>
            </w:pPr>
            <w:r>
              <w:rPr>
                <w:rFonts w:ascii="Arial" w:cs="Arial" w:eastAsia="Arial" w:hAnsi="Arial"/>
                <w:sz w:val="18"/>
                <w:szCs w:val="18"/>
                <w:color w:val="auto"/>
                <w:w w:val="87"/>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$353 million, $356 million and $376 million at December 31, 2013, 2012 and 2011 for GMNA, primarily relate to postemployment benefits to be paid.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4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GMNA recorded charges, interest accretion and other and revisions to estimates primarily related to cash severance incentive programs for skilled trade U.S. hourly employees and service cost for hourly layoff benefits. Due to the expected closure of the Oshawa Consolidated Plant in December 2016, affected employees will be eligible for a voluntary restructuring separation incentive program in accordance with the existing collective bargaining agreement that provides cash and a car voucher. During 2013 some of the affected employees separated and the related costs were recorded.</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GME recorded charges, interest accretion and other and revisions to estimates primarily related to our plan to terminate all vehicle and transmission production at our Bochum, Germany facility by the end of 2014. Through December 31, 2013 the active separation programs related to Germany had a total cost of $194 million and had affected a total of 450 employees. We expect to complete these programs in 2014 and incur additional charges of $650 million, which will affect an additional 3,300 employees.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GMIO recorded charges, interest accretion and other and revisions to estimates for separation programs in Australia and Korea and programs related to the withdrawal of the Chevrolet brand from Europe described below. Through December 31, 2013 the active separation programs in GMIO had a total cost of $420 million and had affected a total of 4,100 employees. We expect to complete these programs in 2017 and incur additional restructuring and other charges of $640 million.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GMSA recorded charges for active separation programs in Brazil. Through December 31, 2013 the active separation programs related to Brazil had a total cost of $103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GMNA recorded charges, interest accretion and other and revisions to estimates related to our 2011 UAW labor agreement and increased production capacity utilization in Canada. Our 2011 UAW labor agreement included cash severance incentive programs which were completed at March 31, 2012 for skilled trade U.S. hourly employees. A total of 1,400 skilled trade U.S. hourly employees participated in these programs at a total cost of $99 million which was recorded upon irrevocable acceptances by both parties. Substantially all of the program cost was recorded in the three months ended March 31, 2012.</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GME recorded charges, interest accretion and other and revisions to estimates for previously announced separation and early retirement programs. Through December 31, 2012 the active separation programs related to Germany and the United Kingdom had a total cost of $400 million and had affected a total of 2,550 employees, of which $310 million related to a program initiated in Germany in 2010.</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GMIO recorded charges, interest accretion and other related to voluntary separation programs primarily in Korea and Australia. Through December 31, 2012 these programs had a total cost of $69 million which affected 650 employees.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GMSA recorded charges of $87 million for employee separation costs related to a separation program in 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recorded charges, interest accretion and other primarily related to special attrition programs for skilled trade U.S. hourly employees, service cost for hourly layoff benefits and Canadian restructuring activities.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GME recorded charges, interest accretion and other for separation programs primarily related to previously announced programs in Germany. Through December 31, 2011 these programs had a total cost of $1.1 billion and affected a total of 6,700 employees and included the December 2010 closure of the Antwerp, Belgium facility.</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GMSA recorded charges, interest accretion and other for separation programs primarily related to the voluntary separation program in Brazil implemented in the three months ended December 31, 2011. A total of 900 employees in Brazil participated in the separation program at a total cost of $74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the Chevrolet Brand from Europe</w:t>
      </w:r>
    </w:p>
    <w:p>
      <w:pPr>
        <w:spacing w:after="0" w:line="229"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color w:val="auto"/>
        </w:rPr>
        <w:t>In December 2013 we announced our plans to focus our marketing and product portfolio on our Opel and Vauxhall brands in Western and Central Europe and cease mainstream distribution of Chevrolet brand in those markets in 2015. This decision impacts 1,200 Chevrolet dealers and distributors in the affected countries and 480 Chevrolet Europe employees. In the three months ended December 31, 2013 we recorded pre-tax charges of $636 million, net of noncontrolling interests of $124 million. These charges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4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dealer restructuring costs of $233 million and employee severance costs of $30 million which are reflected in the table above. The remaining charges for intangible asset impairments of $264 million and sales incentive, inventory related and other costs of $233 million are not included in the table above. We may incur additional charges for exit costs of up to $300 million primarily through the first half of 2014. Refer to Note 11 for additional information on the intangible asset impairment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 at Holden</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December 2013 we announced plans to cease vehicle and engine manufacturing and significantly reduce engineering operations at Holden by the end of 2017. Holden will continue to sell imported vehicles through its Holden dealer network and maintain its global design studio. This decision affects 2,900 employees from the Elizabeth vehicle manufacturing plant and Holden's Victorian workforce. In the three months ended December 31, 2013 we recorded pre-tax charges of $536 million in Automotive cost of sales consisting primarily of asset impairment charges of $477 million, including property, plant and equipment, which are not included in the table above. The remaining charges relate to exit-related costs, including certain employee severance related costs, of $59 million which are included in the table above. We expect to incur additional charges through 2017 for incremental future cash payments of employee severance once negotiations of the amount are completed. Refer to Note 9 for additional information on the property, plant and equipment impairment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Interest Income and Other Non-Operating Income,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Interest income and other non-operating income,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(losses) on derivatives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and royalties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transaction and translation gains (losses)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securities and other investments - realized and unrealized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income from technology agreements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57"/>
        </w:trPr>
        <w:tc>
          <w:tcPr>
            <w:tcW w:w="7440" w:type="dxa"/>
            <w:vAlign w:val="bottom"/>
          </w:tcPr>
          <w:p>
            <w:pPr>
              <w:spacing w:after="0"/>
              <w:rPr>
                <w:sz w:val="20"/>
                <w:szCs w:val="20"/>
                <w:color w:val="auto"/>
              </w:rPr>
            </w:pPr>
            <w:r>
              <w:rPr>
                <w:rFonts w:ascii="Arial" w:cs="Arial" w:eastAsia="Arial" w:hAnsi="Arial"/>
                <w:sz w:val="18"/>
                <w:szCs w:val="18"/>
                <w:color w:val="auto"/>
              </w:rPr>
              <w:t>Total interest income and other non-operating income,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Stockholders’ Equity and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156 million and 276 million shares of Series A Preferred Stock issued and outstanding at December 31, 2013 and 2012. There were no shares of Series B Preferred Stock issued and outstanding at December 31, 2013 and 100 million shares issued and outstanding at December 31, 2012. We had 1.5 billion and 1.4 billion shares of common stock issued and outstanding at December 31, 2013 and 2012.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significant features relating to our preferred stock (dollars in millions, except for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Dividends Paid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Liquidation</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gridSpan w:val="6"/>
          </w:tcPr>
          <w:p>
            <w:pPr>
              <w:jc w:val="center"/>
              <w:ind w:right="9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Preference Per</w:t>
            </w:r>
          </w:p>
        </w:tc>
        <w:tc>
          <w:tcPr>
            <w:tcW w:w="1440" w:type="dxa"/>
            <w:vAlign w:val="bottom"/>
            <w:gridSpan w:val="2"/>
            <w:vMerge w:val="restart"/>
          </w:tcPr>
          <w:p>
            <w:pPr>
              <w:ind w:left="100"/>
              <w:spacing w:after="0" w:line="139" w:lineRule="exact"/>
              <w:rPr>
                <w:sz w:val="20"/>
                <w:szCs w:val="20"/>
                <w:color w:val="auto"/>
              </w:rPr>
            </w:pPr>
            <w:r>
              <w:rPr>
                <w:rFonts w:ascii="Arial" w:cs="Arial" w:eastAsia="Arial" w:hAnsi="Arial"/>
                <w:sz w:val="14"/>
                <w:szCs w:val="14"/>
                <w:b w:val="1"/>
                <w:bCs w:val="1"/>
                <w:color w:val="auto"/>
              </w:rPr>
              <w:t>Dividend Rate Per</w:t>
            </w: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Annum</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Series B Preferred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Series A Preferred Stock</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341"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Series A Preferred Stock ranks senior with respect to liquidation preference and dividend rights to our common stock and Series B Preferred Stock and any other class or series of stock that we may issue. In the event of any voluntary or involuntary liquidation, dissolution or winding-up of our affairs, a holder of Series A Preferred Stock will be entitled to be paid, before any distribution or payment may be made to any holders of common stock or other series of stock, the liquidation amount and the amount of any accrued and unpaid dividends, if any, whether or not declared, prior to such distribution or payment date. On or after December 31, 2014, the Series A Preferred Stock may be redeemed, in whole or in part, for cash at a price per share equal to the $25.00 per share liquidation amount, plus any accrued and unpaid dividends. Upon a redemption or purchase of any or all Series A Preferred Stock, the difference, if any, between the recorded amount of the Series A Preferred Stock being redeemed or purchased and the consideration paid would be recorded as a charge to Net income attributable to common stockholders.</w:t>
      </w:r>
    </w:p>
    <w:p>
      <w:pPr>
        <w:spacing w:after="0" w:line="17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September 2013 we purchased 120 million shares (or 43.5% of the total shares outstanding) of our Series A Preferred Stock held by the New VEBA at a price equal to 108.1% of the aggregate liquidation amount for $3.2 billion. We recorded a loss for the difference between the carrying amount of the Series A Preferred Stock purchased and the consideration paid, which reduced Net income attributable to common stockholders by $816 million. If all of the remaining Series A Preferred Stock were redeemed or purchased at its par value, Net income available to common stockholders would be reduced by a charge of $800 million.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December 1, 2013 each of the 100 million shares of our Series B Preferred Stock outstanding automatically converted into 1.3736 shares of our common stock for a total of 137 million common shares. The number of shares of our common stock issued upon mandatory conversion of each share of Series B Preferred Stock was determined based on the average of the closing prices of our common stock over the 40 consecutive trading day period ended November 26, 2013.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Holders of our common stock are entitled to dividends at the sole discretion of our Board of Directors. However, the terms of the Series A Preferred Stock prohibit, subject to exceptions, the payment of dividends on our common stock unless all accrued and unpaid dividends on the Series A Preferred Stock are paid in full. Holders of common stock are entitled to one vote per share on all matters submitted to our stockholders for a vote. The liquidation rights of holders of our common stock are secondary to the payment or provision for payment of all our debts and liabilities and to holders of our Series A Preferred Stock, if any such shares are then outstanding.</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December 2012 we purchased 200 million shares of our common stock from the UST at a price of $27.50 per share for a total of $5.5 billion. The purchase price represented a premium to the prior day's closing price of $25.49. We allocated the purchase price between a direct reduction to shareholder's equity of $5.1 billion and a charge to Automotive selling, general and administrative expense of $402 million representing the premium. These shares were retired and returned to authorized but unissued status. In the year ended December 31, 2012 we issued 1.3 million shares of common stock for the settlement of restricted stock and salary stock awards and 400,000 shares for exercised warrants. Refer to Note 23 for additional information on our stock incentive plans.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In connection with the 363 Sale we issued two tranches of warrants, each to acquire 136 million shares of common stock, to MLC which have all been distributed to creditors of Old GM and to the GUC Trust by MLC and one tranche of warrants to acquire 46 million shares of common stock to the New VEBA. The first tranche of MLC warrants is exercisable at any time prior to July 10, 2016 at an exercise price of $10.00 per share and the second tranche of MLC warrants is exercisable at any time prior to July 10, 2019 at an exercise price of $18.33 per share. The New VEBA warrants, which were subsequently sold by the New VEBA, are exercisable at any time prior to December 31, 2015 at an exercise price of $42.31 per share. Upon exercise of the warrants, the shares issued will be included in the number of basic shares outstanding used in the computation of earnings per share. The number of shares of common stock underlying each of the warrants and the per share exercise price are subject to adjustment as a result of certain events, including stock splits, reverse stock splits and stock dividends. The outstanding balance of warrants was 293 million and 313 million at December 31, 2013 and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34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center"/>
              <w:ind w:left="392"/>
              <w:spacing w:after="0"/>
              <w:rPr>
                <w:sz w:val="20"/>
                <w:szCs w:val="20"/>
                <w:color w:val="auto"/>
              </w:rPr>
            </w:pPr>
            <w:r>
              <w:rPr>
                <w:rFonts w:ascii="Arial" w:cs="Arial" w:eastAsia="Arial" w:hAnsi="Arial"/>
                <w:sz w:val="14"/>
                <w:szCs w:val="14"/>
                <w:b w:val="1"/>
                <w:bCs w:val="1"/>
                <w:color w:val="auto"/>
                <w:w w:val="85"/>
              </w:rPr>
              <w:t>Years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Pre-tax</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Tax Expense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Pre-tax</w:t>
            </w:r>
          </w:p>
        </w:tc>
        <w:tc>
          <w:tcPr>
            <w:tcW w:w="24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Tax</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Pre-tax</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Tax Expense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Expense(Benefit)</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Foreign currency translation adjustments</w:t>
            </w: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 shares</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5"/>
        </w:trPr>
        <w:tc>
          <w:tcPr>
            <w:tcW w:w="3240" w:type="dxa"/>
            <w:vAlign w:val="bottom"/>
          </w:tcPr>
          <w:p>
            <w:pPr>
              <w:ind w:left="40"/>
              <w:spacing w:after="0"/>
              <w:rPr>
                <w:sz w:val="20"/>
                <w:szCs w:val="20"/>
                <w:color w:val="auto"/>
              </w:rPr>
            </w:pPr>
            <w:r>
              <w:rPr>
                <w:rFonts w:ascii="Arial" w:cs="Arial" w:eastAsia="Arial" w:hAnsi="Arial"/>
                <w:sz w:val="14"/>
                <w:szCs w:val="14"/>
                <w:color w:val="auto"/>
              </w:rPr>
              <w:t>Other comprehensive income (loss) attributable to</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40" w:type="dxa"/>
            <w:vAlign w:val="bottom"/>
          </w:tcPr>
          <w:p>
            <w:pPr>
              <w:ind w:left="200"/>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3"/>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flow hedging gains (losses), net</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5"/>
        </w:trPr>
        <w:tc>
          <w:tcPr>
            <w:tcW w:w="3240" w:type="dxa"/>
            <w:vAlign w:val="bottom"/>
          </w:tcPr>
          <w:p>
            <w:pPr>
              <w:ind w:left="40"/>
              <w:spacing w:after="0"/>
              <w:rPr>
                <w:sz w:val="20"/>
                <w:szCs w:val="20"/>
                <w:color w:val="auto"/>
              </w:rPr>
            </w:pPr>
            <w:r>
              <w:rPr>
                <w:rFonts w:ascii="Arial" w:cs="Arial" w:eastAsia="Arial" w:hAnsi="Arial"/>
                <w:sz w:val="14"/>
                <w:szCs w:val="14"/>
                <w:color w:val="auto"/>
                <w:w w:val="98"/>
              </w:rPr>
              <w:t>Other comprehensive income before reclassification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1"/>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adjustment</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Unrealized gain (loss) on securities,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5"/>
        </w:trPr>
        <w:tc>
          <w:tcPr>
            <w:tcW w:w="3240" w:type="dxa"/>
            <w:vAlign w:val="bottom"/>
          </w:tcPr>
          <w:p>
            <w:pPr>
              <w:ind w:left="40"/>
              <w:spacing w:after="0"/>
              <w:rPr>
                <w:sz w:val="20"/>
                <w:szCs w:val="20"/>
                <w:color w:val="auto"/>
              </w:rPr>
            </w:pPr>
            <w:r>
              <w:rPr>
                <w:rFonts w:ascii="Arial" w:cs="Arial" w:eastAsia="Arial" w:hAnsi="Arial"/>
                <w:sz w:val="14"/>
                <w:szCs w:val="14"/>
                <w:color w:val="auto"/>
                <w:w w:val="88"/>
              </w:rPr>
              <w:t>Other comprehensive income (loss) before reclassification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14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1"/>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adjustment</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2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Defined benefit plans, net</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(7,794)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65"/>
        </w:trPr>
        <w:tc>
          <w:tcPr>
            <w:tcW w:w="3240" w:type="dxa"/>
            <w:vAlign w:val="bottom"/>
          </w:tcPr>
          <w:p>
            <w:pPr>
              <w:ind w:left="40"/>
              <w:spacing w:after="0"/>
              <w:rPr>
                <w:sz w:val="20"/>
                <w:szCs w:val="20"/>
                <w:color w:val="auto"/>
              </w:rPr>
            </w:pPr>
            <w:r>
              <w:rPr>
                <w:rFonts w:ascii="Arial" w:cs="Arial" w:eastAsia="Arial" w:hAnsi="Arial"/>
                <w:sz w:val="14"/>
                <w:szCs w:val="14"/>
                <w:color w:val="auto"/>
                <w:w w:val="98"/>
              </w:rPr>
              <w:t>Other comprehensive income before reclassification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ind w:left="200"/>
              <w:spacing w:after="0"/>
              <w:rPr>
                <w:sz w:val="20"/>
                <w:szCs w:val="20"/>
                <w:color w:val="auto"/>
              </w:rPr>
            </w:pPr>
            <w:r>
              <w:rPr>
                <w:rFonts w:ascii="Arial" w:cs="Arial" w:eastAsia="Arial" w:hAnsi="Arial"/>
                <w:sz w:val="14"/>
                <w:szCs w:val="14"/>
                <w:color w:val="auto"/>
              </w:rPr>
              <w:t>adjustment - prior service cost (credit)</w:t>
            </w:r>
          </w:p>
        </w:tc>
        <w:tc>
          <w:tcPr>
            <w:tcW w:w="14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72"/>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8"/>
              </w:rPr>
              <w:t>Other comprehensive income (loss) before reclassification</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 - actuarial gain (loss)</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8,673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(7,568)</w:t>
            </w:r>
          </w:p>
        </w:tc>
        <w:tc>
          <w:tcPr>
            <w:tcW w:w="0" w:type="dxa"/>
            <w:vAlign w:val="bottom"/>
          </w:tcPr>
          <w:p>
            <w:pPr>
              <w:spacing w:after="0"/>
              <w:rPr>
                <w:sz w:val="1"/>
                <w:szCs w:val="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4"/>
                <w:szCs w:val="14"/>
                <w:color w:val="auto"/>
                <w:w w:val="90"/>
              </w:rPr>
              <w:t>Reclassification adjustment - prior service cost (credit)(a)</w:t>
            </w:r>
          </w:p>
        </w:tc>
        <w:tc>
          <w:tcPr>
            <w:tcW w:w="1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1"/>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Reclassification adjustment - actuarial gain (loss)(a)</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50"/>
        </w:trPr>
        <w:tc>
          <w:tcPr>
            <w:tcW w:w="32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8,729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3,036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5,693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(6,958)</w:t>
            </w:r>
          </w:p>
        </w:tc>
        <w:tc>
          <w:tcPr>
            <w:tcW w:w="0" w:type="dxa"/>
            <w:vAlign w:val="bottom"/>
          </w:tcPr>
          <w:p>
            <w:pPr>
              <w:spacing w:after="0"/>
              <w:rPr>
                <w:sz w:val="1"/>
                <w:szCs w:val="1"/>
                <w:color w:val="auto"/>
              </w:rPr>
            </w:pPr>
          </w:p>
        </w:tc>
      </w:tr>
      <w:tr>
        <w:trPr>
          <w:trHeight w:val="271"/>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 shares</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935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3,436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(8,194)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1,409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(6,074)</w:t>
            </w:r>
          </w:p>
        </w:tc>
        <w:tc>
          <w:tcPr>
            <w:tcW w:w="0" w:type="dxa"/>
            <w:vAlign w:val="bottom"/>
          </w:tcPr>
          <w:p>
            <w:pPr>
              <w:spacing w:after="0"/>
              <w:rPr>
                <w:sz w:val="1"/>
                <w:szCs w:val="1"/>
                <w:color w:val="auto"/>
              </w:rPr>
            </w:pPr>
          </w:p>
        </w:tc>
      </w:tr>
      <w:tr>
        <w:trPr>
          <w:trHeight w:val="251"/>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Accumulated Other Comprehensive Loss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4"/>
                <w:szCs w:val="14"/>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(7,619)</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(8,052)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(4,436)</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72"/>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8"/>
              </w:rPr>
              <w:t>Other comprehensive income (loss) before reclassification</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(7,424)</w:t>
            </w: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Reclassification adjustment</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304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7,955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(7,115)</w:t>
            </w:r>
          </w:p>
        </w:tc>
        <w:tc>
          <w:tcPr>
            <w:tcW w:w="0" w:type="dxa"/>
            <w:vAlign w:val="bottom"/>
          </w:tcPr>
          <w:p>
            <w:pPr>
              <w:spacing w:after="0"/>
              <w:rPr>
                <w:sz w:val="1"/>
                <w:szCs w:val="1"/>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4"/>
                <w:szCs w:val="14"/>
                <w:color w:val="auto"/>
              </w:rPr>
              <w:t>Purchase of noncontrolling interest shares</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2"/>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attributable to</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4"/>
                <w:szCs w:val="14"/>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3,467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(5,861)</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Included in the computation of net periodic pension and OPEB (income) expense. Refer to Note 15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229"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ectPr>
          <w:pgSz w:w="11900" w:h="16838" w:orient="portrait"/>
          <w:cols w:equalWidth="0" w:num="1">
            <w:col w:w="11420"/>
          </w:cols>
          <w:pgMar w:left="240" w:top="341" w:right="239" w:bottom="1093"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341" w:right="239" w:bottom="1093"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93"/>
              </w:rPr>
              <w:t>Less: cumulative dividends on preferred stock and charge related to purchase of preferred stock(a)</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Add: preferred dividends to holders of Series B Preferred Stock</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Less: cumulative dividends on preferred stock and charge related to purchase of preferred stock(a)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Less: undistributed earnings allocated to Series B Preferred Stock participating security</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Weighted-average common shares outstanding - diluted</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Dilutive effect of warrants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conversion of Series B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Dilutive effect of RSUs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earned but undeclared dividends of $15 million, $26 million and $26 million on our Series A Preferred Stock in the years ended December 31, 2013, 2012 and 2011 and $20 million on our Series B Preferred Stock in the years ended December 31, 2012 and 2011.</w:t>
      </w:r>
    </w:p>
    <w:p>
      <w:pPr>
        <w:spacing w:after="0" w:line="18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Holders of the Series B Preferred Stock had a right to participate in our undistributed earnings because a dividend, if declared, would result in a transfer of value to the holder through an adjustment to the fixed conversion ratios through various anti-dilution provisions. Based on the nature of the Series B Preferred Stock and the nature of these anti-dilution provisions, we concluded that the Series B Preferred Stock was a participating security and, as such, requires the application of the more dilutive of the two-class or if-converted method to calculate earnings per share when the applicable market value of our common stock is below or above the range of $33.00 to $39.60 per common share. For purposes of calculating earnings per share, the applicable market value is calculated as the average of the closing prices of our common stock over the 40 consecutive trading day period ending on the third trading day immediately preceding the date of our mandatory conversion in 2013 or the date of our financial statements for 2012 and 2011. The calculation of the applicable market value is applied to the full year, irrespective of the applicable market value computed during the prior quarters of the current year.</w:t>
      </w:r>
    </w:p>
    <w:p>
      <w:pPr>
        <w:spacing w:after="0" w:line="16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the mandatory conversion date of our Series B Preferred Stock, December 1, 2013, the applicable market value of our common stock was within the range of $33.00 to $39.60 per common share and, as such, we applied the if-converted method for purposes of calculating diluted earnings per share in the year ended December 31, 2013. In the years ended December 31, 2012 and 2011, we were required to use the two-class method for calculating earnings per share as the applicable market value of our common stock was below $33.00 per common share. 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34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impact on diluted earnings per share was an increase of $0.13 in the year ended December 31, 2013 using the if-converted as compared to the two-class method. Our calculation of earnings per share varied from period to period depending on whether the two-class or if-converted method was required.</w:t>
      </w:r>
    </w:p>
    <w:p>
      <w:pPr>
        <w:spacing w:after="0" w:line="12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 for December 31, 2012 and 2011.</w:t>
      </w:r>
    </w:p>
    <w:p>
      <w:pPr>
        <w:spacing w:after="0" w:line="16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years ended December 31, 2013, 2012 and 2011 warrants to purchase 46 million shares were not included in the computation of diluted earnings per share because the warrants' exercise price was greater than the average market price of the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Our stock incentive plans consist of the 2009 Long-Term Incentive Plan and the Salary Stock Plan. Both plans are administered by the Executive Compensation Committee of our Board of Directors. The aggregate number of shares with respect to which awards may be granted under these amended plans shall not exceed 75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We granted 7 million, 7 million and 5 million RSUs in the years ended December 31, 2013, 2012 and 2011. These awards granted either cliff vest or ratably vest generally over a three-year service period, as defined in the terms of each award. Our policy is to issue new shares upon settlement of RSUs.</w:t>
      </w:r>
    </w:p>
    <w:p>
      <w:pPr>
        <w:spacing w:after="0" w:line="12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2013 awards granted to the Top 25 highest compensated employees will settle on the second and third anniversary dates of grant in 25% increments consistent with the terms of the 2009 Long-Term Incentive Plan. The awards for the Next 75 highest compensated employees will settle on the second and third anniversary dates of grant. The awards for the non-Top 100 highest compensated employees will settle on the first, second and third anniversary dates of grant. Vesting and subsequent settlement will generally occur based upon employment at the end of each specified service period.</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and third anniversary dates of grant in 25% increments consistent with the terms of the 2009 Long-Term Incentive Plan. The awards for the non-Top 25 highest compensated employees will vest and settle on the second and third anniversary dates of grant. Vesting and subsequent settlement will generally occur based upon employment at the end of each specified service period.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2011 awards granted to the Top 25 highest compensated employees will settle three years from the grant date in 25% increments consistent with the terms of the 2009 Long-Term Incentive Plan. The awards for the Next 75 highest compensated employees will settle either: (1) three years from the date of grant; or (2) on the first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Retirement eligible participants that are non-Top 100 highest compensated employees who retire in the first twelve months following the grant will retain and vest a pro-rata portion of RSUs earned and those who retire after the first anniversary of the grant will retain and vest the full RSU grant. The vested award will be payable on the settlement date.</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plan was amended in January 2014 to provide cash payment, on a going forward basis, of dividend equivalents upon settlement to active employees and certain former employees with outstanding awards as of the amendment date.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Salary Stock Plan</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years ended December 31, 2013, 2012 and 2011 a portion of each participant's salary was accrued on each salary payment date and converted to RSUs on a quarterly basis. In March 2012 we amended the plan to provide for cash settlement of awards and reclassified $97 million from Additional paid-in capital to Accrued liabilities and Other liabilities and deferred income taxes. Prior to this amendment it was our policy to issue new shares upon settlement of these awards. In June 2013 we amended the plan to provide for cash or share settlement of awards based on election by the participant. The plan was amended in January 2014 to provide cash payment, on a going forward basis, of dividend equivalents upon settlement to active employees with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4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awards as of the amendment date. The liability for these awards continues to be remeasured to fair value at the end of each reporting period.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Grant Date Fair 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January 1, 2013</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December 31, 2013</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unvested and expected to vest at December 31, 2013</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RSUs vested and payable at December 31, 2013</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granted in the year ended December 31, 2012</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RSUs granted in the year ended December 31, 2011</w:t>
            </w:r>
          </w:p>
        </w:tc>
        <w:tc>
          <w:tcPr>
            <w:tcW w:w="820" w:type="dxa"/>
            <w:vAlign w:val="bottom"/>
          </w:tcPr>
          <w:p>
            <w:pPr>
              <w:spacing w:after="0"/>
              <w:rPr>
                <w:sz w:val="21"/>
                <w:szCs w:val="21"/>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At December 31, 2013 the total unrecognized compensation expense for nonvested equity awards granted was $149 million. This expense is expected to be recorded over a weighted-average period of 1.6 years. The total fair value of RSUs vested in the years ended December 31, 2013, 2012 and 2011 was $342 million, $141 million and $105 million. In the years ended December 31, 2013, 2012 and 2011 total payments for 3.1 million, 1.6 million and 456,000 RSUs settled under stock incentive plans were $94 million, $36 million and $14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Supplementary Quarterly Financial Information (Unaudited)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supplementary quarterly financial information (dollars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18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40,485</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4,070</w:t>
            </w:r>
          </w:p>
        </w:tc>
      </w:tr>
      <w:tr>
        <w:trPr>
          <w:trHeight w:val="27"/>
        </w:trPr>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1,040</w:t>
            </w:r>
          </w:p>
        </w:tc>
      </w:tr>
      <w:tr>
        <w:trPr>
          <w:trHeight w:val="27"/>
        </w:trPr>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2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0.57</w:t>
            </w:r>
          </w:p>
        </w:tc>
      </w:tr>
      <w:tr>
        <w:trPr>
          <w:trHeight w:val="486"/>
        </w:trPr>
        <w:tc>
          <w:tcPr>
            <w:tcW w:w="4220" w:type="dxa"/>
            <w:vAlign w:val="bottom"/>
          </w:tcPr>
          <w:p>
            <w:pPr>
              <w:spacing w:after="0"/>
              <w:rPr>
                <w:sz w:val="24"/>
                <w:szCs w:val="24"/>
                <w:color w:val="auto"/>
              </w:rPr>
            </w:pP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1,194</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0.54</w:t>
            </w:r>
          </w:p>
        </w:tc>
      </w:tr>
    </w:tbl>
    <w:p>
      <w:pPr>
        <w:spacing w:after="0" w:line="229"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Prior to the three months ended June 30, 2013 we used the two-class method for calculating earnings per share because Series B Preferred Stock was a participating security.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December 31, 2013 included the following on a pre-tax (except tax matters) and pre-noncontrolling interests basis:</w:t>
      </w:r>
    </w:p>
    <w:p>
      <w:pPr>
        <w:spacing w:after="0" w:line="225" w:lineRule="exact"/>
        <w:rPr>
          <w:sz w:val="20"/>
          <w:szCs w:val="20"/>
          <w:color w:val="auto"/>
        </w:rPr>
      </w:pPr>
    </w:p>
    <w:p>
      <w:pPr>
        <w:ind w:left="660" w:hanging="490"/>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Benefit from the release of GM Korea wage litigation accruals of $846 million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Property and intangible asset impairment charges of $805 million at Holden and GM India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Charges of $745 million related to our plans to cease mainstream distribution of Chevrolet brand in Europe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Gain on sale of equity investment in Ally Financial of $483 million in Corporate.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Goodwill impairment charges of $481 million in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benefit of $473 million from remeasurement of uncertain tax position in Corporate.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Gain on sale of equity investment in PSA of $152 million in GME.</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March 31, 2013 included the following on a pre-tax and pre-noncontrolling interests basis:</w:t>
      </w:r>
    </w:p>
    <w:p>
      <w:pPr>
        <w:spacing w:after="0" w:line="225" w:lineRule="exact"/>
        <w:rPr>
          <w:sz w:val="20"/>
          <w:szCs w:val="20"/>
          <w:color w:val="auto"/>
        </w:rPr>
      </w:pPr>
    </w:p>
    <w:p>
      <w:pPr>
        <w:ind w:left="660" w:hanging="490"/>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Charge of $162 million in GMSA for the Venezuela currency devaluation.</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December 31, 2012 included the following on a pre-tax and pre-noncontrolling interests basis:</w:t>
      </w:r>
    </w:p>
    <w:p>
      <w:pPr>
        <w:spacing w:after="0" w:line="225" w:lineRule="exact"/>
        <w:rPr>
          <w:sz w:val="20"/>
          <w:szCs w:val="20"/>
          <w:color w:val="auto"/>
        </w:rPr>
      </w:pPr>
    </w:p>
    <w:p>
      <w:pPr>
        <w:ind w:left="660" w:hanging="490"/>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Deferred tax asset valuation allowance release of $36.3 billion in the U.S. and Canada.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Goodwill impairment charges of $26.5 billion in GMNA and GMIO.</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Property, plant and equipment impairment charges of $3.7 billion in GME.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Pension settlement charge of $2.6 billion in GMNA.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Intangible asset impairment charges of $1.8 billion in GME.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Charge of $525 million for GM Korea hourly wage litigation.</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Charge of $402 million which represents the premium paid to purchase our common stock from the UST in Corporate.</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months ended March 31, 2012 included the following on a pre-tax and pre-noncontrolling interests basis:</w:t>
      </w:r>
    </w:p>
    <w:p>
      <w:pPr>
        <w:spacing w:after="0" w:line="225" w:lineRule="exact"/>
        <w:rPr>
          <w:sz w:val="20"/>
          <w:szCs w:val="20"/>
          <w:color w:val="auto"/>
        </w:rPr>
      </w:pPr>
    </w:p>
    <w:p>
      <w:pPr>
        <w:ind w:left="660" w:hanging="490"/>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Goodwill impairment charges of $617 million in GMIO and GME.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The chief operating decision maker evaluates the operating results and performance of our automotive segments through Income (loss) before interest and income taxes, as adjusted for additional amounts, which are presented net of noncontrolling interests, and</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420"/>
          </w:cols>
          <w:pgMar w:left="240" w:top="341" w:right="2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evaluates GM Financial through income before income taxes.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7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We record certain transactions between our automotive and finance segments as intersegment activity and eliminate them in consolidation.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20" w:val="left"/>
          <w:tab w:leader="none" w:pos="3400" w:val="left"/>
          <w:tab w:leader="none" w:pos="5980" w:val="left"/>
          <w:tab w:leader="none" w:pos="6260" w:val="left"/>
          <w:tab w:leader="none" w:pos="8820" w:val="left"/>
          <w:tab w:leader="none" w:pos="910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341"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6" w:lineRule="exact"/>
        <w:rPr>
          <w:sz w:val="20"/>
          <w:szCs w:val="20"/>
          <w:color w:val="auto"/>
        </w:rPr>
      </w:pPr>
    </w:p>
    <w:p>
      <w:pPr>
        <w:sectPr>
          <w:pgSz w:w="11900" w:h="16838" w:orient="portrait"/>
          <w:cols w:equalWidth="0" w:num="8">
            <w:col w:w="340" w:space="220"/>
            <w:col w:w="1860" w:space="720"/>
            <w:col w:w="60" w:space="220"/>
            <w:col w:w="1860" w:space="720"/>
            <w:col w:w="60" w:space="220"/>
            <w:col w:w="1840" w:space="720"/>
            <w:col w:w="60" w:space="220"/>
            <w:col w:w="2300"/>
          </w:cols>
          <w:pgMar w:left="240" w:top="341"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60" w:space="720"/>
            <w:col w:w="60" w:space="220"/>
            <w:col w:w="1860" w:space="720"/>
            <w:col w:w="60" w:space="220"/>
            <w:col w:w="5140"/>
          </w:cols>
          <w:pgMar w:left="240" w:top="341" w:right="239" w:bottom="1440" w:gutter="0" w:footer="0" w:header="0"/>
          <w:type w:val="continuous"/>
        </w:sectPr>
      </w:pPr>
    </w:p>
    <w:p>
      <w:pPr>
        <w:spacing w:after="0" w:line="5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At December 31, 2013 we also had equity ownership stakes directly or indirectly in entities through various regional subsidiaries, primarily in Asia that design, manufacture and market vehicles under the following brands:</w:t>
      </w:r>
    </w:p>
    <w:p>
      <w:pPr>
        <w:sectPr>
          <w:pgSz w:w="11900" w:h="16838" w:orient="portrait"/>
          <w:cols w:equalWidth="0" w:num="1">
            <w:col w:w="11420"/>
          </w:cols>
          <w:pgMar w:left="240" w:top="341" w:right="239" w:bottom="1440" w:gutter="0" w:footer="0" w:header="0"/>
          <w:type w:val="continuous"/>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5" w:lineRule="exact"/>
        <w:rPr>
          <w:sz w:val="20"/>
          <w:szCs w:val="20"/>
          <w:color w:val="auto"/>
        </w:rPr>
      </w:pPr>
    </w:p>
    <w:p>
      <w:pPr>
        <w:sectPr>
          <w:pgSz w:w="11900" w:h="16838" w:orient="portrait"/>
          <w:cols w:equalWidth="0" w:num="8">
            <w:col w:w="340" w:space="220"/>
            <w:col w:w="1860" w:space="720"/>
            <w:col w:w="60" w:space="220"/>
            <w:col w:w="1860" w:space="720"/>
            <w:col w:w="60" w:space="220"/>
            <w:col w:w="1840" w:space="720"/>
            <w:col w:w="60" w:space="220"/>
            <w:col w:w="2300"/>
          </w:cols>
          <w:pgMar w:left="240" w:top="341"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11" w:lineRule="exact"/>
        <w:rPr>
          <w:sz w:val="20"/>
          <w:szCs w:val="20"/>
          <w:color w:val="auto"/>
        </w:rPr>
      </w:pPr>
    </w:p>
    <w:p>
      <w:pPr>
        <w:sectPr>
          <w:pgSz w:w="11900" w:h="16838" w:orient="portrait"/>
          <w:cols w:equalWidth="0" w:num="6">
            <w:col w:w="340" w:space="220"/>
            <w:col w:w="1860" w:space="720"/>
            <w:col w:w="60" w:space="220"/>
            <w:col w:w="1860" w:space="720"/>
            <w:col w:w="60" w:space="220"/>
            <w:col w:w="5140"/>
          </w:cols>
          <w:pgMar w:left="240" w:top="341" w:right="239" w:bottom="1440" w:gutter="0" w:footer="0" w:header="0"/>
          <w:type w:val="continuous"/>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341" w:right="2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100"/>
              <w:spacing w:after="0"/>
              <w:rPr>
                <w:sz w:val="20"/>
                <w:szCs w:val="20"/>
                <w:color w:val="auto"/>
              </w:rPr>
            </w:pPr>
            <w:r>
              <w:rPr>
                <w:rFonts w:ascii="Arial" w:cs="Arial" w:eastAsia="Arial" w:hAnsi="Arial"/>
                <w:sz w:val="13"/>
                <w:szCs w:val="13"/>
                <w:b w:val="1"/>
                <w:bCs w:val="1"/>
                <w:color w:val="auto"/>
              </w:rPr>
              <w:t>At and For the Year Ended December 31,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95,091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20,110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16,478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152,092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152,092</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3,344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3,335</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42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95,099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20,110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20,263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16,478</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152,100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3,344</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155,427</w:t>
            </w:r>
          </w:p>
        </w:tc>
      </w:tr>
      <w:tr>
        <w:trPr>
          <w:trHeight w:val="103"/>
        </w:trPr>
        <w:tc>
          <w:tcPr>
            <w:tcW w:w="24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7,461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1,230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327</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7,680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898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8,578</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334</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7,473</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1,826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300</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2,127</w:t>
            </w: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Net income (loss) attributable to stockholders</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5,346</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8,094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87,978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10,341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23,425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11,488</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26,460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(29,642)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130,050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38,084</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166,344</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7,565</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4,216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1,806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522</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63</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7,012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7,500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 and gain on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1,810</w:t>
            </w: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jc w:val="both"/>
        <w:ind w:left="340" w:hanging="332"/>
        <w:spacing w:after="0" w:line="239"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Consists of pension settlement charges of $56 million and charges related to PSA product development agreement of $49 million in GMNA; gain on sale of equity investment in PSA of $152 million in GME; property and intangible asset impairment charges of $774 million, costs related to the withdrawal of the Chevrolet brand in Europe of $621 million and goodwill impairment charges of $442 million, partially offset by GM Korea hourly wage litigation of $577 million and acquisition of GM Korea preferred shares of $67 million in GMIO, all net of noncontrolling interests; Venezuela currency devaluation of $162 million in GMSA; gain on sale of equity investment in Ally Financial of $483 million in Corporate; costs related to the withdrawal of the Chevrolet brand in Europe of $15 million in GM Financial; and income related to various insurance recoveries of $35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34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100"/>
              <w:spacing w:after="0"/>
              <w:rPr>
                <w:sz w:val="20"/>
                <w:szCs w:val="20"/>
                <w:color w:val="auto"/>
              </w:rPr>
            </w:pPr>
            <w:r>
              <w:rPr>
                <w:rFonts w:ascii="Arial" w:cs="Arial" w:eastAsia="Arial" w:hAnsi="Arial"/>
                <w:sz w:val="13"/>
                <w:szCs w:val="13"/>
                <w:b w:val="1"/>
                <w:bCs w:val="1"/>
                <w:color w:val="auto"/>
              </w:rPr>
              <w:t>At and For the Year Ended December 31, 2012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20,689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150,295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150,295</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1,961</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42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89,910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20,689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22,954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16,700</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150,293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1,961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152,256</w:t>
            </w:r>
          </w:p>
        </w:tc>
      </w:tr>
      <w:tr>
        <w:trPr>
          <w:trHeight w:val="103"/>
        </w:trPr>
        <w:tc>
          <w:tcPr>
            <w:tcW w:w="24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6,470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(1,939)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2,528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457</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7,116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744</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7,859</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9"/>
              </w:rPr>
              <w:t>(29,052)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(36,106)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343</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489</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250</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(28,643)</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 (benefit)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(35,007)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177</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(34,831)</w:t>
            </w:r>
          </w:p>
        </w:tc>
      </w:tr>
      <w:tr>
        <w:trPr>
          <w:trHeight w:val="24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33,809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6,188</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48"/>
        </w:trPr>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6,883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87,100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9,669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25,032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11,958</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16,991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(17,006)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133,744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16,368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149,422</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8,068</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3,663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6,570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638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483</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49</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11,402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11,617</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 and gain on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1,562</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8"/>
              </w:rPr>
              <w:t>Valuation allowances against deferred tax</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assets(b)</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(36,261)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(36,261)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(103)</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(36,364)</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jc w:val="both"/>
        <w:ind w:left="340" w:hanging="332"/>
        <w:spacing w:after="0" w:line="23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Goodwill impairment charges of $26.4 billion, pension settlement charges of $2.7 billion and income related to various insurance recoveries of $9 million in GMNA; property impairment charges of $3.7 billion, intangible assets impairment charges of $1.8 billion, goodwill impairment charges of $590 million, impairment charges related to investment in PSA of $220 million, a charge of $119 million to record General Motors Strasbourg S.A.S. assets and liabilities to estimated fair value and income related to various insurance recoveries of $7 million in GME; GM Korea hourly wage litigation charge of $336 million, goodwill impairment charges of $132 million, which are presented net of noncontrolling interests, income related to various insurance recoveries of $112 million and income related to redemption of the GM Korea mandatorily redeemable preferred shares of $68 million in GMIO; income related to various insurance recoveries of $27 million in GMSA; and a charge of $402 million which represents the premium paid to purchase our common stock from the UST in Corporate.</w:t>
      </w:r>
    </w:p>
    <w:p>
      <w:pPr>
        <w:spacing w:after="0" w:line="1" w:lineRule="exact"/>
        <w:rPr>
          <w:rFonts w:ascii="Arial" w:cs="Arial" w:eastAsia="Arial" w:hAnsi="Arial"/>
          <w:sz w:val="13"/>
          <w:szCs w:val="13"/>
          <w:color w:val="auto"/>
        </w:rPr>
      </w:pPr>
    </w:p>
    <w:p>
      <w:pPr>
        <w:ind w:left="340" w:hanging="332"/>
        <w:spacing w:after="0" w:line="239"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valuation allowance releases of $36.5 billion net of the establishment of new valuation allowances of $0.1 billion. Amounts exclude changes related to income tax expense (benefits) in jurisdictions with a full valuation allowance throughout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34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For the Year Ended December 31, 2011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6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278"/>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85,988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148,866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148,866</w:t>
            </w:r>
          </w:p>
        </w:tc>
      </w:tr>
      <w:tr>
        <w:trPr>
          <w:trHeight w:val="262"/>
        </w:trPr>
        <w:tc>
          <w:tcPr>
            <w:tcW w:w="2420" w:type="dxa"/>
            <w:vAlign w:val="bottom"/>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1,410</w:t>
            </w:r>
          </w:p>
        </w:tc>
      </w:tr>
      <w:tr>
        <w:trPr>
          <w:trHeight w:val="272"/>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42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85,991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25,154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21,031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16,632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148,869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1,410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150,276</w:t>
            </w:r>
          </w:p>
        </w:tc>
      </w:tr>
      <w:tr>
        <w:trPr>
          <w:trHeight w:val="103"/>
        </w:trPr>
        <w:tc>
          <w:tcPr>
            <w:tcW w:w="24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Income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12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6,779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2,232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7,682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622</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8,304</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861</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455</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540</w:t>
            </w: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9,080</w:t>
            </w:r>
          </w:p>
        </w:tc>
      </w:tr>
      <w:tr>
        <w:trPr>
          <w:trHeight w:val="272"/>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 (benefit)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0"/>
              </w:rPr>
              <w:t>Net income (loss)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9,190</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12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6,678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6,790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6,790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83,528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131,860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144,603</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907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6,241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6,249</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3"/>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6,141</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w w:val="97"/>
              </w:rPr>
              <w:t>Equity income and gain on investments(b)</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1,733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1,458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3,192</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Reversal of valuation allowances against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tax assets(c)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r>
    </w:tbl>
    <w:p>
      <w:pPr>
        <w:spacing w:after="0"/>
        <w:rPr>
          <w:sz w:val="20"/>
          <w:szCs w:val="20"/>
          <w:color w:val="auto"/>
        </w:rPr>
      </w:pPr>
      <w:r>
        <w:rPr>
          <w:rFonts w:ascii="Arial" w:cs="Arial" w:eastAsia="Arial" w:hAnsi="Arial"/>
          <w:sz w:val="18"/>
          <w:szCs w:val="18"/>
          <w:color w:val="auto"/>
        </w:rPr>
        <w:t>__________</w:t>
      </w:r>
    </w:p>
    <w:p>
      <w:pPr>
        <w:spacing w:after="0" w:line="5" w:lineRule="exact"/>
        <w:rPr>
          <w:sz w:val="20"/>
          <w:szCs w:val="20"/>
          <w:color w:val="auto"/>
        </w:rPr>
      </w:pPr>
    </w:p>
    <w:p>
      <w:pPr>
        <w:jc w:val="both"/>
        <w:ind w:left="340" w:hanging="332"/>
        <w:spacing w:after="0" w:line="23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the gain on sale of our New Delphi Class A Membership Interests of $1.6 billion and the gain related to the HCT settlement of $749 million in GMNA; Goodwill impairment charges of $1.0 billion in GME; Goodwill impairment charges of $258 million and charges related to GM India of $106 million in GMIO; a gain on extinguishment of debt of $63 million in GMSA; and impairment charges of $555 million related to Ally Financial common stock and a gain on the sale of Ally Financial preferred stock of $339 million in Corporate.</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a gain of $1.6 billion recorded on the sale of our New Delphi Class A Membership Interests. Refer to Note 8 for additional information on the sale of New Delphi.</w:t>
      </w: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Amounts exclude changes related to income tax expense (benefits) in jurisdictions with a full valuation allowance throughout the period.</w:t>
      </w:r>
    </w:p>
    <w:p>
      <w:pPr>
        <w:spacing w:after="0" w:line="1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Automotive revenue is attributed to geographic areas based on the country in which our subsidiary is located. Automotive Financing revenue is attributed to the geographic area where the financing is originated. The following table summarizes information concerning principal geographic areas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6"/>
              </w:rPr>
              <w:t>At and For the Years Ended December 31,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9"/>
              </w:rPr>
              <w:t>2013</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2012</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80" w:type="dxa"/>
            <w:vAlign w:val="bottom"/>
          </w:tcPr>
          <w:p>
            <w:pPr>
              <w:spacing w:after="0"/>
              <w:rPr>
                <w:sz w:val="13"/>
                <w:szCs w:val="13"/>
                <w:color w:val="auto"/>
              </w:rPr>
            </w:pPr>
          </w:p>
        </w:tc>
        <w:tc>
          <w:tcPr>
            <w:tcW w:w="9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Net Sales &amp;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200" w:type="dxa"/>
            <w:vAlign w:val="bottom"/>
          </w:tcPr>
          <w:p>
            <w:pPr>
              <w:spacing w:after="0"/>
              <w:rPr>
                <w:sz w:val="13"/>
                <w:szCs w:val="13"/>
                <w:color w:val="auto"/>
              </w:rPr>
            </w:pPr>
          </w:p>
        </w:tc>
        <w:tc>
          <w:tcPr>
            <w:tcW w:w="96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8"/>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88,784</w:t>
            </w:r>
          </w:p>
        </w:tc>
        <w:tc>
          <w:tcPr>
            <w:tcW w:w="60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85,105</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79,868</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63,308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consolidated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155,427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152,256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27,647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150,276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26,277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Supplemental Information for the Consolidated Statements of Cash Flows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 (dollars in millions):</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420"/>
          </w:cols>
          <w:pgMar w:left="240" w:top="341" w:right="2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equipment on 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Change in other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9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income taxes and interest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 - Automotive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Cash paid for interest (net of amounts capitalized) - GM Financial</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 for interest (net of amounts capitalized)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CEO and Executive Vice President and CFO, evaluated the effectiveness of our disclosure controls and procedures (as defined in Rules 13a-15(e) or 15d-15(e) promulgated under the Exchange Act) at December 31, 2013. Based on these evaluations, our CEO and CFO concluded that our disclosure controls and procedures required by paragraph (b) of Rules 13a-15 or 15d-15 were effective as of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88"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Our management performed an assessment of the effectiveness of our internal control over financial reporting at December 31, 2013, utilizing the criteria discussed in the “Internal Control - Integrated Framework (1992)” issued by the Committee of Sponsoring Organizations of the Treadway Commission. The objective of this assessment was to determine whether our internal control over financial reporting was effective at December 31, 2013. Based on management's assessment, we have concluded that our internal control over financial reporting was effective at December 31, 2013.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34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December 31, 2013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514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/s/  CHARLES K. STEVENS III</w:t>
            </w:r>
          </w:p>
        </w:tc>
      </w:tr>
      <w:tr>
        <w:trPr>
          <w:trHeight w:val="27"/>
        </w:trPr>
        <w:tc>
          <w:tcPr>
            <w:tcW w:w="320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22"/>
        </w:trPr>
        <w:tc>
          <w:tcPr>
            <w:tcW w:w="320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514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Charles K. Stevens III</w:t>
            </w: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514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32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Financial Officer</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February 6, 2014</w:t>
            </w:r>
          </w:p>
        </w:tc>
        <w:tc>
          <w:tcPr>
            <w:tcW w:w="5140" w:type="dxa"/>
            <w:vAlign w:val="bottom"/>
          </w:tcPr>
          <w:p>
            <w:pPr>
              <w:spacing w:after="0"/>
              <w:rPr>
                <w:sz w:val="23"/>
                <w:szCs w:val="23"/>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February 6, 2014</w:t>
            </w:r>
          </w:p>
        </w:tc>
      </w:tr>
      <w:tr>
        <w:trPr>
          <w:trHeight w:val="459"/>
        </w:trPr>
        <w:tc>
          <w:tcPr>
            <w:tcW w:w="3200" w:type="dxa"/>
            <w:vAlign w:val="bottom"/>
          </w:tcPr>
          <w:p>
            <w:pPr>
              <w:spacing w:after="0"/>
              <w:rPr>
                <w:sz w:val="24"/>
                <w:szCs w:val="24"/>
                <w:color w:val="auto"/>
              </w:rPr>
            </w:pPr>
          </w:p>
        </w:tc>
        <w:tc>
          <w:tcPr>
            <w:tcW w:w="5140" w:type="dxa"/>
            <w:vAlign w:val="bottom"/>
          </w:tcPr>
          <w:p>
            <w:pPr>
              <w:jc w:val="right"/>
              <w:ind w:right="1950"/>
              <w:spacing w:after="0"/>
              <w:rPr>
                <w:sz w:val="20"/>
                <w:szCs w:val="20"/>
                <w:color w:val="auto"/>
              </w:rPr>
            </w:pPr>
            <w:r>
              <w:rPr>
                <w:rFonts w:ascii="Arial" w:cs="Arial" w:eastAsia="Arial" w:hAnsi="Arial"/>
                <w:sz w:val="18"/>
                <w:szCs w:val="18"/>
                <w:color w:val="auto"/>
              </w:rPr>
              <w:t>* * * * * * *</w:t>
            </w:r>
          </w:p>
        </w:tc>
        <w:tc>
          <w:tcPr>
            <w:tcW w:w="3080" w:type="dxa"/>
            <w:vAlign w:val="bottom"/>
          </w:tcPr>
          <w:p>
            <w:pPr>
              <w:spacing w:after="0"/>
              <w:rPr>
                <w:sz w:val="24"/>
                <w:szCs w:val="24"/>
                <w:color w:val="auto"/>
              </w:rPr>
            </w:pPr>
          </w:p>
        </w:tc>
      </w:tr>
      <w:tr>
        <w:trPr>
          <w:trHeight w:val="675"/>
        </w:trPr>
        <w:tc>
          <w:tcPr>
            <w:tcW w:w="3200" w:type="dxa"/>
            <w:vAlign w:val="bottom"/>
          </w:tcPr>
          <w:p>
            <w:pPr>
              <w:spacing w:after="0"/>
              <w:rPr>
                <w:sz w:val="24"/>
                <w:szCs w:val="24"/>
                <w:color w:val="auto"/>
              </w:rPr>
            </w:pPr>
          </w:p>
        </w:tc>
        <w:tc>
          <w:tcPr>
            <w:tcW w:w="5140" w:type="dxa"/>
            <w:vAlign w:val="bottom"/>
          </w:tcPr>
          <w:p>
            <w:pPr>
              <w:jc w:val="right"/>
              <w:ind w:right="2410"/>
              <w:spacing w:after="0"/>
              <w:rPr>
                <w:sz w:val="20"/>
                <w:szCs w:val="20"/>
                <w:color w:val="auto"/>
              </w:rPr>
            </w:pPr>
            <w:r>
              <w:rPr>
                <w:rFonts w:ascii="Arial" w:cs="Arial" w:eastAsia="Arial" w:hAnsi="Arial"/>
                <w:sz w:val="18"/>
                <w:szCs w:val="18"/>
                <w:color w:val="auto"/>
              </w:rPr>
              <w:t>134</w:t>
            </w:r>
          </w:p>
        </w:tc>
        <w:tc>
          <w:tcPr>
            <w:tcW w:w="30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right"/>
        <w:ind w:right="22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4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219"/>
          </w:cols>
          <w:pgMar w:left="240" w:top="341" w:right="1440"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 xml:space="preserve">We have adopted a code of ethics that applies to the Corporation's directors, officers, and employees, including the Chief Executive Officer, Chief Financial Officer, Controller and Chief Accounting Officer and any other persons performing similar functions. The text of our code of ethics, “Winning With Integrity,” has been posted on our website at </w:t>
      </w:r>
      <w:r>
        <w:rPr>
          <w:rFonts w:ascii="Arial" w:cs="Arial" w:eastAsia="Arial" w:hAnsi="Arial"/>
          <w:sz w:val="16"/>
          <w:szCs w:val="16"/>
          <w:u w:val="single" w:color="auto"/>
          <w:color w:val="auto"/>
        </w:rPr>
        <w:t>http://investor.gm.com</w:t>
      </w:r>
      <w:r>
        <w:rPr>
          <w:rFonts w:ascii="Arial" w:cs="Arial" w:eastAsia="Arial" w:hAnsi="Arial"/>
          <w:sz w:val="16"/>
          <w:szCs w:val="16"/>
          <w:color w:val="auto"/>
        </w:rPr>
        <w:t xml:space="preserve"> at Investors - Corporate Governance. We will provide a copy of the code of ethics without charge upon request to Corporate Secretary, General Motors Company, Mail Code 482-C25-A36, 300 Renaissance Center, P.O. Box 300, Detroit, MI 48265-3000. We will disclose on our website any amendment to or waiver from our code of ethics on behalf of any of our executive officers or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Information required by Part III (Items 10, 11, 12, 13 and 14) of this Form 10-K is incorporated by reference from our definitive Proxy Statement for our 2014 Annual Meeting of Stockholders, which will be filed with the SEC, pursuant to Regulation 14A, not later than 120 days after the end of the 2013 fiscal year, all of which information is hereby incorporated by reference in, and made part of, this Form 10-K, except the information required by Item 10 with respect to our code of ethics in Item 10 above and disclosure of our executive officers, which is included in Item 1 of Part I of this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0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11"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8400" w:type="dxa"/>
            <w:vAlign w:val="bottom"/>
            <w:vMerge w:val="restart"/>
          </w:tcPr>
          <w:p>
            <w:pPr>
              <w:ind w:left="378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4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0" w:type="dxa"/>
            <w:vAlign w:val="bottom"/>
            <w:tcBorders>
              <w:top w:val="single" w:sz="8" w:color="auto"/>
            </w:tcBorders>
            <w:shd w:val="clear" w:color="auto" w:fill="CCEEFF"/>
          </w:tcPr>
          <w:p>
            <w:pPr>
              <w:jc w:val="center"/>
              <w:ind w:right="362"/>
              <w:spacing w:after="0"/>
              <w:rPr>
                <w:sz w:val="20"/>
                <w:szCs w:val="20"/>
                <w:color w:val="auto"/>
              </w:rPr>
            </w:pPr>
            <w:r>
              <w:rPr>
                <w:rFonts w:ascii="Arial" w:cs="Arial" w:eastAsia="Arial" w:hAnsi="Arial"/>
                <w:sz w:val="16"/>
                <w:szCs w:val="16"/>
                <w:color w:val="auto"/>
                <w:w w:val="89"/>
              </w:rPr>
              <w:t>3.1</w:t>
            </w:r>
          </w:p>
        </w:tc>
        <w:tc>
          <w:tcPr>
            <w:tcW w:w="12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2"/>
              </w:rPr>
              <w:t>Restated Certificate of Incorporation of General Motors Company dated December 7, 2010, incorporated herein by reference to</w:t>
            </w:r>
          </w:p>
        </w:tc>
        <w:tc>
          <w:tcPr>
            <w:tcW w:w="1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Exhibit 3.2 to the Current Report on Form 8-K of General Motors Company filed December 13,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jc w:val="center"/>
              <w:ind w:right="362"/>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4"/>
              </w:rPr>
              <w:t>Bylaws of General Motors Company, as amended and restated as of November 19, 2013,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Exhibit 3.1 to the Current Report on Form 8-K of General Motors Company filed November 22,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jc w:val="center"/>
              <w:ind w:right="362"/>
              <w:spacing w:after="0"/>
              <w:rPr>
                <w:sz w:val="20"/>
                <w:szCs w:val="20"/>
                <w:color w:val="auto"/>
              </w:rPr>
            </w:pPr>
            <w:r>
              <w:rPr>
                <w:rFonts w:ascii="Arial" w:cs="Arial" w:eastAsia="Arial" w:hAnsi="Arial"/>
                <w:sz w:val="16"/>
                <w:szCs w:val="16"/>
                <w:color w:val="auto"/>
                <w:w w:val="89"/>
              </w:rPr>
              <w:t>4.1</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 of Designations of Series A Fixed Rate Cumulative Perpetual Preferred Stock of General Motors Company,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incorporated herein by reference to Exhibit 4.1 to the Current Report on Form 8-K of General Motors Company filed November</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16, 2009</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20" w:type="dxa"/>
            <w:vAlign w:val="bottom"/>
            <w:gridSpan w:val="2"/>
          </w:tcPr>
          <w:p>
            <w:pPr>
              <w:ind w:left="40"/>
              <w:spacing w:after="0"/>
              <w:rPr>
                <w:sz w:val="20"/>
                <w:szCs w:val="20"/>
                <w:color w:val="auto"/>
              </w:rPr>
            </w:pPr>
            <w:r>
              <w:rPr>
                <w:rFonts w:ascii="Arial" w:cs="Arial" w:eastAsia="Arial" w:hAnsi="Arial"/>
                <w:sz w:val="16"/>
                <w:szCs w:val="16"/>
                <w:color w:val="auto"/>
              </w:rPr>
              <w:t>10.1†</w:t>
            </w:r>
          </w:p>
        </w:tc>
        <w:tc>
          <w:tcPr>
            <w:tcW w:w="8400" w:type="dxa"/>
            <w:vAlign w:val="bottom"/>
          </w:tcPr>
          <w:p>
            <w:pPr>
              <w:ind w:left="20"/>
              <w:spacing w:after="0"/>
              <w:rPr>
                <w:sz w:val="20"/>
                <w:szCs w:val="20"/>
                <w:color w:val="auto"/>
              </w:rPr>
            </w:pPr>
            <w:r>
              <w:rPr>
                <w:rFonts w:ascii="Arial" w:cs="Arial" w:eastAsia="Arial" w:hAnsi="Arial"/>
                <w:sz w:val="16"/>
                <w:szCs w:val="16"/>
                <w:color w:val="auto"/>
                <w:w w:val="92"/>
              </w:rPr>
              <w:t>Second Amended and Restated Loan Agreement by and among General Motors of Canada Limited, as Borrower, and the other</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3"/>
              </w:rPr>
              <w:t>loan parties and Export Development Canada, as Lender, dated July 10, 2009, incorporated herein by reference to Exhibit 10.5</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to the Current Report on Form 8-K/A of General Motors Company filed November 16,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Amendment to Second Amended and Restated Loan Agreement by and among General Motors of Canada Limited, as Borrower,</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and the other loan parties and Export Development Canada, as Lender, dated October 15, 2009, incorporated herein by reference</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Exhibit 10.1 to the Current Report on Form 8-K of General Motors Company filed October 23, 2009</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34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400" w:type="dxa"/>
            <w:vAlign w:val="bottom"/>
            <w:vMerge w:val="restart"/>
          </w:tcPr>
          <w:p>
            <w:pPr>
              <w:ind w:left="378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4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8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2"/>
              </w:rPr>
              <w:t>Stockholders Agreement, dated as of October 15, 2009 between General Motors Company, the United States Department of the</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4"/>
              </w:rPr>
              <w:t>Treasury, Canada GEN Investment Corporation (fka 7176384 Canada Inc.), the UAW Retiree Medical Benefits Trust, and, for</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4"/>
              </w:rPr>
              <w:t>limited purposes, General Motors LLC, incorporated herein by reference to Exhibit 10.8 to the Current Report on Form 8-K of</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General Motors Company filed November 16, 2009</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Equity Registration Rights Agreement, dated as of October 15, 2009, between General Motors Company, the United States</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Department of Treasury, Canada GEN Investment Corporation (fka 7176384 Canada Inc.), the UAW Retiree Medical Benefits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Trust, Motors Liquidation Company, and, for limited purposes, General Motors LLC, incorporated herein by reference to</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Exhibit 10.1 to the Current Report on Form 8-K of Motors Liquidation Company filed October 21, 2009</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3"/>
              </w:rPr>
              <w:t>Letter Agreement regarding Equity Registration Rights Agreement, dated October 21, 2010, among General Motors Company,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3"/>
              </w:rPr>
              <w:t>the United States Department of Treasury, Canada GEN Investment Corporation, the UAW Retiree Medical Benefits Trust and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9"/>
              </w:rPr>
              <w:t>Motors Liquidation Company, incorporated herein by reference to Exhibit 10.43 to Amendment No. 5 to the Registration</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Statement on Form S-1 (File No. 333-168919) of General Motors Company filed November 3,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Form of Compensation Statement, incorporated herein by reference to Exhibit 10.14 to the Annual Report on Form 10-K of</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General Motors Company 2009 Long-Term Incentive Plan, as amended January 13, 2014</w:t>
            </w:r>
          </w:p>
        </w:tc>
        <w:tc>
          <w:tcPr>
            <w:tcW w:w="1900" w:type="dxa"/>
            <w:vAlign w:val="bottom"/>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The General Motors Company Deferred Compensation Plan for Non-Employee Directors, incorporated herein by reference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Exhibit 10.1 to the Quarterly Report on Form 10-Q of General Motors Company filed May 6, 2011</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6"/>
              </w:rPr>
              <w:t>General Motors Company Executive Retirement Plan, with modifications through October 10, 2012, incorporated herein by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reference to Exhibit 10.12 to the Annual Report on Form 10-K of General Motors Company filed February 15,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Motors Company Salary Stock Plan, as amended January 13, 2014</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2"/>
              </w:rPr>
              <w:t>General Motors Company Short Term Incentive Plan, as amended August 19, 2013, incorporated herein by reference to Exhibit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10.1 to the Quarterly Report on Form 10-Q of General Motors Company filed October 30,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Form of Restricted Stock Unit Grant made to top 25 highly compensated employees under General Motors Company 2009</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Long-Term Incentive Plan, as Amended March 1, 2010, incorporated herein by reference to Exhibit 10.20 to the Annual Report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 Form 10-K of 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4"/>
              </w:rPr>
              <w:t>Form of Restricted Stock Unit Grant (Cash Settlement) made to top 25 highly compensated employees under General Motors</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2"/>
              </w:rPr>
              <w:t>Company 2009 Long-Term Incentive Plan, as Amended March 1, 2010, incorporated herein by reference to Exhibit 10.21 to the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Annual Report on Form 10-K of General Motors Company filed April 7,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10.14</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Form of General Motors Company 2010 Equity Grant Award Agreement, incorporated herein by reference to Exhibit 10.30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Annual Report on Form 10-K of General Motors Company filed March 1, 2011</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4"/>
              </w:rPr>
              <w:t>Form of General Motors Company March 15, 2010 Restricted Stock Unit Grant Agreement, as amended December 31, 2010,</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4"/>
              </w:rPr>
              <w:t>incorporated herein by reference to Exhibit 10.31 to the Annual Report on Form 10-K of General Motors Company filed March</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1, 2011</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Form of General Motors Company Equity Grant Agreement (cash settlement) dated December 15, 2011, incorporated herein by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reference to Exhibit 10.26 to the Annual Report on Form 10-K of General Motors Company filed February 27, 2012</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6"/>
              </w:rPr>
              <w:t>Form of General Motors Company Equity Grant Agreement dated December 15, 2011,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Exhibit 10.27 to the Annual Report on Form 10-K of General Motors Company filed February 27, 2012</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CCEEFF"/>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General Motors Company Vehicle Operations — Senior Management Vehicle Program (SMVP) Supplement, revised December</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15, 2005, incorporated herein by reference to Exhibit 10(g) to the Annual Report on Form 10-K of Motors Liquidation Company</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filed March 28, 2006</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20" w:type="dxa"/>
            <w:vAlign w:val="bottom"/>
            <w:gridSpan w:val="2"/>
          </w:tcPr>
          <w:p>
            <w:pPr>
              <w:ind w:left="40"/>
              <w:spacing w:after="0"/>
              <w:rPr>
                <w:sz w:val="20"/>
                <w:szCs w:val="20"/>
                <w:color w:val="auto"/>
              </w:rPr>
            </w:pPr>
            <w:r>
              <w:rPr>
                <w:rFonts w:ascii="Arial" w:cs="Arial" w:eastAsia="Arial" w:hAnsi="Arial"/>
                <w:sz w:val="16"/>
                <w:szCs w:val="16"/>
                <w:color w:val="auto"/>
              </w:rPr>
              <w:t>10.19†</w:t>
            </w:r>
          </w:p>
        </w:tc>
        <w:tc>
          <w:tcPr>
            <w:tcW w:w="8400" w:type="dxa"/>
            <w:vAlign w:val="bottom"/>
          </w:tcPr>
          <w:p>
            <w:pPr>
              <w:ind w:left="20"/>
              <w:spacing w:after="0"/>
              <w:rPr>
                <w:sz w:val="20"/>
                <w:szCs w:val="20"/>
                <w:color w:val="auto"/>
              </w:rPr>
            </w:pPr>
            <w:r>
              <w:rPr>
                <w:rFonts w:ascii="Arial" w:cs="Arial" w:eastAsia="Arial" w:hAnsi="Arial"/>
                <w:sz w:val="16"/>
                <w:szCs w:val="16"/>
                <w:color w:val="auto"/>
                <w:w w:val="96"/>
              </w:rPr>
              <w:t>Amended and Restated United States Consumer Financing Services Agreement between GMAC LLC and General Motors</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7"/>
              </w:rPr>
              <w:t>Corporation dated May 22, 2009, incorporated herein by reference to Exhibit 10.1 to the Current Report on Form 8-K/A of</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General Motors Company filed November 16,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10.20†</w:t>
            </w: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Amended and Restated Master Services Agreement between GMAC LLC and General Motors Corporation dated May 22, 2009,</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incorporated herein by reference to Exhibit 10.2 to the Current Report on Form 8-K/A of General Motors Company filed</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November 16,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3"/>
              </w:rPr>
              <w:t>Amended and Restated Warrant Agreement, dated as of October 16, 2009, between General Motors Company and U.S. Bank</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8"/>
              </w:rPr>
              <w:t>National Association, including Form of Warrant Certificate attached as Exhibit D thereto, relating to warrants with a $30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w w:val="95"/>
              </w:rPr>
              <w:t>original ($10 after stock split) exercise price and a July 10, 2016 expiration date, incorporated herein by reference to Exhibit</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Pr>
          <w:p>
            <w:pPr>
              <w:ind w:left="20"/>
              <w:spacing w:after="0"/>
              <w:rPr>
                <w:sz w:val="20"/>
                <w:szCs w:val="20"/>
                <w:color w:val="auto"/>
              </w:rPr>
            </w:pPr>
            <w:r>
              <w:rPr>
                <w:rFonts w:ascii="Arial" w:cs="Arial" w:eastAsia="Arial" w:hAnsi="Arial"/>
                <w:sz w:val="16"/>
                <w:szCs w:val="16"/>
                <w:color w:val="auto"/>
              </w:rPr>
              <w:t>10.29 to the Annual Report on Form 10-K of General Motors Company filed April 7,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34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400" w:type="dxa"/>
            <w:vAlign w:val="bottom"/>
            <w:vMerge w:val="restart"/>
          </w:tcPr>
          <w:p>
            <w:pPr>
              <w:ind w:left="378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4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10.22</w:t>
            </w:r>
          </w:p>
        </w:tc>
        <w:tc>
          <w:tcPr>
            <w:tcW w:w="10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2"/>
              </w:rPr>
              <w:t>Second Amended and Restated Warrant Agreement, dated as of August 12, 2013, between General Motors Company and U.S.</w:t>
            </w:r>
          </w:p>
        </w:tc>
        <w:tc>
          <w:tcPr>
            <w:tcW w:w="1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Bank National Association, as Warrant Agent, including a Form of Warrant Certificate attached as Exhibit D thereto, relating to</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warrants with a $55 original ($18.33 after stock split) exercise price and a July 10, 2019 expiration date, incorporated herein by</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reference to Exhibit 10.30 to the Annual Report on Form 10-K of 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9"/>
                <w:szCs w:val="19"/>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2"/>
              </w:rPr>
              <w:t>Second Amended and Restated Warrant Agreement, dated as of August 12, 2013, between General Motors Company and U.S.</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3"/>
              </w:rPr>
              <w:t>Bank National Association, as Warrant Agent, including a Form of Warrant Certificate attached as Exhibit B thereto, relating to</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2"/>
              </w:rPr>
              <w:t>warrants with an exercise price of $42.31 per share and a December 31, 2015 expiration date, incorporated herein by reference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rPr>
              <w:t>to Exhibit 4.1 to the Current Report on Form 8-K of General Motors Company filed August 12,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10.24†</w:t>
            </w: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Amended and Restated Master Agreement, dated as December 19, 2012, between General Motors Holdings LLC and Peugeot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20" w:type="dxa"/>
            <w:vAlign w:val="bottom"/>
            <w:gridSpan w:val="2"/>
          </w:tcPr>
          <w:p>
            <w:pPr>
              <w:ind w:left="40"/>
              <w:spacing w:after="0"/>
              <w:rPr>
                <w:sz w:val="20"/>
                <w:szCs w:val="20"/>
                <w:color w:val="auto"/>
              </w:rPr>
            </w:pPr>
            <w:r>
              <w:rPr>
                <w:rFonts w:ascii="Arial" w:cs="Arial" w:eastAsia="Arial" w:hAnsi="Arial"/>
                <w:sz w:val="16"/>
                <w:szCs w:val="16"/>
                <w:color w:val="auto"/>
              </w:rPr>
              <w:t>10.25†</w:t>
            </w:r>
          </w:p>
        </w:tc>
        <w:tc>
          <w:tcPr>
            <w:tcW w:w="8400" w:type="dxa"/>
            <w:vAlign w:val="bottom"/>
          </w:tcPr>
          <w:p>
            <w:pPr>
              <w:ind w:left="40"/>
              <w:spacing w:after="0"/>
              <w:rPr>
                <w:sz w:val="20"/>
                <w:szCs w:val="20"/>
                <w:color w:val="auto"/>
              </w:rPr>
            </w:pPr>
            <w:r>
              <w:rPr>
                <w:rFonts w:ascii="Arial" w:cs="Arial" w:eastAsia="Arial" w:hAnsi="Arial"/>
                <w:sz w:val="16"/>
                <w:szCs w:val="16"/>
                <w:color w:val="auto"/>
                <w:w w:val="95"/>
              </w:rPr>
              <w:t>3-Year Revolving Credit Agreement, dated as of November 5, 2012, among General Motors Holdings, LLC, General Motors</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5"/>
              </w:rPr>
              <w:t>Financial Company, Inc., GM Europe Treasury Company AB, General Motors do Brasil Ltda., the subsidiary borrowers from</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3"/>
              </w:rPr>
              <w:t>time to time parties thereto, the several lenders from time to time party thereto, JPMorgan Chase Bank, N.A., as administrative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6"/>
              </w:rPr>
              <w:t>agent, Banco Do Brasil, as administrative agent for the Brazilian lenders, Citibank, N.A., as syndication agent, and Bank of</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4"/>
              </w:rPr>
              <w:t>America, N.A., as co-syndication agent, incorporated herein by reference to Exhibit 10.1 to the Current Report on Form 8-K/A</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rPr>
              <w:t>filed February 7,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10.26†</w:t>
            </w: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5-Year Revolving Credit Agreement, dated as of November 5, 2012, among General Motors Holdings, LLC, the subsidiary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borrowers from time to time parties thereto, the several lenders from time to time party thereto, JPMorgan Chase Bank, N.A., as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syndication agent, and Bank of America, N.A., as co-syndication agent, incorporated herein by reference to Exhibit 10.2 to the</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Report on Form 8-K/A filed February 7, 2013</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9"/>
                <w:szCs w:val="19"/>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2"/>
              </w:rPr>
              <w:t>Share Transfer Agreement, dated November 21, 2012 between General Motors Financial Company, Inc. and Ally Financial Inc.</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9"/>
              </w:rPr>
              <w:t>incorporated herein by reference to Exhibit 10.33 to the Annual Report on Form 10-K of General Motors Company filed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rPr>
              <w:t>February 15, 2013</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Director's Service Agreement between Adam Opel AG and Dr. Karl-Thomas Neumann</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4"/>
              </w:rPr>
              <w:t>Computation of Ratio of Earnings to Combined Fixed Charges and Preferred Stock Dividends for the Years Ended December</w:t>
            </w:r>
          </w:p>
        </w:tc>
        <w:tc>
          <w:tcPr>
            <w:tcW w:w="1900" w:type="dxa"/>
            <w:vAlign w:val="bottom"/>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2"/>
              </w:rPr>
              <w:t>31, 2013, 2012, 2011 and 2010 and the Periods July 10, 2009 through December 31, 2009 and January 1, 2009 through July 9,</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rPr>
              <w:t>2009</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of the Registrant as of December 31, 2013</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rPr>
              <w:t>Consent of Independent Registered Public Accounting Firm</w:t>
            </w:r>
          </w:p>
        </w:tc>
        <w:tc>
          <w:tcPr>
            <w:tcW w:w="1900" w:type="dxa"/>
            <w:vAlign w:val="bottom"/>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Power of Attorney for Directors of General Motors Company</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rPr>
              <w:t>Section 302 Certification of the Chief Executive Officer</w:t>
            </w:r>
          </w:p>
        </w:tc>
        <w:tc>
          <w:tcPr>
            <w:tcW w:w="1900" w:type="dxa"/>
            <w:vAlign w:val="bottom"/>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Section 302 Certification of the Chief Financial Officer</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8400" w:type="dxa"/>
            <w:vAlign w:val="bottom"/>
          </w:tcPr>
          <w:p>
            <w:pPr>
              <w:ind w:left="40"/>
              <w:spacing w:after="0"/>
              <w:rPr>
                <w:sz w:val="20"/>
                <w:szCs w:val="20"/>
                <w:color w:val="auto"/>
              </w:rPr>
            </w:pPr>
            <w:r>
              <w:rPr>
                <w:rFonts w:ascii="Arial" w:cs="Arial" w:eastAsia="Arial" w:hAnsi="Arial"/>
                <w:sz w:val="16"/>
                <w:szCs w:val="16"/>
                <w:color w:val="auto"/>
                <w:w w:val="97"/>
              </w:rPr>
              <w:t>Certification Pursuant to 18 U.S.C. Section 1350, As Adopted Pursuant to Section 906 of the Sarbanes-Oxley Act of 2002</w:t>
            </w:r>
          </w:p>
        </w:tc>
        <w:tc>
          <w:tcPr>
            <w:tcW w:w="1900" w:type="dxa"/>
            <w:vAlign w:val="bottom"/>
          </w:tcPr>
          <w:p>
            <w:pPr>
              <w:ind w:left="14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 Executive Officer and Principal Financial Officer Executive Privileges and Compensation Certificate</w:t>
            </w: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0"/>
        </w:trPr>
        <w:tc>
          <w:tcPr>
            <w:tcW w:w="112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8400" w:type="dxa"/>
            <w:vAlign w:val="bottom"/>
          </w:tcPr>
          <w:p>
            <w:pPr>
              <w:ind w:left="40"/>
              <w:spacing w:after="0"/>
              <w:rPr>
                <w:sz w:val="20"/>
                <w:szCs w:val="20"/>
                <w:color w:val="auto"/>
              </w:rPr>
            </w:pPr>
            <w:r>
              <w:rPr>
                <w:rFonts w:ascii="Arial" w:cs="Arial" w:eastAsia="Arial" w:hAnsi="Arial"/>
                <w:sz w:val="16"/>
                <w:szCs w:val="16"/>
                <w:color w:val="auto"/>
              </w:rPr>
              <w:t>XBRL Instance Document</w:t>
            </w:r>
          </w:p>
        </w:tc>
        <w:tc>
          <w:tcPr>
            <w:tcW w:w="1900" w:type="dxa"/>
            <w:vAlign w:val="bottom"/>
          </w:tcPr>
          <w:p>
            <w:pPr>
              <w:ind w:left="14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 Taxonomy Extension Schema Document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112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8400" w:type="dxa"/>
            <w:vAlign w:val="bottom"/>
          </w:tcPr>
          <w:p>
            <w:pPr>
              <w:ind w:left="40"/>
              <w:spacing w:after="0"/>
              <w:rPr>
                <w:sz w:val="20"/>
                <w:szCs w:val="20"/>
                <w:color w:val="auto"/>
              </w:rPr>
            </w:pPr>
            <w:r>
              <w:rPr>
                <w:rFonts w:ascii="Arial" w:cs="Arial" w:eastAsia="Arial" w:hAnsi="Arial"/>
                <w:sz w:val="16"/>
                <w:szCs w:val="16"/>
                <w:color w:val="auto"/>
              </w:rPr>
              <w:t>XBRL Taxonomy Extension Calculation Linkbase Document</w:t>
            </w:r>
          </w:p>
        </w:tc>
        <w:tc>
          <w:tcPr>
            <w:tcW w:w="1900" w:type="dxa"/>
            <w:vAlign w:val="bottom"/>
          </w:tcPr>
          <w:p>
            <w:pPr>
              <w:ind w:left="14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 Taxonomy Extension Definition Linkbase Document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112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8400" w:type="dxa"/>
            <w:vAlign w:val="bottom"/>
          </w:tcPr>
          <w:p>
            <w:pPr>
              <w:ind w:left="40"/>
              <w:spacing w:after="0"/>
              <w:rPr>
                <w:sz w:val="20"/>
                <w:szCs w:val="20"/>
                <w:color w:val="auto"/>
              </w:rPr>
            </w:pPr>
            <w:r>
              <w:rPr>
                <w:rFonts w:ascii="Arial" w:cs="Arial" w:eastAsia="Arial" w:hAnsi="Arial"/>
                <w:sz w:val="16"/>
                <w:szCs w:val="16"/>
                <w:color w:val="auto"/>
              </w:rPr>
              <w:t>XBRL Taxonomy Extension Label Linkbase Document</w:t>
            </w:r>
          </w:p>
        </w:tc>
        <w:tc>
          <w:tcPr>
            <w:tcW w:w="1900" w:type="dxa"/>
            <w:vAlign w:val="bottom"/>
          </w:tcPr>
          <w:p>
            <w:pPr>
              <w:ind w:left="14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1900" w:type="dxa"/>
            <w:vAlign w:val="bottom"/>
          </w:tcPr>
          <w:p>
            <w:pPr>
              <w:ind w:left="14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0" w:type="dxa"/>
            <w:vAlign w:val="bottom"/>
            <w:shd w:val="clear" w:color="auto" w:fill="CCEEFF"/>
          </w:tcPr>
          <w:p>
            <w:pPr>
              <w:spacing w:after="0"/>
              <w:rPr>
                <w:sz w:val="17"/>
                <w:szCs w:val="17"/>
                <w:color w:val="auto"/>
              </w:rPr>
            </w:pP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left="840" w:hanging="805"/>
        <w:spacing w:after="0"/>
        <w:tabs>
          <w:tab w:leader="none" w:pos="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Certain confidential portions have been omitted pursuant to a granted request for confidential treatment, which has been separately filed with the SEC.</w:t>
      </w:r>
    </w:p>
    <w:p>
      <w:pPr>
        <w:spacing w:after="0" w:line="84" w:lineRule="exact"/>
        <w:rPr>
          <w:sz w:val="20"/>
          <w:szCs w:val="20"/>
          <w:color w:val="auto"/>
        </w:rPr>
      </w:pPr>
    </w:p>
    <w:p>
      <w:pPr>
        <w:ind w:left="840" w:hanging="805"/>
        <w:spacing w:after="0"/>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420"/>
          </w:cols>
          <w:pgMar w:left="240" w:top="341" w:right="23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as amended, the Registrant has duly caused this report to be signed on its behalf by the undersigned, hereunto duly authorized.</w:t>
      </w:r>
    </w:p>
    <w:p>
      <w:pPr>
        <w:spacing w:after="0" w:line="1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18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2014</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34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6th day of February 2014 by the following persons on behalf of the Registrant and in the capacities indicated, including a majority of the directors.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Signature</w:t>
            </w:r>
          </w:p>
        </w:tc>
        <w:tc>
          <w:tcPr>
            <w:tcW w:w="800" w:type="dxa"/>
            <w:vAlign w:val="bottom"/>
          </w:tcPr>
          <w:p>
            <w:pPr>
              <w:spacing w:after="0"/>
              <w:rPr>
                <w:sz w:val="16"/>
                <w:szCs w:val="16"/>
                <w:color w:val="auto"/>
              </w:rPr>
            </w:pPr>
          </w:p>
        </w:tc>
        <w:tc>
          <w:tcPr>
            <w:tcW w:w="578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Title</w:t>
            </w:r>
          </w:p>
        </w:tc>
      </w:tr>
      <w:tr>
        <w:trPr>
          <w:trHeight w:val="534"/>
        </w:trPr>
        <w:tc>
          <w:tcPr>
            <w:tcW w:w="4800" w:type="dxa"/>
            <w:vAlign w:val="bottom"/>
          </w:tcPr>
          <w:p>
            <w:pPr>
              <w:ind w:left="20"/>
              <w:spacing w:after="0"/>
              <w:rPr>
                <w:sz w:val="20"/>
                <w:szCs w:val="20"/>
                <w:color w:val="auto"/>
              </w:rPr>
            </w:pPr>
            <w:r>
              <w:rPr>
                <w:rFonts w:ascii="Arial" w:cs="Arial" w:eastAsia="Arial" w:hAnsi="Arial"/>
                <w:sz w:val="16"/>
                <w:szCs w:val="16"/>
                <w:color w:val="auto"/>
              </w:rPr>
              <w:t>/s/ MARY T. BARRA</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Mary T. Barra</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CHARLES K. STEVENS III</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Charles K. Stevens III</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THOMAS S. TIMKO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Vice President, Controller and Chief Accounting Officer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Thomas S. Timko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THEODORE M. SOLSO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Chairman</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Theodore M. Solso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DAVID BONDERMAN</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David Bonderman</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ERROLL B. DAVIS, JR.</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Erroll B. Davis, Jr.</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STEPHEN J. GIRSKY</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Stephen J. Girsky</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E. NEVILLE ISDELL</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E. Neville Isdell</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ROBERT D. KREBS</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Robert D. Krebs</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KATHRYN V. MARINELLO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Kathryn V. Marinello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ADMIRAL MICHAEL G. MULLEN, USN (ret.)</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Admiral Michael G. Mullen, USN (ret.)</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JAMES J. MULVA</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James J. Mulva</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PATRICIA F. RUSSO</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Patricia F. Russo</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THOMAS M. SCHOEWE</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Thomas M. Schoewe</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CAROL M. STEPHENSON</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Carol M. Stephenson</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459"/>
        </w:trPr>
        <w:tc>
          <w:tcPr>
            <w:tcW w:w="4800" w:type="dxa"/>
            <w:vAlign w:val="bottom"/>
          </w:tcPr>
          <w:p>
            <w:pPr>
              <w:ind w:left="20"/>
              <w:spacing w:after="0"/>
              <w:rPr>
                <w:sz w:val="20"/>
                <w:szCs w:val="20"/>
                <w:color w:val="auto"/>
              </w:rPr>
            </w:pPr>
            <w:r>
              <w:rPr>
                <w:rFonts w:ascii="Arial" w:cs="Arial" w:eastAsia="Arial" w:hAnsi="Arial"/>
                <w:sz w:val="16"/>
                <w:szCs w:val="16"/>
                <w:color w:val="auto"/>
              </w:rPr>
              <w:t>/s/ DR. CYNTHIA A. TELLES</w:t>
            </w:r>
          </w:p>
        </w:tc>
        <w:tc>
          <w:tcPr>
            <w:tcW w:w="8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4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78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color w:val="auto"/>
              </w:rPr>
              <w:t>Dr. Cynthia A. Telles</w:t>
            </w:r>
          </w:p>
        </w:tc>
        <w:tc>
          <w:tcPr>
            <w:tcW w:w="800" w:type="dxa"/>
            <w:vAlign w:val="bottom"/>
          </w:tcPr>
          <w:p>
            <w:pPr>
              <w:spacing w:after="0"/>
              <w:rPr>
                <w:sz w:val="18"/>
                <w:szCs w:val="18"/>
                <w:color w:val="auto"/>
              </w:rPr>
            </w:pPr>
          </w:p>
        </w:tc>
        <w:tc>
          <w:tcPr>
            <w:tcW w:w="57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420"/>
          </w:cols>
          <w:pgMar w:left="240" w:top="341" w:right="2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 2009 LONG-TERM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As Amended January 13, 2014</w:t>
      </w:r>
    </w:p>
    <w:p>
      <w:pPr>
        <w:spacing w:after="0" w:line="202"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9"/>
          <w:szCs w:val="19"/>
          <w:i w:val="1"/>
          <w:iCs w:val="1"/>
          <w:color w:val="auto"/>
        </w:rPr>
        <w:t xml:space="preserve">SECTION 1. Purpose. </w:t>
      </w:r>
      <w:r>
        <w:rPr>
          <w:rFonts w:ascii="Arial" w:cs="Arial" w:eastAsia="Arial" w:hAnsi="Arial"/>
          <w:sz w:val="19"/>
          <w:szCs w:val="19"/>
          <w:color w:val="auto"/>
        </w:rPr>
        <w:t>The purpose of the General Motors Company 2009 Long-Term Incentive Plan is to</w:t>
      </w:r>
      <w:r>
        <w:rPr>
          <w:rFonts w:ascii="Arial" w:cs="Arial" w:eastAsia="Arial" w:hAnsi="Arial"/>
          <w:sz w:val="19"/>
          <w:szCs w:val="19"/>
          <w:i w:val="1"/>
          <w:iCs w:val="1"/>
          <w:color w:val="auto"/>
        </w:rPr>
        <w:t xml:space="preserve"> </w:t>
      </w:r>
      <w:r>
        <w:rPr>
          <w:rFonts w:ascii="Arial" w:cs="Arial" w:eastAsia="Arial" w:hAnsi="Arial"/>
          <w:sz w:val="19"/>
          <w:szCs w:val="19"/>
          <w:color w:val="auto"/>
        </w:rPr>
        <w:t>motivate and reward participating Employees toward the long-term success of the business by making them participants in that success. Capitalized terms used in the Plan shall have the definitions set forth in Section 11 of the Plan.</w:t>
      </w:r>
    </w:p>
    <w:p>
      <w:pPr>
        <w:spacing w:after="0" w:line="134"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i w:val="1"/>
          <w:iCs w:val="1"/>
          <w:color w:val="auto"/>
        </w:rPr>
        <w:t xml:space="preserve">SECTION 2. Administration. </w:t>
      </w:r>
      <w:r>
        <w:rPr>
          <w:rFonts w:ascii="Arial" w:cs="Arial" w:eastAsia="Arial" w:hAnsi="Arial"/>
          <w:sz w:val="19"/>
          <w:szCs w:val="19"/>
          <w:color w:val="auto"/>
        </w:rPr>
        <w:t>The Plan shall be administered by the Committee. The Committee shall have</w:t>
      </w:r>
      <w:r>
        <w:rPr>
          <w:rFonts w:ascii="Arial" w:cs="Arial" w:eastAsia="Arial" w:hAnsi="Arial"/>
          <w:sz w:val="19"/>
          <w:szCs w:val="19"/>
          <w:i w:val="1"/>
          <w:iCs w:val="1"/>
          <w:color w:val="auto"/>
        </w:rPr>
        <w:t xml:space="preserve"> </w:t>
      </w:r>
      <w:r>
        <w:rPr>
          <w:rFonts w:ascii="Arial" w:cs="Arial" w:eastAsia="Arial" w:hAnsi="Arial"/>
          <w:sz w:val="19"/>
          <w:szCs w:val="19"/>
          <w:color w:val="auto"/>
        </w:rPr>
        <w:t>full discretionary power and authority, subject to such orders or resolutions not inconsistent with the provisions of the Plan as may from time to time be adopted by the Board, to (i) select the Employees of the Company and its Subsidiaries to whom Awards may be granted hereunder; (ii) determine the number of Shares to be covered by each Award granted hereunder; (iii) determine whether, to what extent and under what circumstances Awards may be settled in cash, Shares or other property, or canceled, and (iv) interpret and administer the Plan and any Award Agreement, and establish such rules and regulations and appoint such agents as it shall deem appropriate for the proper administration of the Plan. The Committee may delegate to an appropriate Executive Officer of the Company responsibility for determining, within the limits established by the Committee, individual Awards for Employees who are not Executive Operations Committee members or Executive Officers of the Company.</w:t>
      </w:r>
    </w:p>
    <w:p>
      <w:pPr>
        <w:spacing w:after="0" w:line="158" w:lineRule="exact"/>
        <w:rPr>
          <w:sz w:val="20"/>
          <w:szCs w:val="20"/>
          <w:color w:val="auto"/>
        </w:rPr>
      </w:pPr>
    </w:p>
    <w:p>
      <w:pPr>
        <w:jc w:val="both"/>
        <w:ind w:right="760" w:firstLine="648"/>
        <w:spacing w:after="0" w:line="253" w:lineRule="auto"/>
        <w:rPr>
          <w:sz w:val="20"/>
          <w:szCs w:val="20"/>
          <w:color w:val="auto"/>
        </w:rPr>
      </w:pPr>
      <w:r>
        <w:rPr>
          <w:rFonts w:ascii="Arial" w:cs="Arial" w:eastAsia="Arial" w:hAnsi="Arial"/>
          <w:sz w:val="22"/>
          <w:szCs w:val="22"/>
          <w:color w:val="auto"/>
        </w:rPr>
        <w:t>Terms of Awards granted to Employees subject to compliance with the provisions of the Interim Final Rule and any determinations by the Special Master for TARP Executive Compensation will be determined by the Committee and will be included in the Award Agreements for those Employees.</w:t>
      </w:r>
    </w:p>
    <w:p>
      <w:pPr>
        <w:spacing w:after="0" w:line="186"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Shares Subject to the Plan.</w:t>
      </w:r>
    </w:p>
    <w:p>
      <w:pPr>
        <w:spacing w:after="0" w:line="220" w:lineRule="exact"/>
        <w:rPr>
          <w:sz w:val="20"/>
          <w:szCs w:val="20"/>
          <w:color w:val="auto"/>
        </w:rPr>
      </w:pPr>
    </w:p>
    <w:p>
      <w:pPr>
        <w:ind w:right="40" w:firstLine="832"/>
        <w:spacing w:after="0" w:line="289" w:lineRule="auto"/>
        <w:tabs>
          <w:tab w:leader="none" w:pos="1523" w:val="left"/>
        </w:tabs>
        <w:numPr>
          <w:ilvl w:val="0"/>
          <w:numId w:val="45"/>
        </w:numPr>
        <w:rPr>
          <w:rFonts w:ascii="Arial" w:cs="Arial" w:eastAsia="Arial" w:hAnsi="Arial"/>
          <w:sz w:val="19"/>
          <w:szCs w:val="19"/>
          <w:color w:val="auto"/>
        </w:rPr>
      </w:pPr>
      <w:r>
        <w:rPr>
          <w:rFonts w:ascii="Arial" w:cs="Arial" w:eastAsia="Arial" w:hAnsi="Arial"/>
          <w:sz w:val="19"/>
          <w:szCs w:val="19"/>
          <w:color w:val="auto"/>
        </w:rPr>
        <w:t>Subject to the provisions of Section 3(f) below, the aggregate number of Shares with respect to which Awards may be granted under this Plan shall not exceed 75,000,000 Shares. Shares subject to awards granted under the General Motors Company Salary Stock Plan and the General Motors Company Short-Term Incentive Plan shall reduce the number of Shares with respect to which Awards may be granted under this Plan. Each share subject to a Stock Option or Stock Appreciation Right will reduce the number of shares available for issuance under the Plan by one share, and each share subject to a Restricted Stock Unit or Stock Award will reduce the number of shares available for issuance by two and one-half shares. Subject to the provisions of Section 3(f), for awards that are intended to constitute qualified performance based compensation under Section 162m of the Code, grants of Options or Stock Appreciation Rights in any calendar year may not cover more than 1,000,000 shares and grants of RSUs or Stock Awards in any calendar year may not cover more than 250,000 shares.</w:t>
      </w:r>
    </w:p>
    <w:p>
      <w:pPr>
        <w:spacing w:after="0" w:line="157" w:lineRule="exact"/>
        <w:rPr>
          <w:rFonts w:ascii="Arial" w:cs="Arial" w:eastAsia="Arial" w:hAnsi="Arial"/>
          <w:sz w:val="19"/>
          <w:szCs w:val="19"/>
          <w:color w:val="auto"/>
        </w:rPr>
      </w:pPr>
    </w:p>
    <w:p>
      <w:pPr>
        <w:ind w:right="140" w:firstLine="832"/>
        <w:spacing w:after="0" w:line="250" w:lineRule="auto"/>
        <w:tabs>
          <w:tab w:leader="none" w:pos="1535" w:val="left"/>
        </w:tabs>
        <w:numPr>
          <w:ilvl w:val="0"/>
          <w:numId w:val="45"/>
        </w:numPr>
        <w:rPr>
          <w:rFonts w:ascii="Arial" w:cs="Arial" w:eastAsia="Arial" w:hAnsi="Arial"/>
          <w:sz w:val="22"/>
          <w:szCs w:val="22"/>
          <w:color w:val="auto"/>
        </w:rPr>
      </w:pPr>
      <w:r>
        <w:rPr>
          <w:rFonts w:ascii="Arial" w:cs="Arial" w:eastAsia="Arial" w:hAnsi="Arial"/>
          <w:sz w:val="22"/>
          <w:szCs w:val="22"/>
          <w:color w:val="auto"/>
        </w:rPr>
        <w:t>Awards granted under the Plan that are settled in cash will not count against the approved share reserve. Awards, other than Substitute Awards, that are forfeited or otherwise terminate without the issuance of Shares will no longer be charged against the maximum share limitation and will again be available for future grants. These Shares will return to the available share pool at the same ratio at which they were granted.</w:t>
      </w:r>
    </w:p>
    <w:p>
      <w:pPr>
        <w:spacing w:after="0" w:line="188" w:lineRule="exact"/>
        <w:rPr>
          <w:rFonts w:ascii="Arial" w:cs="Arial" w:eastAsia="Arial" w:hAnsi="Arial"/>
          <w:sz w:val="22"/>
          <w:szCs w:val="22"/>
          <w:color w:val="auto"/>
        </w:rPr>
      </w:pPr>
    </w:p>
    <w:p>
      <w:pPr>
        <w:ind w:right="500" w:firstLine="832"/>
        <w:spacing w:after="0" w:line="263" w:lineRule="auto"/>
        <w:tabs>
          <w:tab w:leader="none" w:pos="1523" w:val="left"/>
        </w:tabs>
        <w:numPr>
          <w:ilvl w:val="0"/>
          <w:numId w:val="45"/>
        </w:numPr>
        <w:rPr>
          <w:rFonts w:ascii="Arial" w:cs="Arial" w:eastAsia="Arial" w:hAnsi="Arial"/>
          <w:sz w:val="22"/>
          <w:szCs w:val="22"/>
          <w:color w:val="auto"/>
        </w:rPr>
      </w:pPr>
      <w:r>
        <w:rPr>
          <w:rFonts w:ascii="Arial" w:cs="Arial" w:eastAsia="Arial" w:hAnsi="Arial"/>
          <w:sz w:val="22"/>
          <w:szCs w:val="22"/>
          <w:color w:val="auto"/>
        </w:rPr>
        <w:t>Shares withheld by or delivered to the Company to satisfy the exercise or conversion price of an Award or in payment of taxes will not again be available for future grants.</w:t>
      </w:r>
    </w:p>
    <w:p>
      <w:pPr>
        <w:spacing w:after="0" w:line="174" w:lineRule="exact"/>
        <w:rPr>
          <w:rFonts w:ascii="Arial" w:cs="Arial" w:eastAsia="Arial" w:hAnsi="Arial"/>
          <w:sz w:val="22"/>
          <w:szCs w:val="22"/>
          <w:color w:val="auto"/>
        </w:rPr>
      </w:pPr>
    </w:p>
    <w:p>
      <w:pPr>
        <w:ind w:left="1540" w:hanging="708"/>
        <w:spacing w:after="0"/>
        <w:tabs>
          <w:tab w:leader="none" w:pos="15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Substitute Awards will not reduce the number of Shares authorized for grant hereunder.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w:t>
      </w:r>
    </w:p>
    <w:p>
      <w:pPr>
        <w:sectPr>
          <w:pgSz w:w="11900" w:h="16838" w:orient="portrait"/>
          <w:cols w:equalWidth="0" w:num="1">
            <w:col w:w="11420"/>
          </w:cols>
          <w:pgMar w:left="240" w:top="337" w:right="239" w:bottom="1440" w:gutter="0" w:footer="0" w:header="0"/>
        </w:sectPr>
      </w:pPr>
    </w:p>
    <w:bookmarkStart w:id="146" w:name="page147"/>
    <w:bookmarkEnd w:id="146"/>
    <w:p>
      <w:pPr>
        <w:ind w:right="540" w:firstLine="832"/>
        <w:spacing w:after="0" w:line="263" w:lineRule="auto"/>
        <w:tabs>
          <w:tab w:leader="none" w:pos="1523"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Shares delivered in settlement of Awards hereunder may consist, in whole or in part, of authorized and unissued Shares, treasury Shares or Shares purchased in the open market or otherwise.</w:t>
      </w:r>
    </w:p>
    <w:p>
      <w:pPr>
        <w:spacing w:after="0" w:line="174" w:lineRule="exact"/>
        <w:rPr>
          <w:rFonts w:ascii="Arial" w:cs="Arial" w:eastAsia="Arial" w:hAnsi="Arial"/>
          <w:sz w:val="22"/>
          <w:szCs w:val="22"/>
          <w:color w:val="auto"/>
        </w:rPr>
      </w:pPr>
    </w:p>
    <w:p>
      <w:pPr>
        <w:ind w:right="40" w:firstLine="832"/>
        <w:spacing w:after="0" w:line="294" w:lineRule="auto"/>
        <w:tabs>
          <w:tab w:leader="none" w:pos="1499"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this Plan and the number of Shares subject to Awards granted under this Plan (provided the number of Shares subject to any Award shall always be a whole number), as may be determined to be appropriate by the Committee in its sole discretion in order to prevent unintended enhancement or diminution of the benefits or potential benefits intended to be conferred on Participants pursuant to Awards granted hereunder.</w:t>
      </w:r>
    </w:p>
    <w:p>
      <w:pPr>
        <w:spacing w:after="0" w:line="150"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i w:val="1"/>
          <w:iCs w:val="1"/>
          <w:color w:val="auto"/>
        </w:rPr>
        <w:t>Eligibility.</w:t>
      </w:r>
    </w:p>
    <w:p>
      <w:pPr>
        <w:spacing w:after="0" w:line="220" w:lineRule="exact"/>
        <w:rPr>
          <w:sz w:val="20"/>
          <w:szCs w:val="20"/>
          <w:color w:val="auto"/>
        </w:rPr>
      </w:pPr>
    </w:p>
    <w:p>
      <w:pPr>
        <w:ind w:left="960" w:hanging="304"/>
        <w:spacing w:after="0"/>
        <w:tabs>
          <w:tab w:leader="none" w:pos="960" w:val="left"/>
        </w:tabs>
        <w:numPr>
          <w:ilvl w:val="0"/>
          <w:numId w:val="47"/>
        </w:numPr>
        <w:rPr>
          <w:rFonts w:ascii="Arial" w:cs="Arial" w:eastAsia="Arial" w:hAnsi="Arial"/>
          <w:sz w:val="22"/>
          <w:szCs w:val="22"/>
          <w:i w:val="1"/>
          <w:iCs w:val="1"/>
          <w:color w:val="auto"/>
        </w:rPr>
      </w:pPr>
      <w:r>
        <w:rPr>
          <w:rFonts w:ascii="Arial" w:cs="Arial" w:eastAsia="Arial" w:hAnsi="Arial"/>
          <w:sz w:val="22"/>
          <w:szCs w:val="22"/>
          <w:color w:val="auto"/>
        </w:rPr>
        <w:t>Any Employee shall be eligible to be selected as a Participant.</w:t>
      </w:r>
    </w:p>
    <w:p>
      <w:pPr>
        <w:spacing w:after="0" w:line="219" w:lineRule="exact"/>
        <w:rPr>
          <w:rFonts w:ascii="Arial" w:cs="Arial" w:eastAsia="Arial" w:hAnsi="Arial"/>
          <w:sz w:val="22"/>
          <w:szCs w:val="22"/>
          <w:i w:val="1"/>
          <w:iCs w:val="1"/>
          <w:color w:val="auto"/>
        </w:rPr>
      </w:pPr>
    </w:p>
    <w:p>
      <w:pPr>
        <w:ind w:left="960" w:hanging="304"/>
        <w:spacing w:after="0"/>
        <w:tabs>
          <w:tab w:leader="none" w:pos="960" w:val="left"/>
        </w:tabs>
        <w:numPr>
          <w:ilvl w:val="0"/>
          <w:numId w:val="4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Conditions Precedent. </w:t>
      </w:r>
      <w:r>
        <w:rPr>
          <w:rFonts w:ascii="Arial" w:cs="Arial" w:eastAsia="Arial" w:hAnsi="Arial"/>
          <w:sz w:val="19"/>
          <w:szCs w:val="19"/>
          <w:color w:val="auto"/>
        </w:rPr>
        <w:t>As a condition precedent to the vesting and settlement of any portion of an Award, Participants</w:t>
      </w:r>
    </w:p>
    <w:p>
      <w:pPr>
        <w:spacing w:after="0" w:line="56" w:lineRule="exact"/>
        <w:rPr>
          <w:rFonts w:ascii="Arial" w:cs="Arial" w:eastAsia="Arial" w:hAnsi="Arial"/>
          <w:sz w:val="19"/>
          <w:szCs w:val="19"/>
          <w:i w:val="1"/>
          <w:iCs w:val="1"/>
          <w:color w:val="auto"/>
        </w:rPr>
      </w:pPr>
    </w:p>
    <w:p>
      <w:pPr>
        <w:spacing w:after="0" w:line="285" w:lineRule="auto"/>
        <w:rPr>
          <w:rFonts w:ascii="Arial" w:cs="Arial" w:eastAsia="Arial" w:hAnsi="Arial"/>
          <w:sz w:val="19"/>
          <w:szCs w:val="19"/>
          <w:i w:val="1"/>
          <w:iCs w:val="1"/>
          <w:color w:val="auto"/>
        </w:rPr>
      </w:pPr>
      <w:r>
        <w:rPr>
          <w:rFonts w:ascii="Arial" w:cs="Arial" w:eastAsia="Arial" w:hAnsi="Arial"/>
          <w:sz w:val="19"/>
          <w:szCs w:val="19"/>
          <w:color w:val="auto"/>
        </w:rPr>
        <w:t>shall: (i) continue to render services as an Employee (except as provided in Section 6(d) or to the extent this condition is waived by the Committee), (ii) refrain from engaging in any activity which, in the opinion of the Chief Executive Officer or Senior Vice President, Global Human Resources, is in any manner inimical or in any way contrary to the best interests of the Company. (For purposes of this provision, the determination of whether an action will cause damage to the Company, or is inimical or in any way contrary to the best interests of the Company shall be made in the sole discretion of the Chief Executive Officer or Senior Vice President, Global Human Resources of the Company.), (iii) not for a period of 12 months following any voluntary termination of employment, directly or indirectly, knowingly induce any Employee or employee of an affiliate of the Company to leave their employment for participation, directly or indirectly, with any existing or future business venture associated with such individual, and (iv) furnish to the Company such information with respect to the satisfaction of the foregoing conditions precedent as the Committee shall reasonably request. The failure by any Participant to satisfy any of the conditions precedent shall result in the immediate cancellation of the unvested portion of any Award previously made to such Participant and such Participant shall not be entitled to receive any consideration with respect to such cancellation.</w:t>
      </w:r>
    </w:p>
    <w:p>
      <w:pPr>
        <w:spacing w:after="0" w:line="164"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SECTION 5. The Committee may require a Participant to enter into such agreements as the Committee in its sole discretion considers appropriate and in the best interests of the Company.</w:t>
      </w:r>
    </w:p>
    <w:p>
      <w:pPr>
        <w:spacing w:after="0" w:line="175"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i w:val="1"/>
          <w:iCs w:val="1"/>
          <w:color w:val="auto"/>
        </w:rPr>
        <w:t>Stock Awards and Restricted Stock Units.</w:t>
      </w:r>
    </w:p>
    <w:p>
      <w:pPr>
        <w:spacing w:after="0" w:line="220" w:lineRule="exact"/>
        <w:rPr>
          <w:sz w:val="20"/>
          <w:szCs w:val="20"/>
          <w:color w:val="auto"/>
        </w:rPr>
      </w:pPr>
    </w:p>
    <w:p>
      <w:pPr>
        <w:ind w:firstLine="818"/>
        <w:spacing w:after="0" w:line="248" w:lineRule="auto"/>
        <w:tabs>
          <w:tab w:leader="none" w:pos="1536"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Grant and Performance Conditions</w:t>
      </w:r>
      <w:r>
        <w:rPr>
          <w:rFonts w:ascii="Arial" w:cs="Arial" w:eastAsia="Arial" w:hAnsi="Arial"/>
          <w:sz w:val="22"/>
          <w:szCs w:val="22"/>
          <w:color w:val="auto"/>
        </w:rPr>
        <w:t>. The Committee may grant Restricted Stock Unit Awards or Stock Awards to</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from time to time. Such Awards shall be valued by reference to a designated number of Shares. A Stock Award or RSU Award shall be subject to the terms and conditions set forth in this Section 6 and the terms set forth in the applicable Award Agreement. In the case of a discrepancy between the Plan and the RSU Award Agreement, the terms of the RSU Award Agreement will control.</w:t>
      </w:r>
    </w:p>
    <w:p>
      <w:pPr>
        <w:spacing w:after="0" w:line="192" w:lineRule="exact"/>
        <w:rPr>
          <w:rFonts w:ascii="Arial" w:cs="Arial" w:eastAsia="Arial" w:hAnsi="Arial"/>
          <w:sz w:val="22"/>
          <w:szCs w:val="22"/>
          <w:color w:val="auto"/>
        </w:rPr>
      </w:pPr>
    </w:p>
    <w:p>
      <w:pPr>
        <w:jc w:val="both"/>
        <w:ind w:right="320" w:firstLine="818"/>
        <w:spacing w:after="0" w:line="250" w:lineRule="auto"/>
        <w:tabs>
          <w:tab w:leader="none" w:pos="1549"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Nonforfeitability</w:t>
      </w:r>
      <w:r>
        <w:rPr>
          <w:rFonts w:ascii="Arial" w:cs="Arial" w:eastAsia="Arial" w:hAnsi="Arial"/>
          <w:sz w:val="22"/>
          <w:szCs w:val="22"/>
          <w:color w:val="auto"/>
        </w:rPr>
        <w:t>. No portion of a Stock Award or RSU Award shall become nonforfeitable or transferable, as</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prior to a date specified by the Committee in the Award Agreement except as set forth in Section 6(d). A Participant must remain continuously employed by the Company or a Subsidiary through the nonforfeitability date specified in the Award Agreement except as set forth in</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360"/>
          </w:cols>
          <w:pgMar w:left="240" w:top="375" w:right="299" w:bottom="1440" w:gutter="0" w:footer="0" w:header="0"/>
        </w:sectPr>
      </w:pPr>
    </w:p>
    <w:bookmarkStart w:id="147" w:name="page148"/>
    <w:bookmarkEnd w:id="147"/>
    <w:p>
      <w:pPr>
        <w:ind w:right="600"/>
        <w:spacing w:after="0" w:line="263" w:lineRule="auto"/>
        <w:rPr>
          <w:sz w:val="20"/>
          <w:szCs w:val="20"/>
          <w:color w:val="auto"/>
        </w:rPr>
      </w:pPr>
      <w:r>
        <w:rPr>
          <w:rFonts w:ascii="Arial" w:cs="Arial" w:eastAsia="Arial" w:hAnsi="Arial"/>
          <w:sz w:val="22"/>
          <w:szCs w:val="22"/>
          <w:color w:val="auto"/>
        </w:rPr>
        <w:t>Section 6(d). Awards shall be conditioned upon the achievement of Performance Conditions, if applicable, as specified in the Award Agreement.</w:t>
      </w:r>
    </w:p>
    <w:p>
      <w:pPr>
        <w:spacing w:after="0" w:line="175" w:lineRule="exact"/>
        <w:rPr>
          <w:sz w:val="20"/>
          <w:szCs w:val="20"/>
          <w:color w:val="auto"/>
        </w:rPr>
      </w:pPr>
    </w:p>
    <w:p>
      <w:pPr>
        <w:ind w:firstLine="818"/>
        <w:spacing w:after="0" w:line="263" w:lineRule="auto"/>
        <w:tabs>
          <w:tab w:leader="none" w:pos="1536"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Payment and Delivery</w:t>
      </w:r>
      <w:r>
        <w:rPr>
          <w:rFonts w:ascii="Arial" w:cs="Arial" w:eastAsia="Arial" w:hAnsi="Arial"/>
          <w:sz w:val="22"/>
          <w:szCs w:val="22"/>
          <w:color w:val="auto"/>
        </w:rPr>
        <w:t>. No RSU Award shall be paid or settled prior to the first applicable Settlement Date, except</w:t>
      </w:r>
      <w:r>
        <w:rPr>
          <w:rFonts w:ascii="Arial" w:cs="Arial" w:eastAsia="Arial" w:hAnsi="Arial"/>
          <w:sz w:val="22"/>
          <w:szCs w:val="22"/>
          <w:i w:val="1"/>
          <w:iCs w:val="1"/>
          <w:color w:val="auto"/>
        </w:rPr>
        <w:t xml:space="preserve"> </w:t>
      </w:r>
      <w:r>
        <w:rPr>
          <w:rFonts w:ascii="Arial" w:cs="Arial" w:eastAsia="Arial" w:hAnsi="Arial"/>
          <w:sz w:val="22"/>
          <w:szCs w:val="22"/>
          <w:color w:val="auto"/>
        </w:rPr>
        <w:t>as provided in Section 6(d)(i) .</w:t>
      </w:r>
    </w:p>
    <w:p>
      <w:pPr>
        <w:spacing w:after="0" w:line="174" w:lineRule="exact"/>
        <w:rPr>
          <w:rFonts w:ascii="Arial" w:cs="Arial" w:eastAsia="Arial" w:hAnsi="Arial"/>
          <w:sz w:val="22"/>
          <w:szCs w:val="22"/>
          <w:color w:val="auto"/>
        </w:rPr>
      </w:pPr>
    </w:p>
    <w:p>
      <w:pPr>
        <w:jc w:val="both"/>
        <w:ind w:right="720" w:firstLine="818"/>
        <w:spacing w:after="0" w:line="253" w:lineRule="auto"/>
        <w:tabs>
          <w:tab w:leader="none" w:pos="1549"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Termination of Employment</w:t>
      </w:r>
      <w:r>
        <w:rPr>
          <w:rFonts w:ascii="Arial" w:cs="Arial" w:eastAsia="Arial" w:hAnsi="Arial"/>
          <w:sz w:val="22"/>
          <w:szCs w:val="22"/>
          <w:color w:val="auto"/>
        </w:rPr>
        <w:t>. Except as set forth in this subsection, upon the termination of a Participant’s</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any Award (or portion thereof) held by such Participant that has not become nonforfeitable at the time of such termination shall be forfeited.</w:t>
      </w:r>
    </w:p>
    <w:p>
      <w:pPr>
        <w:spacing w:after="0" w:line="185" w:lineRule="exact"/>
        <w:rPr>
          <w:rFonts w:ascii="Arial" w:cs="Arial" w:eastAsia="Arial" w:hAnsi="Arial"/>
          <w:sz w:val="22"/>
          <w:szCs w:val="22"/>
          <w:color w:val="auto"/>
        </w:rPr>
      </w:pPr>
    </w:p>
    <w:p>
      <w:pPr>
        <w:ind w:right="40" w:firstLine="980"/>
        <w:spacing w:after="0" w:line="288" w:lineRule="auto"/>
        <w:tabs>
          <w:tab w:leader="none" w:pos="15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In the event that the Participant’s employment terminates as a result of his or her death, all Awards held by such Participant shall be fully retained and become nonforfeitable, provided, however, that if the relevant Award was granted to a Participant at a time when the Participant was among the 75 employees for whom the structure of applicable compensation was subject to regulatory approval under the TARP regulations, then only a pro rata portion of all Awards held by such Participant shall be retained and become nonforfeitable. For Awards subject to proration, the retained portion shall be determined by multiplying the number of shares comprising or underlying the Award by a fraction, the numerator of which is the number of full and partial calendar months elapsed from the Proration Date to the date of death and the denominator of which is the number of months from the Grant Date to the date on which such Award would have become nonforfeitable in accordance with Section 6(b). In no event will such fraction exceed 1.0. Any retained Award, or portion of Award, will be settled in the form provided in Section 6(e) and the Settlement Date for such Awards will occur as soon as practicable after the date of death.</w:t>
      </w:r>
    </w:p>
    <w:p>
      <w:pPr>
        <w:spacing w:after="0" w:line="160" w:lineRule="exact"/>
        <w:rPr>
          <w:rFonts w:ascii="Arial" w:cs="Arial" w:eastAsia="Arial" w:hAnsi="Arial"/>
          <w:sz w:val="19"/>
          <w:szCs w:val="19"/>
          <w:color w:val="auto"/>
        </w:rPr>
      </w:pPr>
    </w:p>
    <w:p>
      <w:pPr>
        <w:ind w:firstLine="980"/>
        <w:spacing w:after="0" w:line="253" w:lineRule="auto"/>
        <w:tabs>
          <w:tab w:leader="none" w:pos="1615"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the event of the Participant’s Disability, all Awards (or portions thereof) held by such Participant will be continue to vest and any awards will be subject to the payment and delivery provisions set forth in Section 6(c). The retained Award (or portion thereof) will be settled in the form provided in Section 6(e).</w:t>
      </w:r>
    </w:p>
    <w:p>
      <w:pPr>
        <w:spacing w:after="0" w:line="185" w:lineRule="exact"/>
        <w:rPr>
          <w:rFonts w:ascii="Arial" w:cs="Arial" w:eastAsia="Arial" w:hAnsi="Arial"/>
          <w:sz w:val="22"/>
          <w:szCs w:val="22"/>
          <w:color w:val="auto"/>
        </w:rPr>
      </w:pPr>
    </w:p>
    <w:p>
      <w:pPr>
        <w:ind w:right="20" w:firstLine="980"/>
        <w:spacing w:after="0" w:line="286" w:lineRule="auto"/>
        <w:tabs>
          <w:tab w:leader="none" w:pos="1674" w:val="left"/>
        </w:tabs>
        <w:numPr>
          <w:ilvl w:val="1"/>
          <w:numId w:val="49"/>
        </w:numPr>
        <w:rPr>
          <w:rFonts w:ascii="Arial" w:cs="Arial" w:eastAsia="Arial" w:hAnsi="Arial"/>
          <w:sz w:val="19"/>
          <w:szCs w:val="19"/>
          <w:color w:val="auto"/>
        </w:rPr>
      </w:pPr>
      <w:r>
        <w:rPr>
          <w:rFonts w:ascii="Arial" w:cs="Arial" w:eastAsia="Arial" w:hAnsi="Arial"/>
          <w:sz w:val="19"/>
          <w:szCs w:val="19"/>
          <w:color w:val="auto"/>
        </w:rPr>
        <w:t>In the case of any Award which is not a TARP Award, in the event that the Participant voluntarily terminates from the Company at age 55 or older with ten or more years of service or at age 62 or older, and in either case prior to the first anniversary of the Grant Date of an Award, subject to other terms and conditions of the Plan, a pro rata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voluntary separation and the denominator of which is the number of months from the Grant Date to the date on which such Award would have become completely nonforfeitable in accordance with Section 6(b). In no event will such fraction exceed 1.0. In the event such Participant voluntarily terminates from the Company at age 55 or older with ten or more years of service or at age 62 or older, and in either case after the first anniversary of the Grant Date of an Award, such Award shall continue to vest and be settled on the scheduled Settlement Date(s) in the form provided in Section 6(e). For purposes of this subsection 6(d)(iii), if a Participant has an outstanding Award granted at a time when the Participant was among the 75 employees for whom the structure of applicable compensation was subject to regulatory approval under the TARP regulations, the Participant shall only retain a pro rata portion of any such Award (calculated as set forth above) if the Participant voluntarily terminates from the Company.</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firstLine="980"/>
        <w:spacing w:after="0" w:line="253" w:lineRule="auto"/>
        <w:tabs>
          <w:tab w:leader="none" w:pos="1662"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the case of any TARP Award, in the event that the Participant voluntarily terminates from the Company at age 55 or older with ten or more years of service or at age 62 or older, and in either case such Participant has remained continuously employed for two years from the Grant Date, subject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420"/>
          </w:cols>
          <w:pgMar w:left="240" w:top="374" w:right="239" w:bottom="1440" w:gutter="0" w:footer="0" w:header="0"/>
        </w:sectPr>
      </w:pPr>
    </w:p>
    <w:bookmarkStart w:id="148" w:name="page149"/>
    <w:bookmarkEnd w:id="148"/>
    <w:p>
      <w:pPr>
        <w:ind w:right="140"/>
        <w:spacing w:after="0" w:line="294" w:lineRule="auto"/>
        <w:rPr>
          <w:sz w:val="20"/>
          <w:szCs w:val="20"/>
          <w:color w:val="auto"/>
        </w:rPr>
      </w:pPr>
      <w:r>
        <w:rPr>
          <w:rFonts w:ascii="Arial" w:cs="Arial" w:eastAsia="Arial" w:hAnsi="Arial"/>
          <w:sz w:val="19"/>
          <w:szCs w:val="19"/>
          <w:color w:val="auto"/>
        </w:rPr>
        <w:t>other terms and conditions of the Plan, a prorated portion of the Award held by such Participant shall be retained and become nonforfeitable. The retained portion shall be determined by multiplying the number of shares comprising or underlying the Award by a fraction, the numerator of which is the number of full and partial calendar months elapsed from the Proration Date to the date of retirement and the denominator of which is the number of months from the Grant Date to the date on which such Award would have become completely nonforfeitable in accordance with Section 6(b). In no event will such fraction exceed 1.0. Any retained RSU Awards will be settled on the scheduled Settlement Date(s) in the form provided in Section 6(e).</w:t>
      </w:r>
    </w:p>
    <w:p>
      <w:pPr>
        <w:spacing w:after="0" w:line="150" w:lineRule="exact"/>
        <w:rPr>
          <w:sz w:val="20"/>
          <w:szCs w:val="20"/>
          <w:color w:val="auto"/>
        </w:rPr>
      </w:pPr>
    </w:p>
    <w:p>
      <w:pPr>
        <w:ind w:firstLine="980"/>
        <w:spacing w:after="0" w:line="263" w:lineRule="auto"/>
        <w:tabs>
          <w:tab w:leader="none" w:pos="1549"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Any Participant who separates from the Company or a Subsidiary for any reason not specified in this Section 6(d) will not be entitled to retain any portion of an Award.</w:t>
      </w:r>
    </w:p>
    <w:p>
      <w:pPr>
        <w:spacing w:after="0" w:line="174" w:lineRule="exact"/>
        <w:rPr>
          <w:rFonts w:ascii="Arial" w:cs="Arial" w:eastAsia="Arial" w:hAnsi="Arial"/>
          <w:sz w:val="22"/>
          <w:szCs w:val="22"/>
          <w:color w:val="auto"/>
        </w:rPr>
      </w:pPr>
    </w:p>
    <w:p>
      <w:pPr>
        <w:jc w:val="both"/>
        <w:ind w:right="780" w:firstLine="980"/>
        <w:spacing w:after="0" w:line="253" w:lineRule="auto"/>
        <w:tabs>
          <w:tab w:leader="none" w:pos="1662" w:val="left"/>
        </w:tabs>
        <w:numPr>
          <w:ilvl w:val="1"/>
          <w:numId w:val="50"/>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6(d), any Award that is designated as a special retention award in the applicable Award Agreement may be subject to vesting and forfeiture terms set forth in such Award Agreement which differ from the terms above.</w:t>
      </w:r>
    </w:p>
    <w:p>
      <w:pPr>
        <w:spacing w:after="0" w:line="185" w:lineRule="exact"/>
        <w:rPr>
          <w:rFonts w:ascii="Arial" w:cs="Arial" w:eastAsia="Arial" w:hAnsi="Arial"/>
          <w:sz w:val="22"/>
          <w:szCs w:val="22"/>
          <w:color w:val="auto"/>
        </w:rPr>
      </w:pPr>
    </w:p>
    <w:p>
      <w:pPr>
        <w:jc w:val="both"/>
        <w:ind w:right="40" w:firstLine="832"/>
        <w:spacing w:after="0" w:line="297" w:lineRule="auto"/>
        <w:tabs>
          <w:tab w:leader="none" w:pos="1523"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Form of Settlement</w:t>
      </w:r>
      <w:r>
        <w:rPr>
          <w:rFonts w:ascii="Arial" w:cs="Arial" w:eastAsia="Arial" w:hAnsi="Arial"/>
          <w:sz w:val="19"/>
          <w:szCs w:val="19"/>
          <w:color w:val="auto"/>
        </w:rPr>
        <w:t>. Each RSU Award shall be settled on any applicable Settlement Date by delivery of Shares. If</w:t>
      </w:r>
      <w:r>
        <w:rPr>
          <w:rFonts w:ascii="Arial" w:cs="Arial" w:eastAsia="Arial" w:hAnsi="Arial"/>
          <w:sz w:val="19"/>
          <w:szCs w:val="19"/>
          <w:i w:val="1"/>
          <w:iCs w:val="1"/>
          <w:color w:val="auto"/>
        </w:rPr>
        <w:t xml:space="preserve"> </w:t>
      </w:r>
      <w:r>
        <w:rPr>
          <w:rFonts w:ascii="Arial" w:cs="Arial" w:eastAsia="Arial" w:hAnsi="Arial"/>
          <w:sz w:val="19"/>
          <w:szCs w:val="19"/>
          <w:color w:val="auto"/>
        </w:rPr>
        <w:t>a Settlement Date for any RSU Award occurs prior to the date which is six months following the consummation of an underwritten public offering of Shares, the Award shall be settled by the delivery of the Fair Market Value of Shares, in cash. Such delivery shall take place promptly after the applicable Settlement Date; provided, however, that such delivery shall be made in all events not later than December 31 of the calendar year in which such Settlement Date occurs.</w:t>
      </w:r>
    </w:p>
    <w:p>
      <w:pPr>
        <w:spacing w:after="0" w:line="147" w:lineRule="exact"/>
        <w:rPr>
          <w:rFonts w:ascii="Arial" w:cs="Arial" w:eastAsia="Arial" w:hAnsi="Arial"/>
          <w:sz w:val="19"/>
          <w:szCs w:val="19"/>
          <w:color w:val="auto"/>
        </w:rPr>
      </w:pPr>
    </w:p>
    <w:p>
      <w:pPr>
        <w:ind w:right="20" w:firstLine="832"/>
        <w:spacing w:after="0" w:line="297" w:lineRule="auto"/>
        <w:tabs>
          <w:tab w:leader="none" w:pos="1499"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No Rights of a Shareholder</w:t>
      </w:r>
      <w:r>
        <w:rPr>
          <w:rFonts w:ascii="Arial" w:cs="Arial" w:eastAsia="Arial" w:hAnsi="Arial"/>
          <w:sz w:val="19"/>
          <w:szCs w:val="19"/>
          <w:color w:val="auto"/>
        </w:rPr>
        <w:t>. No holder of any RSU Award shall have any rights to dividends or any other rights of</w:t>
      </w:r>
      <w:r>
        <w:rPr>
          <w:rFonts w:ascii="Arial" w:cs="Arial" w:eastAsia="Arial" w:hAnsi="Arial"/>
          <w:sz w:val="19"/>
          <w:szCs w:val="19"/>
          <w:i w:val="1"/>
          <w:iCs w:val="1"/>
          <w:color w:val="auto"/>
        </w:rPr>
        <w:t xml:space="preserve"> </w:t>
      </w:r>
      <w:r>
        <w:rPr>
          <w:rFonts w:ascii="Arial" w:cs="Arial" w:eastAsia="Arial" w:hAnsi="Arial"/>
          <w:sz w:val="19"/>
          <w:szCs w:val="19"/>
          <w:color w:val="auto"/>
        </w:rPr>
        <w:t>a stockholder with respect to Shares subject to an Award prior to becoming the record owner of such Shares; provided that the Committee may, in its sole discretion, determine to provide dividend equivalent rights with respect to some or all outstanding RSU Awards or new RSU Awards, which dividend equivalent rights shall otherwise be subject to the conditions of, and paid on the Settlement Date of, the applicable RSU Award, and which will be paid in cash unless the Committee determines otherwise.</w:t>
      </w:r>
    </w:p>
    <w:p>
      <w:pPr>
        <w:spacing w:after="0" w:line="147" w:lineRule="exact"/>
        <w:rPr>
          <w:rFonts w:ascii="Arial" w:cs="Arial" w:eastAsia="Arial" w:hAnsi="Arial"/>
          <w:sz w:val="19"/>
          <w:szCs w:val="19"/>
          <w:color w:val="auto"/>
        </w:rPr>
      </w:pPr>
    </w:p>
    <w:p>
      <w:pPr>
        <w:ind w:right="60" w:firstLine="832"/>
        <w:spacing w:after="0" w:line="253" w:lineRule="auto"/>
        <w:tabs>
          <w:tab w:leader="none" w:pos="1535"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Leave of Absence</w:t>
      </w:r>
      <w:r>
        <w:rPr>
          <w:rFonts w:ascii="Arial" w:cs="Arial" w:eastAsia="Arial" w:hAnsi="Arial"/>
          <w:sz w:val="22"/>
          <w:szCs w:val="22"/>
          <w:color w:val="auto"/>
        </w:rPr>
        <w:t>. Notwithstanding Section 6(d), a qualifying leave of absence shall not constitute a termination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of employment. A Participant’s absence or leave shall be deemed to be a qualifying leave of absence if approved by the Committee in its sole discretion.</w:t>
      </w:r>
    </w:p>
    <w:p>
      <w:pPr>
        <w:spacing w:after="0" w:line="186"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7.</w:t>
      </w:r>
      <w:r>
        <w:rPr>
          <w:sz w:val="20"/>
          <w:szCs w:val="20"/>
          <w:color w:val="auto"/>
        </w:rPr>
        <w:tab/>
      </w:r>
      <w:r>
        <w:rPr>
          <w:rFonts w:ascii="Arial" w:cs="Arial" w:eastAsia="Arial" w:hAnsi="Arial"/>
          <w:sz w:val="19"/>
          <w:szCs w:val="19"/>
          <w:i w:val="1"/>
          <w:iCs w:val="1"/>
          <w:color w:val="auto"/>
        </w:rPr>
        <w:t>Stock Options and Stock Appreciation Rights</w:t>
      </w:r>
    </w:p>
    <w:p>
      <w:pPr>
        <w:spacing w:after="0" w:line="220" w:lineRule="exact"/>
        <w:rPr>
          <w:sz w:val="20"/>
          <w:szCs w:val="20"/>
          <w:color w:val="auto"/>
        </w:rPr>
      </w:pPr>
    </w:p>
    <w:p>
      <w:pPr>
        <w:ind w:right="340" w:firstLine="656"/>
        <w:spacing w:after="0" w:line="343" w:lineRule="auto"/>
        <w:tabs>
          <w:tab w:leader="none" w:pos="942"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 xml:space="preserve">Grant Price. </w:t>
      </w:r>
      <w:r>
        <w:rPr>
          <w:rFonts w:ascii="Arial" w:cs="Arial" w:eastAsia="Arial" w:hAnsi="Arial"/>
          <w:sz w:val="19"/>
          <w:szCs w:val="19"/>
          <w:color w:val="auto"/>
        </w:rPr>
        <w:t>The Grant Price of any Option or SAR shall not be less than the Fair Market Value (and in no event less</w:t>
      </w:r>
      <w:r>
        <w:rPr>
          <w:rFonts w:ascii="Arial" w:cs="Arial" w:eastAsia="Arial" w:hAnsi="Arial"/>
          <w:sz w:val="19"/>
          <w:szCs w:val="19"/>
          <w:i w:val="1"/>
          <w:iCs w:val="1"/>
          <w:color w:val="auto"/>
        </w:rPr>
        <w:t xml:space="preserve"> </w:t>
      </w:r>
      <w:r>
        <w:rPr>
          <w:rFonts w:ascii="Arial" w:cs="Arial" w:eastAsia="Arial" w:hAnsi="Arial"/>
          <w:sz w:val="19"/>
          <w:szCs w:val="19"/>
          <w:color w:val="auto"/>
        </w:rPr>
        <w:t>than the par value) of the Shares on the date the Option or SAR is granted, except in the case of Substitute Awards.</w:t>
      </w:r>
    </w:p>
    <w:p>
      <w:pPr>
        <w:spacing w:after="0" w:line="104" w:lineRule="exact"/>
        <w:rPr>
          <w:rFonts w:ascii="Arial" w:cs="Arial" w:eastAsia="Arial" w:hAnsi="Arial"/>
          <w:sz w:val="19"/>
          <w:szCs w:val="19"/>
          <w:color w:val="auto"/>
        </w:rPr>
      </w:pPr>
    </w:p>
    <w:p>
      <w:pPr>
        <w:jc w:val="both"/>
        <w:ind w:right="60" w:firstLine="656"/>
        <w:spacing w:after="0" w:line="250" w:lineRule="auto"/>
        <w:tabs>
          <w:tab w:leader="none" w:pos="954"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 xml:space="preserve">ISO; Nonqualified Option. </w:t>
      </w:r>
      <w:r>
        <w:rPr>
          <w:rFonts w:ascii="Arial" w:cs="Arial" w:eastAsia="Arial" w:hAnsi="Arial"/>
          <w:sz w:val="22"/>
          <w:szCs w:val="22"/>
          <w:color w:val="auto"/>
        </w:rPr>
        <w:t>Determination as to whether Options granted shall be “Incentive Stock Options” (“ISO’s),</w:t>
      </w:r>
      <w:r>
        <w:rPr>
          <w:rFonts w:ascii="Arial" w:cs="Arial" w:eastAsia="Arial" w:hAnsi="Arial"/>
          <w:sz w:val="22"/>
          <w:szCs w:val="22"/>
          <w:i w:val="1"/>
          <w:iCs w:val="1"/>
          <w:color w:val="auto"/>
        </w:rPr>
        <w:t xml:space="preserve"> </w:t>
      </w:r>
      <w:r>
        <w:rPr>
          <w:rFonts w:ascii="Arial" w:cs="Arial" w:eastAsia="Arial" w:hAnsi="Arial"/>
          <w:sz w:val="22"/>
          <w:szCs w:val="22"/>
          <w:color w:val="auto"/>
        </w:rPr>
        <w:t>Nonqualified Stock Options, and as to any restrictions which shall be placed on Options, shall be made by the Committee under such procedures as it may, from time to time, determine and each Option granted hereunder shall be identified as either an ISO or a Nonqualified Stock Option at the time of grant.</w:t>
      </w:r>
    </w:p>
    <w:p>
      <w:pPr>
        <w:spacing w:after="0" w:line="188" w:lineRule="exact"/>
        <w:rPr>
          <w:rFonts w:ascii="Arial" w:cs="Arial" w:eastAsia="Arial" w:hAnsi="Arial"/>
          <w:sz w:val="22"/>
          <w:szCs w:val="22"/>
          <w:color w:val="auto"/>
        </w:rPr>
      </w:pPr>
    </w:p>
    <w:p>
      <w:pPr>
        <w:ind w:right="720" w:firstLine="656"/>
        <w:spacing w:after="0" w:line="263" w:lineRule="auto"/>
        <w:tabs>
          <w:tab w:leader="none" w:pos="942"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Terms of Options or Stock Appreciation Rights</w:t>
      </w:r>
      <w:r>
        <w:rPr>
          <w:rFonts w:ascii="Arial" w:cs="Arial" w:eastAsia="Arial" w:hAnsi="Arial"/>
          <w:sz w:val="22"/>
          <w:szCs w:val="22"/>
          <w:color w:val="auto"/>
        </w:rPr>
        <w:t>. Options and SARs granted under this Plan shall be subject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provisions, except as otherwise determined by the Committee: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400"/>
          </w:cols>
          <w:pgMar w:left="240" w:top="375" w:right="259" w:bottom="1440" w:gutter="0" w:footer="0" w:header="0"/>
        </w:sectPr>
      </w:pPr>
    </w:p>
    <w:bookmarkStart w:id="149" w:name="page150"/>
    <w:bookmarkEnd w:id="149"/>
    <w:p>
      <w:pPr>
        <w:ind w:left="660" w:right="220" w:firstLine="645"/>
        <w:spacing w:after="0" w:line="290" w:lineRule="auto"/>
        <w:tabs>
          <w:tab w:leader="none" w:pos="1566" w:val="left"/>
        </w:tabs>
        <w:numPr>
          <w:ilvl w:val="0"/>
          <w:numId w:val="53"/>
        </w:numPr>
        <w:rPr>
          <w:rFonts w:ascii="Arial" w:cs="Arial" w:eastAsia="Arial" w:hAnsi="Arial"/>
          <w:sz w:val="19"/>
          <w:szCs w:val="19"/>
          <w:color w:val="auto"/>
        </w:rPr>
      </w:pPr>
      <w:r>
        <w:rPr>
          <w:rFonts w:ascii="Arial" w:cs="Arial" w:eastAsia="Arial" w:hAnsi="Arial"/>
          <w:sz w:val="19"/>
          <w:szCs w:val="19"/>
          <w:color w:val="auto"/>
        </w:rPr>
        <w:t>Vesting and Exercise. Except in the case of death or except as set forth in Section 7(c)(iii)(B) or as set forth in Section 9, no Option or SAR shall vest or become exercisable prior to the first anniversary of the “Grant Date” (or such other date as may be established by the Committee or its delegate(s)); and after such date Options or SARs shall be exercisable only in accordance with the terms and conditions established at the time of grant and reflected in the Award Agreement. Unless otherwise specified in the Award Agreement, beginning on the first anniversary of the Grant Date, Options or SARs will vest and become exercisable in one-third increments. Subject to paragraph 7(c)(iii), each increment will first vest and become exercisable on the first, second and third anniversaries of the Grant Date, respectively. Upon becoming exercisable, the Option or SAR will remain exercisable until expiration, except as set for in Section 7(c)(iii).</w:t>
      </w:r>
    </w:p>
    <w:p>
      <w:pPr>
        <w:spacing w:after="0" w:line="156" w:lineRule="exact"/>
        <w:rPr>
          <w:rFonts w:ascii="Arial" w:cs="Arial" w:eastAsia="Arial" w:hAnsi="Arial"/>
          <w:sz w:val="19"/>
          <w:szCs w:val="19"/>
          <w:color w:val="auto"/>
        </w:rPr>
      </w:pPr>
    </w:p>
    <w:p>
      <w:pPr>
        <w:ind w:left="660" w:right="280" w:firstLine="645"/>
        <w:spacing w:after="0" w:line="287" w:lineRule="auto"/>
        <w:tabs>
          <w:tab w:leader="none" w:pos="1626" w:val="left"/>
        </w:tabs>
        <w:numPr>
          <w:ilvl w:val="0"/>
          <w:numId w:val="53"/>
        </w:numPr>
        <w:rPr>
          <w:rFonts w:ascii="Arial" w:cs="Arial" w:eastAsia="Arial" w:hAnsi="Arial"/>
          <w:sz w:val="21"/>
          <w:szCs w:val="21"/>
          <w:color w:val="auto"/>
        </w:rPr>
      </w:pPr>
      <w:r>
        <w:rPr>
          <w:rFonts w:ascii="Arial" w:cs="Arial" w:eastAsia="Arial" w:hAnsi="Arial"/>
          <w:sz w:val="21"/>
          <w:szCs w:val="21"/>
          <w:color w:val="auto"/>
        </w:rPr>
        <w:t>Term of Options or SARs. The normal expiration date of an Option or SAR shall be determined at the time of grant, provided that each Option or SAR shall expire not more than ten years after the Grant Date.</w:t>
      </w:r>
    </w:p>
    <w:p>
      <w:pPr>
        <w:spacing w:after="0" w:line="151" w:lineRule="exact"/>
        <w:rPr>
          <w:rFonts w:ascii="Arial" w:cs="Arial" w:eastAsia="Arial" w:hAnsi="Arial"/>
          <w:sz w:val="21"/>
          <w:szCs w:val="21"/>
          <w:color w:val="auto"/>
        </w:rPr>
      </w:pPr>
    </w:p>
    <w:p>
      <w:pPr>
        <w:ind w:left="660" w:right="100" w:firstLine="645"/>
        <w:spacing w:after="0" w:line="253" w:lineRule="auto"/>
        <w:tabs>
          <w:tab w:leader="none" w:pos="168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Termination of Employment. Except as set forth in this subsection, upon the termination of a Participant’s employment, any Award (or portion thereof) held by such Participant that has not vested in accordance with Section 7(c)(i) at the time of such termination shall be forfeited</w:t>
      </w:r>
    </w:p>
    <w:p>
      <w:pPr>
        <w:spacing w:after="0" w:line="185" w:lineRule="exact"/>
        <w:rPr>
          <w:rFonts w:ascii="Arial" w:cs="Arial" w:eastAsia="Arial" w:hAnsi="Arial"/>
          <w:sz w:val="22"/>
          <w:szCs w:val="22"/>
          <w:color w:val="auto"/>
        </w:rPr>
      </w:pPr>
    </w:p>
    <w:p>
      <w:pPr>
        <w:jc w:val="both"/>
        <w:ind w:left="1300" w:right="20" w:firstLine="329"/>
        <w:spacing w:after="0" w:line="250" w:lineRule="auto"/>
        <w:tabs>
          <w:tab w:leader="none" w:pos="1978"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the Employee quits employment with the Company or is terminated by the Company for inadequate job performance, or for willful misconduct harmful to the Company, all unvested and vested Options or SARs held by such Participant shall be forfeited as of the date of such termination, or if earlier, as of the date that such grounds for termination by the Company first exist.</w:t>
      </w:r>
    </w:p>
    <w:p>
      <w:pPr>
        <w:spacing w:after="0" w:line="188" w:lineRule="exact"/>
        <w:rPr>
          <w:rFonts w:ascii="Arial" w:cs="Arial" w:eastAsia="Arial" w:hAnsi="Arial"/>
          <w:sz w:val="22"/>
          <w:szCs w:val="22"/>
          <w:color w:val="auto"/>
        </w:rPr>
      </w:pPr>
    </w:p>
    <w:p>
      <w:pPr>
        <w:ind w:left="1300" w:right="160" w:firstLine="329"/>
        <w:spacing w:after="0" w:line="292" w:lineRule="auto"/>
        <w:tabs>
          <w:tab w:leader="none" w:pos="1966"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the Employee retires from the Company at age 55 or older with ten or more years of credited service (or for a Participant who is a tax resident of a location outside the United States at equivalent normal retirement age in such country) or age 62 or older in the United States, subject to the other terms and conditions of the Plan, all Options or SARs will vest immediately, and will be exercisable until the expiration date of such Option. Notwithstanding this provision, the Committee may from time to time determine in its discretion that holders of Options or SARs retiring from the Company during specified time periods under specified circumstances may vest in and retain some portion of their Options or SARs granted in the year the retirement occurs.</w:t>
      </w:r>
    </w:p>
    <w:p>
      <w:pPr>
        <w:spacing w:after="0" w:line="151" w:lineRule="exact"/>
        <w:rPr>
          <w:rFonts w:ascii="Arial" w:cs="Arial" w:eastAsia="Arial" w:hAnsi="Arial"/>
          <w:sz w:val="19"/>
          <w:szCs w:val="19"/>
          <w:color w:val="auto"/>
        </w:rPr>
      </w:pPr>
    </w:p>
    <w:p>
      <w:pPr>
        <w:ind w:left="1300" w:right="200" w:firstLine="329"/>
        <w:spacing w:after="0" w:line="287" w:lineRule="auto"/>
        <w:tabs>
          <w:tab w:leader="none" w:pos="1966" w:val="left"/>
        </w:tabs>
        <w:numPr>
          <w:ilvl w:val="1"/>
          <w:numId w:val="53"/>
        </w:numPr>
        <w:rPr>
          <w:rFonts w:ascii="Arial" w:cs="Arial" w:eastAsia="Arial" w:hAnsi="Arial"/>
          <w:sz w:val="21"/>
          <w:szCs w:val="21"/>
          <w:color w:val="auto"/>
        </w:rPr>
      </w:pPr>
      <w:r>
        <w:rPr>
          <w:rFonts w:ascii="Arial" w:cs="Arial" w:eastAsia="Arial" w:hAnsi="Arial"/>
          <w:sz w:val="21"/>
          <w:szCs w:val="21"/>
          <w:color w:val="auto"/>
        </w:rPr>
        <w:t>If employment is terminated by reason of death, all Options shall immediately vest and remain exercisable until the third anniversary of the date of death or, if earlier, the expiration date of such Option.</w:t>
      </w:r>
    </w:p>
    <w:p>
      <w:pPr>
        <w:spacing w:after="0" w:line="151" w:lineRule="exact"/>
        <w:rPr>
          <w:rFonts w:ascii="Arial" w:cs="Arial" w:eastAsia="Arial" w:hAnsi="Arial"/>
          <w:sz w:val="21"/>
          <w:szCs w:val="21"/>
          <w:color w:val="auto"/>
        </w:rPr>
      </w:pPr>
    </w:p>
    <w:p>
      <w:pPr>
        <w:ind w:left="1300" w:firstLine="329"/>
        <w:spacing w:after="0" w:line="312" w:lineRule="auto"/>
        <w:tabs>
          <w:tab w:leader="none" w:pos="1978"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an employee becomes disabled, Options will continue to vest and become exercisable in accordance with the original terms of the grant while the Employee remains on the disability leave and, subject to the other terms and conditions of the Plan, vested Options will remain exercisable for the full remaining term.</w:t>
      </w:r>
    </w:p>
    <w:p>
      <w:pPr>
        <w:spacing w:after="0" w:line="133" w:lineRule="exact"/>
        <w:rPr>
          <w:rFonts w:ascii="Arial" w:cs="Arial" w:eastAsia="Arial" w:hAnsi="Arial"/>
          <w:sz w:val="19"/>
          <w:szCs w:val="19"/>
          <w:color w:val="auto"/>
        </w:rPr>
      </w:pPr>
    </w:p>
    <w:p>
      <w:pPr>
        <w:jc w:val="both"/>
        <w:ind w:left="1300" w:firstLine="329"/>
        <w:spacing w:after="0" w:line="250" w:lineRule="auto"/>
        <w:tabs>
          <w:tab w:leader="none" w:pos="1954"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employment terminates for any reason other than as set forth above (including, for the avoidance of doubt, retirement not meeting the conditions set forth in Section 7(c)(iii)(B) or other voluntary termination with the consent of the Company), subject to the other terms and conditions of the Plan, all vested Options will remain exercisable until the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380"/>
          </w:cols>
          <w:pgMar w:left="240" w:top="375" w:right="279" w:bottom="1440" w:gutter="0" w:footer="0" w:header="0"/>
        </w:sectPr>
      </w:pPr>
    </w:p>
    <w:bookmarkStart w:id="150" w:name="page151"/>
    <w:bookmarkEnd w:id="150"/>
    <w:p>
      <w:pPr>
        <w:ind w:left="1300"/>
        <w:spacing w:after="0"/>
        <w:rPr>
          <w:sz w:val="20"/>
          <w:szCs w:val="20"/>
          <w:color w:val="auto"/>
        </w:rPr>
      </w:pPr>
      <w:r>
        <w:rPr>
          <w:rFonts w:ascii="Arial" w:cs="Arial" w:eastAsia="Arial" w:hAnsi="Arial"/>
          <w:sz w:val="21"/>
          <w:szCs w:val="21"/>
          <w:color w:val="auto"/>
        </w:rPr>
        <w:t>third anniversary of the date of termination of employment or, if earlier, the expiration date of such Option.</w:t>
      </w:r>
    </w:p>
    <w:p>
      <w:pPr>
        <w:spacing w:after="0" w:line="231" w:lineRule="exact"/>
        <w:rPr>
          <w:sz w:val="20"/>
          <w:szCs w:val="20"/>
          <w:color w:val="auto"/>
        </w:rPr>
      </w:pPr>
    </w:p>
    <w:p>
      <w:pPr>
        <w:ind w:left="1300" w:firstLine="329"/>
        <w:spacing w:after="0" w:line="253" w:lineRule="auto"/>
        <w:tabs>
          <w:tab w:leader="none" w:pos="1942" w:val="left"/>
        </w:tabs>
        <w:numPr>
          <w:ilvl w:val="1"/>
          <w:numId w:val="54"/>
        </w:numPr>
        <w:rPr>
          <w:rFonts w:ascii="Arial" w:cs="Arial" w:eastAsia="Arial" w:hAnsi="Arial"/>
          <w:sz w:val="22"/>
          <w:szCs w:val="22"/>
          <w:color w:val="auto"/>
        </w:rPr>
      </w:pPr>
      <w:r>
        <w:rPr>
          <w:rFonts w:ascii="Arial" w:cs="Arial" w:eastAsia="Arial" w:hAnsi="Arial"/>
          <w:sz w:val="22"/>
          <w:szCs w:val="22"/>
          <w:color w:val="auto"/>
        </w:rPr>
        <w:t>If employment terminates for any reason (other than death) prior to the first anniversary of the date an Option is granted, except as provided in Section 7(c)(iii)(B) the Option shall be forfeited and terminate on the date of termination of employment.</w:t>
      </w:r>
    </w:p>
    <w:p>
      <w:pPr>
        <w:spacing w:after="0" w:line="185" w:lineRule="exact"/>
        <w:rPr>
          <w:rFonts w:ascii="Arial" w:cs="Arial" w:eastAsia="Arial" w:hAnsi="Arial"/>
          <w:sz w:val="22"/>
          <w:szCs w:val="22"/>
          <w:color w:val="auto"/>
        </w:rPr>
      </w:pPr>
    </w:p>
    <w:p>
      <w:pPr>
        <w:ind w:left="660" w:right="700" w:firstLine="645"/>
        <w:spacing w:after="0" w:line="253" w:lineRule="auto"/>
        <w:tabs>
          <w:tab w:leader="none" w:pos="1674" w:val="left"/>
        </w:tabs>
        <w:numPr>
          <w:ilvl w:val="0"/>
          <w:numId w:val="55"/>
        </w:numPr>
        <w:rPr>
          <w:rFonts w:ascii="Arial" w:cs="Arial" w:eastAsia="Arial" w:hAnsi="Arial"/>
          <w:sz w:val="22"/>
          <w:szCs w:val="22"/>
          <w:color w:val="auto"/>
        </w:rPr>
      </w:pPr>
      <w:r>
        <w:rPr>
          <w:rFonts w:ascii="Arial" w:cs="Arial" w:eastAsia="Arial" w:hAnsi="Arial"/>
          <w:sz w:val="22"/>
          <w:szCs w:val="22"/>
          <w:color w:val="auto"/>
        </w:rPr>
        <w:t>Leave of Absence. Notwithstanding Section 7(c) (iii), a qualifying leave of absence shall not constitute a termination of employment. A Participant’s absence or leave shall be deemed to be a qualifying leave of absence if approved by the Committee in its sole discretion.</w:t>
      </w:r>
    </w:p>
    <w:p>
      <w:pPr>
        <w:spacing w:after="0" w:line="185" w:lineRule="exact"/>
        <w:rPr>
          <w:rFonts w:ascii="Arial" w:cs="Arial" w:eastAsia="Arial" w:hAnsi="Arial"/>
          <w:sz w:val="22"/>
          <w:szCs w:val="22"/>
          <w:color w:val="auto"/>
        </w:rPr>
      </w:pPr>
    </w:p>
    <w:p>
      <w:pPr>
        <w:ind w:left="660" w:right="80" w:firstLine="645"/>
        <w:spacing w:after="0" w:line="261" w:lineRule="auto"/>
        <w:tabs>
          <w:tab w:leader="none" w:pos="1614" w:val="left"/>
        </w:tabs>
        <w:numPr>
          <w:ilvl w:val="0"/>
          <w:numId w:val="55"/>
        </w:numPr>
        <w:rPr>
          <w:rFonts w:ascii="Arial" w:cs="Arial" w:eastAsia="Arial" w:hAnsi="Arial"/>
          <w:sz w:val="21"/>
          <w:szCs w:val="21"/>
          <w:color w:val="auto"/>
        </w:rPr>
      </w:pPr>
      <w:r>
        <w:rPr>
          <w:rFonts w:ascii="Arial" w:cs="Arial" w:eastAsia="Arial" w:hAnsi="Arial"/>
          <w:sz w:val="21"/>
          <w:szCs w:val="21"/>
          <w:color w:val="auto"/>
        </w:rPr>
        <w:t>Payment of Exercise Price. All Shares purchased upon exercise of any Option shall be paid for in full at the time of purchase or adequate provision for such payment shall be made. Such payment shall be made (A) in cash, (B) through delivery or constructive delivery of Shares (provided that such Shares may be subject to such holding period or other requirement as the Committee may impose, (C) a combination of cash and stock or (D) through a broker-assisted cashless exercise facility if established by the Company. Any Shares delivered as a result of an Option exercise shall be valued at their Fair Market Value on the exercise date of the Option.</w:t>
      </w:r>
    </w:p>
    <w:p>
      <w:pPr>
        <w:spacing w:after="0" w:line="180"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8.</w:t>
      </w:r>
      <w:r>
        <w:rPr>
          <w:sz w:val="20"/>
          <w:szCs w:val="20"/>
          <w:color w:val="auto"/>
        </w:rPr>
        <w:tab/>
      </w:r>
      <w:r>
        <w:rPr>
          <w:rFonts w:ascii="Arial" w:cs="Arial" w:eastAsia="Arial" w:hAnsi="Arial"/>
          <w:sz w:val="19"/>
          <w:szCs w:val="19"/>
          <w:i w:val="1"/>
          <w:iCs w:val="1"/>
          <w:color w:val="auto"/>
        </w:rPr>
        <w:t>Amendments, Termination and Recoupment.</w:t>
      </w:r>
    </w:p>
    <w:p>
      <w:pPr>
        <w:spacing w:after="0" w:line="220" w:lineRule="exact"/>
        <w:rPr>
          <w:sz w:val="20"/>
          <w:szCs w:val="20"/>
          <w:color w:val="auto"/>
        </w:rPr>
      </w:pPr>
    </w:p>
    <w:p>
      <w:pPr>
        <w:ind w:right="20" w:firstLine="832"/>
        <w:spacing w:after="0" w:line="247" w:lineRule="auto"/>
        <w:tabs>
          <w:tab w:leader="none" w:pos="152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the rules of the New York Stock Exchange or such other national securities exchange as may be from time to time the principal trading market for Shares, and (ii) except as provided in Section 8(f), the consent of the affected Participant, if such action would materially impair the rights of such Participant under any outstanding Award.</w:t>
      </w:r>
    </w:p>
    <w:p>
      <w:pPr>
        <w:spacing w:after="0" w:line="193" w:lineRule="exact"/>
        <w:rPr>
          <w:rFonts w:ascii="Arial" w:cs="Arial" w:eastAsia="Arial" w:hAnsi="Arial"/>
          <w:sz w:val="22"/>
          <w:szCs w:val="22"/>
          <w:color w:val="auto"/>
        </w:rPr>
      </w:pPr>
    </w:p>
    <w:p>
      <w:pPr>
        <w:ind w:right="60" w:firstLine="832"/>
        <w:spacing w:after="0" w:line="294" w:lineRule="auto"/>
        <w:tabs>
          <w:tab w:leader="none" w:pos="153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Committee may delegate to another committee, as it may appoint, the authority to take any action consistent with the terms of the Plan, either before or after an Award has been granted, which such other committee deems necessary or advisable to comply with any government laws or regulatory requirements of a foreign country, including, but not limited to, modifying or amending the terms and conditions governing any Awards, or establishing any local country plans as sub-plans to this Plan. In addition, under all circumstances, the Committee may make non-substantive administrative changes to the Plan so as to conform with or take advantage of governmental requirements, statutes or regulations.</w:t>
      </w:r>
    </w:p>
    <w:p>
      <w:pPr>
        <w:spacing w:after="0" w:line="149" w:lineRule="exact"/>
        <w:rPr>
          <w:rFonts w:ascii="Arial" w:cs="Arial" w:eastAsia="Arial" w:hAnsi="Arial"/>
          <w:sz w:val="19"/>
          <w:szCs w:val="19"/>
          <w:color w:val="auto"/>
        </w:rPr>
      </w:pPr>
    </w:p>
    <w:p>
      <w:pPr>
        <w:ind w:right="60" w:firstLine="832"/>
        <w:spacing w:after="0" w:line="247" w:lineRule="auto"/>
        <w:tabs>
          <w:tab w:leader="none" w:pos="152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Committee may amend the terms of any Award and any Award Agreement theretofore granted, prospectively or retroactively, but no such amendment shall materially impair the rights of any Participant without his or her consent except as provided in Section 8(f). No such amendment shall reduce the exercise price of an outstanding Option or cancel or amend an outstanding Option for the purpose of re-pricing, replacing or re-granting such Option with an exercise price that is less than the exercise price of the original Option including cash payments in consideration of an underwater Option without stockholder approval.</w:t>
      </w:r>
    </w:p>
    <w:p>
      <w:pPr>
        <w:spacing w:after="0" w:line="193" w:lineRule="exact"/>
        <w:rPr>
          <w:rFonts w:ascii="Arial" w:cs="Arial" w:eastAsia="Arial" w:hAnsi="Arial"/>
          <w:sz w:val="22"/>
          <w:szCs w:val="22"/>
          <w:color w:val="auto"/>
        </w:rPr>
      </w:pPr>
    </w:p>
    <w:p>
      <w:pPr>
        <w:ind w:right="80" w:firstLine="832"/>
        <w:spacing w:after="0" w:line="248" w:lineRule="auto"/>
        <w:tabs>
          <w:tab w:leader="none" w:pos="1535"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Notwithstanding any provision of this Plan to the contrary, any Award made and any amount of cash or Shares delivered in settlement thereof to a Participant under this Plan is subject to being called for repayment to the Company in any situation where the Board of Directors or a Committee thereof determines that the Company’s Policy on Recoupment of Compensation requires such repayment, or that repayment is otherwise required by the rules of any national securities exchange on which the stock</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420"/>
          </w:cols>
          <w:pgMar w:left="240" w:top="375" w:right="239" w:bottom="1440" w:gutter="0" w:footer="0" w:header="0"/>
        </w:sectPr>
      </w:pPr>
    </w:p>
    <w:bookmarkStart w:id="151" w:name="page152"/>
    <w:bookmarkEnd w:id="151"/>
    <w:p>
      <w:pPr>
        <w:ind w:right="240"/>
        <w:spacing w:after="0" w:line="263" w:lineRule="auto"/>
        <w:rPr>
          <w:sz w:val="20"/>
          <w:szCs w:val="20"/>
          <w:color w:val="auto"/>
        </w:rPr>
      </w:pPr>
      <w:r>
        <w:rPr>
          <w:rFonts w:ascii="Arial" w:cs="Arial" w:eastAsia="Arial" w:hAnsi="Arial"/>
          <w:sz w:val="22"/>
          <w:szCs w:val="22"/>
          <w:color w:val="auto"/>
        </w:rPr>
        <w:t>of the Company may be listed. The determination regarding repayment under this provision shall be within the sole discretion of the Committee and shall be final and binding on the Participant and the Company.</w:t>
      </w:r>
    </w:p>
    <w:p>
      <w:pPr>
        <w:spacing w:after="0" w:line="175" w:lineRule="exact"/>
        <w:rPr>
          <w:sz w:val="20"/>
          <w:szCs w:val="20"/>
          <w:color w:val="auto"/>
        </w:rPr>
      </w:pPr>
    </w:p>
    <w:p>
      <w:pPr>
        <w:ind w:right="100" w:firstLine="832"/>
        <w:spacing w:after="0" w:line="302" w:lineRule="auto"/>
        <w:tabs>
          <w:tab w:leader="none" w:pos="1523"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any provision of the Plan or any Award Agreement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Plan or any Award.</w:t>
      </w:r>
    </w:p>
    <w:p>
      <w:pPr>
        <w:spacing w:after="0" w:line="142" w:lineRule="exact"/>
        <w:rPr>
          <w:rFonts w:ascii="Arial" w:cs="Arial" w:eastAsia="Arial" w:hAnsi="Arial"/>
          <w:sz w:val="19"/>
          <w:szCs w:val="19"/>
          <w:color w:val="auto"/>
        </w:rPr>
      </w:pPr>
    </w:p>
    <w:p>
      <w:pPr>
        <w:ind w:right="200" w:firstLine="832"/>
        <w:spacing w:after="0" w:line="302" w:lineRule="auto"/>
        <w:tabs>
          <w:tab w:leader="none" w:pos="1499"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Award hereunder that is or becomes a TARP Award is intended to comply with applicable Treasury regulations under TARP and shall be interpreted and amended as necessary to comply with any interpretations or guidance of the Special Master or his successor. In the event that an Award hereunder becomes a TARP Award, or is otherwise affected by any decision of the Special Master or his successor, the Company shall inform the affected Participant.</w:t>
      </w:r>
    </w:p>
    <w:p>
      <w:pPr>
        <w:spacing w:after="0" w:line="143"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i w:val="1"/>
          <w:iCs w:val="1"/>
          <w:color w:val="auto"/>
        </w:rPr>
        <w:t>SECTION 9.</w:t>
      </w:r>
      <w:r>
        <w:rPr>
          <w:sz w:val="20"/>
          <w:szCs w:val="20"/>
          <w:color w:val="auto"/>
        </w:rPr>
        <w:tab/>
      </w:r>
      <w:r>
        <w:rPr>
          <w:rFonts w:ascii="Arial" w:cs="Arial" w:eastAsia="Arial" w:hAnsi="Arial"/>
          <w:sz w:val="19"/>
          <w:szCs w:val="19"/>
          <w:i w:val="1"/>
          <w:iCs w:val="1"/>
          <w:color w:val="auto"/>
        </w:rPr>
        <w:t>General Provisions.</w:t>
      </w:r>
    </w:p>
    <w:p>
      <w:pPr>
        <w:spacing w:after="0" w:line="220" w:lineRule="exact"/>
        <w:rPr>
          <w:sz w:val="20"/>
          <w:szCs w:val="20"/>
          <w:color w:val="auto"/>
        </w:rPr>
      </w:pPr>
    </w:p>
    <w:p>
      <w:pPr>
        <w:ind w:right="20" w:firstLine="832"/>
        <w:spacing w:after="0" w:line="263" w:lineRule="auto"/>
        <w:tabs>
          <w:tab w:leader="none" w:pos="1523"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 Award may not be sold, exercised, pledged, assigned, hypothecated, transferred, or disposed of in any manner except as may be expressly set forth in the Award Agreement.</w:t>
      </w:r>
    </w:p>
    <w:p>
      <w:pPr>
        <w:spacing w:after="0" w:line="174" w:lineRule="exact"/>
        <w:rPr>
          <w:rFonts w:ascii="Arial" w:cs="Arial" w:eastAsia="Arial" w:hAnsi="Arial"/>
          <w:sz w:val="22"/>
          <w:szCs w:val="22"/>
          <w:color w:val="auto"/>
        </w:rPr>
      </w:pPr>
    </w:p>
    <w:p>
      <w:pPr>
        <w:ind w:right="140" w:firstLine="832"/>
        <w:spacing w:after="0" w:line="253" w:lineRule="auto"/>
        <w:tabs>
          <w:tab w:leader="none" w:pos="1535" w:val="left"/>
        </w:tabs>
        <w:numPr>
          <w:ilvl w:val="0"/>
          <w:numId w:val="58"/>
        </w:numPr>
        <w:rPr>
          <w:rFonts w:ascii="Arial" w:cs="Arial" w:eastAsia="Arial" w:hAnsi="Arial"/>
          <w:sz w:val="22"/>
          <w:szCs w:val="22"/>
          <w:color w:val="auto"/>
        </w:rPr>
      </w:pPr>
      <w:r>
        <w:rPr>
          <w:rFonts w:ascii="Arial" w:cs="Arial" w:eastAsia="Arial" w:hAnsi="Arial"/>
          <w:sz w:val="22"/>
          <w:szCs w:val="22"/>
          <w:color w:val="auto"/>
        </w:rPr>
        <w:t>Neither the Award nor any benefits arising out of this Plan shall constitute part of a Participant’s employment or service contract with the Company or any Subsidiary. The Awards under this Plan are not intended to be treated as compensation for any purpose under any other Company plan.</w:t>
      </w:r>
    </w:p>
    <w:p>
      <w:pPr>
        <w:spacing w:after="0" w:line="185" w:lineRule="exact"/>
        <w:rPr>
          <w:rFonts w:ascii="Arial" w:cs="Arial" w:eastAsia="Arial" w:hAnsi="Arial"/>
          <w:sz w:val="22"/>
          <w:szCs w:val="22"/>
          <w:color w:val="auto"/>
        </w:rPr>
      </w:pPr>
    </w:p>
    <w:p>
      <w:pPr>
        <w:ind w:right="720" w:firstLine="832"/>
        <w:spacing w:after="0" w:line="263" w:lineRule="auto"/>
        <w:tabs>
          <w:tab w:leader="none" w:pos="1523"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 Employee shall have any claim to be granted any Award under the Plan, and there is no obligation for uniformity of treatment of Participants under the Plan.</w:t>
      </w:r>
    </w:p>
    <w:p>
      <w:pPr>
        <w:spacing w:after="0" w:line="174" w:lineRule="exact"/>
        <w:rPr>
          <w:rFonts w:ascii="Arial" w:cs="Arial" w:eastAsia="Arial" w:hAnsi="Arial"/>
          <w:sz w:val="22"/>
          <w:szCs w:val="22"/>
          <w:color w:val="auto"/>
        </w:rPr>
      </w:pPr>
    </w:p>
    <w:p>
      <w:pPr>
        <w:ind w:right="40" w:firstLine="832"/>
        <w:spacing w:after="0" w:line="302" w:lineRule="auto"/>
        <w:tabs>
          <w:tab w:leader="none" w:pos="1535"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42" w:lineRule="exact"/>
        <w:rPr>
          <w:rFonts w:ascii="Arial" w:cs="Arial" w:eastAsia="Arial" w:hAnsi="Arial"/>
          <w:sz w:val="19"/>
          <w:szCs w:val="19"/>
          <w:color w:val="auto"/>
        </w:rPr>
      </w:pPr>
    </w:p>
    <w:p>
      <w:pPr>
        <w:ind w:firstLine="832"/>
        <w:spacing w:after="0" w:line="297" w:lineRule="auto"/>
        <w:tabs>
          <w:tab w:leader="none" w:pos="1523"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are then listed, and any applicable federal or state securities law, any instructions of the Special Master and the Committee may cause a legend or legends to be put on any certificates or other indicia of ownership of such Shares to make appropriate reference to such restrictions.</w:t>
      </w:r>
    </w:p>
    <w:p>
      <w:pPr>
        <w:spacing w:after="0" w:line="147" w:lineRule="exact"/>
        <w:rPr>
          <w:rFonts w:ascii="Arial" w:cs="Arial" w:eastAsia="Arial" w:hAnsi="Arial"/>
          <w:sz w:val="19"/>
          <w:szCs w:val="19"/>
          <w:color w:val="auto"/>
        </w:rPr>
      </w:pPr>
    </w:p>
    <w:p>
      <w:pPr>
        <w:ind w:right="100" w:firstLine="832"/>
        <w:spacing w:after="0" w:line="250" w:lineRule="auto"/>
        <w:tabs>
          <w:tab w:leader="none" w:pos="1499"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 Award granted hereunder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188" w:lineRule="exact"/>
        <w:rPr>
          <w:rFonts w:ascii="Arial" w:cs="Arial" w:eastAsia="Arial" w:hAnsi="Arial"/>
          <w:sz w:val="22"/>
          <w:szCs w:val="22"/>
          <w:color w:val="auto"/>
        </w:rPr>
      </w:pPr>
    </w:p>
    <w:p>
      <w:pPr>
        <w:jc w:val="both"/>
        <w:ind w:right="20" w:firstLine="832"/>
        <w:spacing w:after="0" w:line="302" w:lineRule="auto"/>
        <w:tabs>
          <w:tab w:leader="none" w:pos="1535"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Company and its Subsidiaries shall be authorized to withhold from any Award granted or payment due under the Plan the amount of withholding taxes due in respect of an Award or payment hereunder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360"/>
          </w:cols>
          <w:pgMar w:left="240" w:top="374" w:right="299" w:bottom="1440" w:gutter="0" w:footer="0" w:header="0"/>
        </w:sectPr>
      </w:pPr>
    </w:p>
    <w:bookmarkStart w:id="152" w:name="page153"/>
    <w:bookmarkEnd w:id="152"/>
    <w:p>
      <w:pPr>
        <w:ind w:right="160"/>
        <w:spacing w:after="0" w:line="302" w:lineRule="auto"/>
        <w:rPr>
          <w:sz w:val="20"/>
          <w:szCs w:val="20"/>
          <w:color w:val="auto"/>
        </w:rPr>
      </w:pPr>
      <w:r>
        <w:rPr>
          <w:rFonts w:ascii="Arial" w:cs="Arial" w:eastAsia="Arial" w:hAnsi="Arial"/>
          <w:sz w:val="19"/>
          <w:szCs w:val="19"/>
          <w:color w:val="auto"/>
        </w:rPr>
        <w:t>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43" w:lineRule="exact"/>
        <w:rPr>
          <w:sz w:val="20"/>
          <w:szCs w:val="20"/>
          <w:color w:val="auto"/>
        </w:rPr>
      </w:pPr>
    </w:p>
    <w:p>
      <w:pPr>
        <w:ind w:right="820" w:firstLine="832"/>
        <w:spacing w:after="0" w:line="253" w:lineRule="auto"/>
        <w:tabs>
          <w:tab w:leader="none" w:pos="1535"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85" w:lineRule="exact"/>
        <w:rPr>
          <w:rFonts w:ascii="Arial" w:cs="Arial" w:eastAsia="Arial" w:hAnsi="Arial"/>
          <w:sz w:val="22"/>
          <w:szCs w:val="22"/>
          <w:color w:val="auto"/>
        </w:rPr>
      </w:pPr>
    </w:p>
    <w:p>
      <w:pPr>
        <w:ind w:right="140" w:firstLine="832"/>
        <w:spacing w:after="0" w:line="343" w:lineRule="auto"/>
        <w:tabs>
          <w:tab w:leader="none" w:pos="1487"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spacing w:after="0" w:line="104" w:lineRule="exact"/>
        <w:rPr>
          <w:rFonts w:ascii="Arial" w:cs="Arial" w:eastAsia="Arial" w:hAnsi="Arial"/>
          <w:sz w:val="19"/>
          <w:szCs w:val="19"/>
          <w:color w:val="auto"/>
        </w:rPr>
      </w:pPr>
    </w:p>
    <w:p>
      <w:pPr>
        <w:ind w:right="40" w:firstLine="832"/>
        <w:spacing w:after="0" w:line="246" w:lineRule="auto"/>
        <w:tabs>
          <w:tab w:leader="none" w:pos="1487" w:val="left"/>
        </w:tabs>
        <w:numPr>
          <w:ilvl w:val="0"/>
          <w:numId w:val="59"/>
        </w:numPr>
        <w:rPr>
          <w:rFonts w:ascii="Arial" w:cs="Arial" w:eastAsia="Arial" w:hAnsi="Arial"/>
          <w:sz w:val="22"/>
          <w:szCs w:val="22"/>
          <w:color w:val="auto"/>
        </w:rPr>
      </w:pPr>
      <w:r>
        <w:rPr>
          <w:rFonts w:ascii="Arial" w:cs="Arial" w:eastAsia="Arial" w:hAnsi="Arial"/>
          <w:sz w:val="22"/>
          <w:szCs w:val="22"/>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9(j) may not be made without stockholder approval or Participant approval, if such approval is required by Section 8. The Committee also may impose conditions on the exercise or vesting of Awards in order to minimize the Company’s obligation with respect to tax equalization for Employees on assignments outside their home country.</w:t>
      </w:r>
    </w:p>
    <w:p>
      <w:pPr>
        <w:spacing w:after="0" w:line="197" w:lineRule="exact"/>
        <w:rPr>
          <w:rFonts w:ascii="Arial" w:cs="Arial" w:eastAsia="Arial" w:hAnsi="Arial"/>
          <w:sz w:val="22"/>
          <w:szCs w:val="22"/>
          <w:color w:val="auto"/>
        </w:rPr>
      </w:pPr>
    </w:p>
    <w:p>
      <w:pPr>
        <w:ind w:right="120" w:firstLine="832"/>
        <w:spacing w:after="0" w:line="265" w:lineRule="auto"/>
        <w:tabs>
          <w:tab w:leader="none" w:pos="1535"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the Company shall have any unpaid claims against a Participant arising out of or in connection with the Participant’s employment with the Company, prior to payment of a Final Award, the Company, at its discretion, may offset against a Final Award up to $5,000 per year of any unpaid claims. Upon settlement of an Award such claim may be offset in total. Such claims may include, but are not limited to, unpaid taxes or corporate business credit card charges.</w:t>
      </w:r>
    </w:p>
    <w:p>
      <w:pPr>
        <w:spacing w:after="0" w:line="175" w:lineRule="exact"/>
        <w:rPr>
          <w:rFonts w:ascii="Arial" w:cs="Arial" w:eastAsia="Arial" w:hAnsi="Arial"/>
          <w:sz w:val="21"/>
          <w:szCs w:val="21"/>
          <w:color w:val="auto"/>
        </w:rPr>
      </w:pPr>
    </w:p>
    <w:p>
      <w:pPr>
        <w:ind w:firstLine="832"/>
        <w:spacing w:after="0" w:line="248" w:lineRule="auto"/>
        <w:tabs>
          <w:tab w:leader="none" w:pos="1487"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Section 409A and such delay is necessary to avoid the imposition of tax (including interest and penalties) under Section 409A.</w:t>
      </w:r>
    </w:p>
    <w:p>
      <w:pPr>
        <w:spacing w:after="0" w:line="192"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i w:val="1"/>
          <w:iCs w:val="1"/>
          <w:color w:val="auto"/>
        </w:rPr>
        <w:t xml:space="preserve">SECTION 10. Term of Plan. </w:t>
      </w:r>
      <w:r>
        <w:rPr>
          <w:rFonts w:ascii="Arial" w:cs="Arial" w:eastAsia="Arial" w:hAnsi="Arial"/>
          <w:sz w:val="22"/>
          <w:szCs w:val="22"/>
          <w:color w:val="auto"/>
        </w:rPr>
        <w:t>The Plan shall terminate on the day after the date when all Awards 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settled in accordance with the terms of the Plan.</w:t>
      </w:r>
    </w:p>
    <w:p>
      <w:pPr>
        <w:spacing w:after="0" w:line="175" w:lineRule="exact"/>
        <w:rPr>
          <w:sz w:val="20"/>
          <w:szCs w:val="20"/>
          <w:color w:val="auto"/>
        </w:rPr>
      </w:pPr>
    </w:p>
    <w:p>
      <w:pPr>
        <w:ind w:left="660"/>
        <w:spacing w:after="0"/>
        <w:tabs>
          <w:tab w:leader="none" w:pos="3180" w:val="left"/>
        </w:tabs>
        <w:rPr>
          <w:sz w:val="20"/>
          <w:szCs w:val="20"/>
          <w:color w:val="auto"/>
        </w:rPr>
      </w:pPr>
      <w:r>
        <w:rPr>
          <w:rFonts w:ascii="Arial" w:cs="Arial" w:eastAsia="Arial" w:hAnsi="Arial"/>
          <w:sz w:val="22"/>
          <w:szCs w:val="22"/>
          <w:i w:val="1"/>
          <w:iCs w:val="1"/>
          <w:color w:val="auto"/>
        </w:rPr>
        <w:t>SECTION 11.</w:t>
      </w:r>
      <w:r>
        <w:rPr>
          <w:sz w:val="20"/>
          <w:szCs w:val="20"/>
          <w:color w:val="auto"/>
        </w:rPr>
        <w:tab/>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As used in the Plan, the following terms shall have the meanings set forth below:</w:t>
      </w:r>
    </w:p>
    <w:p>
      <w:pPr>
        <w:spacing w:after="0" w:line="220" w:lineRule="exact"/>
        <w:rPr>
          <w:sz w:val="20"/>
          <w:szCs w:val="20"/>
          <w:color w:val="auto"/>
        </w:rPr>
      </w:pPr>
    </w:p>
    <w:p>
      <w:pPr>
        <w:ind w:right="300" w:firstLine="832"/>
        <w:spacing w:after="0" w:line="263" w:lineRule="auto"/>
        <w:tabs>
          <w:tab w:leader="none" w:pos="1577" w:val="left"/>
        </w:tabs>
        <w:numPr>
          <w:ilvl w:val="0"/>
          <w:numId w:val="60"/>
        </w:numPr>
        <w:rPr>
          <w:rFonts w:ascii="Arial" w:cs="Arial" w:eastAsia="Arial" w:hAnsi="Arial"/>
          <w:sz w:val="22"/>
          <w:szCs w:val="22"/>
          <w:color w:val="auto"/>
        </w:rPr>
      </w:pPr>
      <w:r>
        <w:rPr>
          <w:rFonts w:ascii="Arial" w:cs="Arial" w:eastAsia="Arial" w:hAnsi="Arial"/>
          <w:sz w:val="22"/>
          <w:szCs w:val="22"/>
          <w:color w:val="auto"/>
        </w:rPr>
        <w:t>“Award” shall mean any Options, Stock Appreciation Rights, Stock Award or award of Restricted Stock Units granted hereunder.</w:t>
      </w:r>
    </w:p>
    <w:p>
      <w:pPr>
        <w:spacing w:after="0" w:line="174" w:lineRule="exact"/>
        <w:rPr>
          <w:rFonts w:ascii="Arial" w:cs="Arial" w:eastAsia="Arial" w:hAnsi="Arial"/>
          <w:sz w:val="22"/>
          <w:szCs w:val="22"/>
          <w:color w:val="auto"/>
        </w:rPr>
      </w:pPr>
    </w:p>
    <w:p>
      <w:pPr>
        <w:ind w:left="1540" w:hanging="708"/>
        <w:spacing w:after="0"/>
        <w:tabs>
          <w:tab w:leader="none" w:pos="15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“Award Agreement” shall mean the written instrument evidencing the terms of an Award hereunder.</w:t>
      </w:r>
    </w:p>
    <w:p>
      <w:pPr>
        <w:spacing w:after="0" w:line="219" w:lineRule="exact"/>
        <w:rPr>
          <w:rFonts w:ascii="Arial" w:cs="Arial" w:eastAsia="Arial" w:hAnsi="Arial"/>
          <w:sz w:val="22"/>
          <w:szCs w:val="22"/>
          <w:color w:val="auto"/>
        </w:rPr>
      </w:pPr>
    </w:p>
    <w:p>
      <w:pPr>
        <w:ind w:left="1540" w:hanging="708"/>
        <w:spacing w:after="0"/>
        <w:tabs>
          <w:tab w:leader="none" w:pos="15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19" w:lineRule="exact"/>
        <w:rPr>
          <w:rFonts w:ascii="Arial" w:cs="Arial" w:eastAsia="Arial" w:hAnsi="Arial"/>
          <w:sz w:val="22"/>
          <w:szCs w:val="22"/>
          <w:color w:val="auto"/>
        </w:rPr>
      </w:pPr>
    </w:p>
    <w:p>
      <w:pPr>
        <w:ind w:left="1540" w:hanging="708"/>
        <w:spacing w:after="0"/>
        <w:tabs>
          <w:tab w:leader="none" w:pos="15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“Chief Executive Officer” shall mean the Chief Executive Officer of the Company.</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400"/>
          </w:cols>
          <w:pgMar w:left="240" w:top="375" w:right="259" w:bottom="1440" w:gutter="0" w:footer="0" w:header="0"/>
        </w:sectPr>
      </w:pPr>
    </w:p>
    <w:bookmarkStart w:id="153" w:name="page154"/>
    <w:bookmarkEnd w:id="153"/>
    <w:p>
      <w:pPr>
        <w:ind w:right="60" w:firstLine="832"/>
        <w:spacing w:after="0" w:line="263" w:lineRule="auto"/>
        <w:tabs>
          <w:tab w:leader="none" w:pos="1523"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174" w:lineRule="exact"/>
        <w:rPr>
          <w:rFonts w:ascii="Arial" w:cs="Arial" w:eastAsia="Arial" w:hAnsi="Arial"/>
          <w:sz w:val="22"/>
          <w:szCs w:val="22"/>
          <w:color w:val="auto"/>
        </w:rPr>
      </w:pPr>
    </w:p>
    <w:p>
      <w:pPr>
        <w:ind w:firstLine="832"/>
        <w:spacing w:after="0" w:line="263" w:lineRule="auto"/>
        <w:tabs>
          <w:tab w:leader="none" w:pos="1499"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174" w:lineRule="exact"/>
        <w:rPr>
          <w:rFonts w:ascii="Arial" w:cs="Arial" w:eastAsia="Arial" w:hAnsi="Arial"/>
          <w:sz w:val="22"/>
          <w:szCs w:val="22"/>
          <w:color w:val="auto"/>
        </w:rPr>
      </w:pPr>
    </w:p>
    <w:p>
      <w:pPr>
        <w:ind w:left="1540" w:hanging="708"/>
        <w:spacing w:after="0"/>
        <w:tabs>
          <w:tab w:leader="none" w:pos="15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19" w:lineRule="exact"/>
        <w:rPr>
          <w:rFonts w:ascii="Arial" w:cs="Arial" w:eastAsia="Arial" w:hAnsi="Arial"/>
          <w:sz w:val="22"/>
          <w:szCs w:val="22"/>
          <w:color w:val="auto"/>
        </w:rPr>
      </w:pPr>
    </w:p>
    <w:p>
      <w:pPr>
        <w:ind w:right="440" w:firstLine="832"/>
        <w:spacing w:after="0" w:line="253" w:lineRule="auto"/>
        <w:tabs>
          <w:tab w:leader="none" w:pos="1535" w:val="left"/>
        </w:tabs>
        <w:numPr>
          <w:ilvl w:val="0"/>
          <w:numId w:val="61"/>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185" w:lineRule="exact"/>
        <w:rPr>
          <w:rFonts w:ascii="Arial" w:cs="Arial" w:eastAsia="Arial" w:hAnsi="Arial"/>
          <w:sz w:val="22"/>
          <w:szCs w:val="22"/>
          <w:color w:val="auto"/>
        </w:rPr>
      </w:pPr>
    </w:p>
    <w:p>
      <w:pPr>
        <w:ind w:left="1500" w:hanging="668"/>
        <w:spacing w:after="0"/>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w:t>
      </w:r>
    </w:p>
    <w:p>
      <w:pPr>
        <w:spacing w:after="0" w:line="219" w:lineRule="exact"/>
        <w:rPr>
          <w:rFonts w:ascii="Arial" w:cs="Arial" w:eastAsia="Arial" w:hAnsi="Arial"/>
          <w:sz w:val="22"/>
          <w:szCs w:val="22"/>
          <w:color w:val="auto"/>
        </w:rPr>
      </w:pPr>
    </w:p>
    <w:p>
      <w:pPr>
        <w:ind w:left="1500" w:hanging="668"/>
        <w:spacing w:after="0"/>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“Exchange Act” shall mean the U.S. Securities Exchange Act of 1934.</w:t>
      </w:r>
    </w:p>
    <w:p>
      <w:pPr>
        <w:spacing w:after="0" w:line="219" w:lineRule="exact"/>
        <w:rPr>
          <w:rFonts w:ascii="Arial" w:cs="Arial" w:eastAsia="Arial" w:hAnsi="Arial"/>
          <w:sz w:val="22"/>
          <w:szCs w:val="22"/>
          <w:color w:val="auto"/>
        </w:rPr>
      </w:pPr>
    </w:p>
    <w:p>
      <w:pPr>
        <w:ind w:firstLine="832"/>
        <w:spacing w:after="0" w:line="287" w:lineRule="auto"/>
        <w:tabs>
          <w:tab w:leader="none" w:pos="1535" w:val="left"/>
        </w:tabs>
        <w:numPr>
          <w:ilvl w:val="0"/>
          <w:numId w:val="61"/>
        </w:numPr>
        <w:rPr>
          <w:rFonts w:ascii="Arial" w:cs="Arial" w:eastAsia="Arial" w:hAnsi="Arial"/>
          <w:sz w:val="21"/>
          <w:szCs w:val="21"/>
          <w:color w:val="auto"/>
        </w:rPr>
      </w:pPr>
      <w:r>
        <w:rPr>
          <w:rFonts w:ascii="Arial" w:cs="Arial" w:eastAsia="Arial" w:hAnsi="Arial"/>
          <w:sz w:val="21"/>
          <w:szCs w:val="21"/>
          <w:color w:val="auto"/>
        </w:rPr>
        <w:t>“Executive Officer” shall mean any Participant required to provide periodic statements of beneficial ownership of Company equity securities as an executive officer of the Company under Section 16(a) of the Exchange Act.</w:t>
      </w:r>
    </w:p>
    <w:p>
      <w:pPr>
        <w:spacing w:after="0" w:line="151" w:lineRule="exact"/>
        <w:rPr>
          <w:rFonts w:ascii="Arial" w:cs="Arial" w:eastAsia="Arial" w:hAnsi="Arial"/>
          <w:sz w:val="21"/>
          <w:szCs w:val="21"/>
          <w:color w:val="auto"/>
        </w:rPr>
      </w:pPr>
    </w:p>
    <w:p>
      <w:pPr>
        <w:ind w:right="200" w:firstLine="832"/>
        <w:spacing w:after="0" w:line="261" w:lineRule="auto"/>
        <w:tabs>
          <w:tab w:leader="none" w:pos="1487" w:val="left"/>
        </w:tabs>
        <w:numPr>
          <w:ilvl w:val="0"/>
          <w:numId w:val="61"/>
        </w:numPr>
        <w:rPr>
          <w:rFonts w:ascii="Arial" w:cs="Arial" w:eastAsia="Arial" w:hAnsi="Arial"/>
          <w:sz w:val="21"/>
          <w:szCs w:val="21"/>
          <w:color w:val="auto"/>
        </w:rPr>
      </w:pPr>
      <w:r>
        <w:rPr>
          <w:rFonts w:ascii="Arial" w:cs="Arial" w:eastAsia="Arial" w:hAnsi="Arial"/>
          <w:sz w:val="21"/>
          <w:szCs w:val="21"/>
          <w:color w:val="auto"/>
        </w:rPr>
        <w:t>“Fair Market Value” shall mean the value of a Share, determined as follows: prior to the establishment of when-issued trading of the Shares on a national securities exchange, as determined by the Committee in its discretion; and after the establishment of when-issued trading of the Shares on a national securities exchange, the average of the high and low trading (or when-issued trading) prices for the Shares as reported on such national securities exchange for the applicable date or, if no such prices are reported for that date, the average of the high and low trading (or when-issued trading) prices on the immediately preceding date for which such prices were reported.</w:t>
      </w:r>
    </w:p>
    <w:p>
      <w:pPr>
        <w:spacing w:after="0" w:line="180" w:lineRule="exact"/>
        <w:rPr>
          <w:rFonts w:ascii="Arial" w:cs="Arial" w:eastAsia="Arial" w:hAnsi="Arial"/>
          <w:sz w:val="21"/>
          <w:szCs w:val="21"/>
          <w:color w:val="auto"/>
        </w:rPr>
      </w:pPr>
    </w:p>
    <w:p>
      <w:pPr>
        <w:ind w:left="1660" w:hanging="828"/>
        <w:spacing w:after="0"/>
        <w:tabs>
          <w:tab w:leader="none" w:pos="1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“Grant Date” shall mean the grant date specified in the Award Agreement.</w:t>
      </w:r>
    </w:p>
    <w:p>
      <w:pPr>
        <w:spacing w:after="0" w:line="219" w:lineRule="exact"/>
        <w:rPr>
          <w:rFonts w:ascii="Arial" w:cs="Arial" w:eastAsia="Arial" w:hAnsi="Arial"/>
          <w:sz w:val="22"/>
          <w:szCs w:val="22"/>
          <w:color w:val="auto"/>
        </w:rPr>
      </w:pPr>
    </w:p>
    <w:p>
      <w:pPr>
        <w:ind w:left="1540" w:hanging="708"/>
        <w:spacing w:after="0"/>
        <w:tabs>
          <w:tab w:leader="none" w:pos="15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“Grant Price” shall mean the average of the high and low trading price per Share on the Grant Date.</w:t>
      </w:r>
    </w:p>
    <w:p>
      <w:pPr>
        <w:spacing w:after="0" w:line="219" w:lineRule="exact"/>
        <w:rPr>
          <w:rFonts w:ascii="Arial" w:cs="Arial" w:eastAsia="Arial" w:hAnsi="Arial"/>
          <w:sz w:val="22"/>
          <w:szCs w:val="22"/>
          <w:color w:val="auto"/>
        </w:rPr>
      </w:pPr>
    </w:p>
    <w:p>
      <w:pPr>
        <w:ind w:right="160" w:firstLine="832"/>
        <w:spacing w:after="0" w:line="263" w:lineRule="auto"/>
        <w:tabs>
          <w:tab w:leader="none" w:pos="1535"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“Incentive Stock Options” or “ISO” shall mean an Option granted hereunder that is intended to comply with the provisions of Section 422 of the Code.</w:t>
      </w:r>
    </w:p>
    <w:p>
      <w:pPr>
        <w:spacing w:after="0" w:line="174" w:lineRule="exact"/>
        <w:rPr>
          <w:rFonts w:ascii="Arial" w:cs="Arial" w:eastAsia="Arial" w:hAnsi="Arial"/>
          <w:sz w:val="22"/>
          <w:szCs w:val="22"/>
          <w:color w:val="auto"/>
        </w:rPr>
      </w:pPr>
    </w:p>
    <w:p>
      <w:pPr>
        <w:ind w:left="1540" w:hanging="708"/>
        <w:spacing w:after="0"/>
        <w:tabs>
          <w:tab w:leader="none" w:pos="15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“Nonqualified Option” shall mean an Option that is not an ISO.</w:t>
      </w:r>
    </w:p>
    <w:p>
      <w:pPr>
        <w:spacing w:after="0" w:line="219" w:lineRule="exact"/>
        <w:rPr>
          <w:rFonts w:ascii="Arial" w:cs="Arial" w:eastAsia="Arial" w:hAnsi="Arial"/>
          <w:sz w:val="22"/>
          <w:szCs w:val="22"/>
          <w:color w:val="auto"/>
        </w:rPr>
      </w:pPr>
    </w:p>
    <w:p>
      <w:pPr>
        <w:ind w:right="20" w:firstLine="832"/>
        <w:spacing w:after="0" w:line="253" w:lineRule="auto"/>
        <w:tabs>
          <w:tab w:leader="none" w:pos="1535" w:val="left"/>
        </w:tabs>
        <w:numPr>
          <w:ilvl w:val="0"/>
          <w:numId w:val="61"/>
        </w:numPr>
        <w:rPr>
          <w:rFonts w:ascii="Arial" w:cs="Arial" w:eastAsia="Arial" w:hAnsi="Arial"/>
          <w:sz w:val="22"/>
          <w:szCs w:val="22"/>
          <w:color w:val="auto"/>
        </w:rPr>
      </w:pPr>
      <w:r>
        <w:rPr>
          <w:rFonts w:ascii="Arial" w:cs="Arial" w:eastAsia="Arial" w:hAnsi="Arial"/>
          <w:sz w:val="22"/>
          <w:szCs w:val="22"/>
          <w:color w:val="auto"/>
        </w:rPr>
        <w:t>“Options” or “Stock Options” shall mean any right granted to a Participant under the Plan pursuant to and described in Section 7 allowing such Participant to purchase Shares at such price or prices and during such period or periods, as the Committee shall determine and shall include ISOs and Nonqualified Options.</w:t>
      </w:r>
    </w:p>
    <w:p>
      <w:pPr>
        <w:spacing w:after="0" w:line="185" w:lineRule="exact"/>
        <w:rPr>
          <w:rFonts w:ascii="Arial" w:cs="Arial" w:eastAsia="Arial" w:hAnsi="Arial"/>
          <w:sz w:val="22"/>
          <w:szCs w:val="22"/>
          <w:color w:val="auto"/>
        </w:rPr>
      </w:pPr>
    </w:p>
    <w:p>
      <w:pPr>
        <w:ind w:left="1500" w:hanging="668"/>
        <w:spacing w:after="0"/>
        <w:tabs>
          <w:tab w:leader="none" w:pos="15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“Participant” shall mean an Employee who is selected by the Committee to receive an Award under the Plan</w:t>
      </w:r>
    </w:p>
    <w:p>
      <w:pPr>
        <w:spacing w:after="0" w:line="254" w:lineRule="exact"/>
        <w:rPr>
          <w:rFonts w:ascii="Arial" w:cs="Arial" w:eastAsia="Arial" w:hAnsi="Arial"/>
          <w:sz w:val="19"/>
          <w:szCs w:val="19"/>
          <w:color w:val="auto"/>
        </w:rPr>
      </w:pPr>
    </w:p>
    <w:p>
      <w:pPr>
        <w:ind w:left="1520" w:hanging="688"/>
        <w:spacing w:after="0"/>
        <w:tabs>
          <w:tab w:leader="none" w:pos="15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“Plan” shall mean this General Motors Company 2009 Long-Term Incentive Plan, as amended from time to time.</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380"/>
          </w:cols>
          <w:pgMar w:left="240" w:top="375" w:right="279" w:bottom="1440" w:gutter="0" w:footer="0" w:header="0"/>
        </w:sectPr>
      </w:pPr>
    </w:p>
    <w:bookmarkStart w:id="154" w:name="page155"/>
    <w:bookmarkEnd w:id="154"/>
    <w:p>
      <w:pPr>
        <w:ind w:right="20" w:firstLine="832"/>
        <w:spacing w:after="0" w:line="258" w:lineRule="auto"/>
        <w:tabs>
          <w:tab w:leader="none" w:pos="1487" w:val="left"/>
        </w:tabs>
        <w:numPr>
          <w:ilvl w:val="0"/>
          <w:numId w:val="62"/>
        </w:numPr>
        <w:rPr>
          <w:rFonts w:ascii="Arial" w:cs="Arial" w:eastAsia="Arial" w:hAnsi="Arial"/>
          <w:sz w:val="21"/>
          <w:szCs w:val="21"/>
          <w:color w:val="auto"/>
        </w:rPr>
      </w:pPr>
      <w:r>
        <w:rPr>
          <w:rFonts w:ascii="Arial" w:cs="Arial" w:eastAsia="Arial" w:hAnsi="Arial"/>
          <w:sz w:val="21"/>
          <w:szCs w:val="21"/>
          <w:color w:val="auto"/>
        </w:rPr>
        <w:t>“Performance Conditions” shall mean measures of the operational performance of the Company or other performance criteria selected by the Committee, the degree of achievement of which will determine the portion of an Award that is earned by the Participant as specified in the Award Agreement. In creating these measures, the Committee may establish the specific goals based upon or relating to one or more of the following business criteria: asset turnover, cash flow, contribution margin, cost objectives, cost reduction, earnings before interest and taxes (EBIT), earnings before interest, taxes, depreciation and amortization (EBITDA), earnings per share, economic value added, free cash flow, increase in customer base, initial public offering, inventory turnover, liquidity, market share, net income, net income margin, operating cash flow, operating profit margin, pre-tax income, productivity, profit margin, quality, return on assets, return on net assets, return on capital, return on equity, revenue, revenue growth, and/or warranty. Each business criterion may be expressed in absolute terms or relative to the performance of other companies or to an index.</w:t>
      </w:r>
    </w:p>
    <w:p>
      <w:pPr>
        <w:spacing w:after="0" w:line="186" w:lineRule="exact"/>
        <w:rPr>
          <w:rFonts w:ascii="Arial" w:cs="Arial" w:eastAsia="Arial" w:hAnsi="Arial"/>
          <w:sz w:val="21"/>
          <w:szCs w:val="21"/>
          <w:color w:val="auto"/>
        </w:rPr>
      </w:pPr>
    </w:p>
    <w:p>
      <w:pPr>
        <w:ind w:right="200" w:firstLine="832"/>
        <w:spacing w:after="0" w:line="263" w:lineRule="auto"/>
        <w:tabs>
          <w:tab w:leader="none" w:pos="1535"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“Proration Date” shall be a date established by the Committee at the time of grant of an Award and specified in the Award Agreement. If no such date is established, the Proration Date shall be the Grant Date.</w:t>
      </w:r>
    </w:p>
    <w:p>
      <w:pPr>
        <w:spacing w:after="0" w:line="174" w:lineRule="exact"/>
        <w:rPr>
          <w:rFonts w:ascii="Arial" w:cs="Arial" w:eastAsia="Arial" w:hAnsi="Arial"/>
          <w:sz w:val="22"/>
          <w:szCs w:val="22"/>
          <w:color w:val="auto"/>
        </w:rPr>
      </w:pPr>
    </w:p>
    <w:p>
      <w:pPr>
        <w:ind w:left="1540" w:hanging="708"/>
        <w:spacing w:after="0"/>
        <w:tabs>
          <w:tab w:leader="none" w:pos="15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“Restricted Stock Unit” or “RSU” shall mean any unit granted pursuant to and described in Section 6.</w:t>
      </w:r>
    </w:p>
    <w:p>
      <w:pPr>
        <w:spacing w:after="0" w:line="219" w:lineRule="exact"/>
        <w:rPr>
          <w:rFonts w:ascii="Arial" w:cs="Arial" w:eastAsia="Arial" w:hAnsi="Arial"/>
          <w:sz w:val="22"/>
          <w:szCs w:val="22"/>
          <w:color w:val="auto"/>
        </w:rPr>
      </w:pPr>
    </w:p>
    <w:p>
      <w:pPr>
        <w:ind w:right="240" w:firstLine="832"/>
        <w:spacing w:after="0" w:line="263" w:lineRule="auto"/>
        <w:tabs>
          <w:tab w:leader="none" w:pos="1583"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“Settlement Date” shall mean the date on which the Award becomes nonforfeitable and payable in accordance with the provisions of the Plan and the Award Agreement.</w:t>
      </w:r>
    </w:p>
    <w:p>
      <w:pPr>
        <w:spacing w:after="0" w:line="174" w:lineRule="exact"/>
        <w:rPr>
          <w:rFonts w:ascii="Arial" w:cs="Arial" w:eastAsia="Arial" w:hAnsi="Arial"/>
          <w:sz w:val="22"/>
          <w:szCs w:val="22"/>
          <w:color w:val="auto"/>
        </w:rPr>
      </w:pPr>
    </w:p>
    <w:p>
      <w:pPr>
        <w:ind w:left="1540" w:hanging="708"/>
        <w:spacing w:after="0"/>
        <w:tabs>
          <w:tab w:leader="none" w:pos="15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“Shares” shall mean shares of the common stock of the Company, $0.01 par value.</w:t>
      </w:r>
    </w:p>
    <w:p>
      <w:pPr>
        <w:spacing w:after="0" w:line="219" w:lineRule="exact"/>
        <w:rPr>
          <w:rFonts w:ascii="Arial" w:cs="Arial" w:eastAsia="Arial" w:hAnsi="Arial"/>
          <w:sz w:val="22"/>
          <w:szCs w:val="22"/>
          <w:color w:val="auto"/>
        </w:rPr>
      </w:pPr>
    </w:p>
    <w:p>
      <w:pPr>
        <w:ind w:right="60" w:firstLine="832"/>
        <w:spacing w:after="0" w:line="253" w:lineRule="auto"/>
        <w:tabs>
          <w:tab w:leader="none" w:pos="1535" w:val="left"/>
        </w:tabs>
        <w:numPr>
          <w:ilvl w:val="0"/>
          <w:numId w:val="62"/>
        </w:numPr>
        <w:rPr>
          <w:rFonts w:ascii="Arial" w:cs="Arial" w:eastAsia="Arial" w:hAnsi="Arial"/>
          <w:sz w:val="22"/>
          <w:szCs w:val="22"/>
          <w:color w:val="auto"/>
        </w:rPr>
      </w:pPr>
      <w:r>
        <w:rPr>
          <w:rFonts w:ascii="Arial" w:cs="Arial" w:eastAsia="Arial" w:hAnsi="Arial"/>
          <w:sz w:val="22"/>
          <w:szCs w:val="22"/>
          <w:color w:val="auto"/>
        </w:rPr>
        <w:t>“Special Master” shall mean the Office of the Special Master for TARP Executive Compensation, established by the United States Secretary of the Treasury under the American Recovery and Reinvestment Act of 2009 or any other office or agency which succeeds to the powers thereof.</w:t>
      </w:r>
    </w:p>
    <w:p>
      <w:pPr>
        <w:spacing w:after="0" w:line="185" w:lineRule="exact"/>
        <w:rPr>
          <w:rFonts w:ascii="Arial" w:cs="Arial" w:eastAsia="Arial" w:hAnsi="Arial"/>
          <w:sz w:val="22"/>
          <w:szCs w:val="22"/>
          <w:color w:val="auto"/>
        </w:rPr>
      </w:pPr>
    </w:p>
    <w:p>
      <w:pPr>
        <w:ind w:right="240" w:firstLine="832"/>
        <w:spacing w:after="0" w:line="253" w:lineRule="auto"/>
        <w:tabs>
          <w:tab w:leader="none" w:pos="1523" w:val="left"/>
        </w:tabs>
        <w:numPr>
          <w:ilvl w:val="0"/>
          <w:numId w:val="62"/>
        </w:numPr>
        <w:rPr>
          <w:rFonts w:ascii="Arial" w:cs="Arial" w:eastAsia="Arial" w:hAnsi="Arial"/>
          <w:sz w:val="22"/>
          <w:szCs w:val="22"/>
          <w:color w:val="auto"/>
        </w:rPr>
      </w:pPr>
      <w:r>
        <w:rPr>
          <w:rFonts w:ascii="Arial" w:cs="Arial" w:eastAsia="Arial" w:hAnsi="Arial"/>
          <w:sz w:val="22"/>
          <w:szCs w:val="22"/>
          <w:color w:val="auto"/>
        </w:rPr>
        <w:t>“Stock Appreciation Right” shall mean an Award denominated in Shares that entitles the Participant within the exercise period to receive a payment equal to the increase in value between the Grant Price and the fair market value of the underlying Shares at date of exercise.</w:t>
      </w:r>
    </w:p>
    <w:p>
      <w:pPr>
        <w:spacing w:after="0" w:line="186" w:lineRule="exact"/>
        <w:rPr>
          <w:sz w:val="20"/>
          <w:szCs w:val="20"/>
          <w:color w:val="auto"/>
        </w:rPr>
      </w:pPr>
    </w:p>
    <w:p>
      <w:pPr>
        <w:ind w:right="200" w:firstLine="832"/>
        <w:spacing w:after="0" w:line="263" w:lineRule="auto"/>
        <w:tabs>
          <w:tab w:leader="none" w:pos="1619" w:val="left"/>
        </w:tabs>
        <w:numPr>
          <w:ilvl w:val="0"/>
          <w:numId w:val="63"/>
        </w:numPr>
        <w:rPr>
          <w:rFonts w:ascii="Arial" w:cs="Arial" w:eastAsia="Arial" w:hAnsi="Arial"/>
          <w:sz w:val="22"/>
          <w:szCs w:val="22"/>
          <w:color w:val="auto"/>
        </w:rPr>
      </w:pPr>
      <w:r>
        <w:rPr>
          <w:rFonts w:ascii="Arial" w:cs="Arial" w:eastAsia="Arial" w:hAnsi="Arial"/>
          <w:sz w:val="22"/>
          <w:szCs w:val="22"/>
          <w:color w:val="auto"/>
        </w:rPr>
        <w:t>“Stock Award” shall mean an Award of shares hereunder which may be subject to such restrictions on transfer and/or forfeitability conditions as are specified in the applicable Award Agreement.</w:t>
      </w:r>
    </w:p>
    <w:p>
      <w:pPr>
        <w:spacing w:after="0" w:line="175" w:lineRule="exact"/>
        <w:rPr>
          <w:sz w:val="20"/>
          <w:szCs w:val="20"/>
          <w:color w:val="auto"/>
        </w:rPr>
      </w:pPr>
    </w:p>
    <w:p>
      <w:pPr>
        <w:ind w:firstLine="818"/>
        <w:spacing w:after="0" w:line="250" w:lineRule="auto"/>
        <w:tabs>
          <w:tab w:leader="none" w:pos="1224"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“Subsidiary” shall mean (i) a company of which capital stock having ordinary voting power to elect a majority of the board of directors of such company is owned, directly or indirectly, by the Company or (ii) any limited liability company or unincorporated entity in respect of which the Company can exercise, directly or indirectly, comparable control to that described in clause (i).</w:t>
      </w:r>
    </w:p>
    <w:p>
      <w:pPr>
        <w:spacing w:after="0" w:line="188" w:lineRule="exact"/>
        <w:rPr>
          <w:rFonts w:ascii="Arial" w:cs="Arial" w:eastAsia="Arial" w:hAnsi="Arial"/>
          <w:sz w:val="22"/>
          <w:szCs w:val="22"/>
          <w:color w:val="auto"/>
        </w:rPr>
      </w:pPr>
    </w:p>
    <w:p>
      <w:pPr>
        <w:ind w:right="280" w:firstLine="818"/>
        <w:spacing w:after="0" w:line="263" w:lineRule="auto"/>
        <w:tabs>
          <w:tab w:leader="none" w:pos="12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“Substitute Award” shall mean an Award granted hereunder in assumption or replacement of an award issued by a company acquired by the Company or with which the Company or its Subsidiary combines.</w:t>
      </w:r>
    </w:p>
    <w:p>
      <w:pPr>
        <w:spacing w:after="0" w:line="174" w:lineRule="exact"/>
        <w:rPr>
          <w:rFonts w:ascii="Arial" w:cs="Arial" w:eastAsia="Arial" w:hAnsi="Arial"/>
          <w:sz w:val="22"/>
          <w:szCs w:val="22"/>
          <w:color w:val="auto"/>
        </w:rPr>
      </w:pPr>
    </w:p>
    <w:p>
      <w:pPr>
        <w:jc w:val="both"/>
        <w:ind w:right="400" w:firstLine="818"/>
        <w:spacing w:after="0" w:line="253" w:lineRule="auto"/>
        <w:tabs>
          <w:tab w:leader="none" w:pos="122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“TARP Award” shall mean an Award hereunder that is at any time required to comply with the requirements for “long-term restricted stock” set forth in Treasury Regulations Section 31 CFR 30.1 (Q-1) and as interpreted and applied by the Special Master.</w:t>
      </w:r>
    </w:p>
    <w:p>
      <w:pPr>
        <w:spacing w:after="0" w:line="185" w:lineRule="exact"/>
        <w:rPr>
          <w:rFonts w:ascii="Arial" w:cs="Arial" w:eastAsia="Arial" w:hAnsi="Arial"/>
          <w:sz w:val="22"/>
          <w:szCs w:val="22"/>
          <w:color w:val="auto"/>
        </w:rPr>
      </w:pPr>
    </w:p>
    <w:p>
      <w:pPr>
        <w:ind w:left="1200" w:hanging="382"/>
        <w:spacing w:after="0"/>
        <w:tabs>
          <w:tab w:leader="none" w:pos="12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“Unit” shall mean a Restricted Stock Unit or RSU.</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340"/>
          </w:cols>
          <w:pgMar w:left="240" w:top="375" w:right="319" w:bottom="1440" w:gutter="0" w:footer="0" w:header="0"/>
        </w:sectPr>
      </w:pPr>
    </w:p>
    <w:bookmarkStart w:id="155" w:name="page156"/>
    <w:bookmarkEnd w:id="155"/>
    <w:p>
      <w:pPr>
        <w:ind w:firstLine="818"/>
        <w:spacing w:after="0" w:line="263" w:lineRule="auto"/>
        <w:tabs>
          <w:tab w:leader="none" w:pos="11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“Senior Vice President, Global Human Resources” shall mean the Senior Vice President, Global Human Resources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Amendments\2009 Long-Term Incentive Plan-as amended 1-13-14.doc</w:t>
      </w:r>
    </w:p>
    <w:p>
      <w:pPr>
        <w:sectPr>
          <w:pgSz w:w="11900" w:h="16838" w:orient="portrait"/>
          <w:cols w:equalWidth="0" w:num="1">
            <w:col w:w="11340"/>
          </w:cols>
          <w:pgMar w:left="240" w:top="375"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SALARY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As amended January 13, 2014</w:t>
      </w:r>
    </w:p>
    <w:p>
      <w:pPr>
        <w:spacing w:after="0" w:line="200" w:lineRule="exact"/>
        <w:rPr>
          <w:sz w:val="20"/>
          <w:szCs w:val="20"/>
          <w:color w:val="auto"/>
        </w:rPr>
      </w:pPr>
    </w:p>
    <w:p>
      <w:pPr>
        <w:spacing w:after="0" w:line="258" w:lineRule="exact"/>
        <w:rPr>
          <w:sz w:val="20"/>
          <w:szCs w:val="20"/>
          <w:color w:val="auto"/>
        </w:rPr>
      </w:pPr>
    </w:p>
    <w:p>
      <w:pPr>
        <w:ind w:right="100" w:firstLine="810"/>
        <w:spacing w:after="0" w:line="31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Purpose.</w:t>
      </w:r>
      <w:r>
        <w:rPr>
          <w:rFonts w:ascii="Arial" w:cs="Arial" w:eastAsia="Arial" w:hAnsi="Arial"/>
          <w:sz w:val="19"/>
          <w:szCs w:val="19"/>
          <w:color w:val="auto"/>
        </w:rPr>
        <w:t xml:space="preserve"> The purpose of the General Motors Company Salary Stock Plan is to compensate participating Employees in a manner that is consistent with the Company’s obligations under the ARRA and under the terms of the Treasury Agreement. Capitalized terms used in the Plan shall have the definitions set forth in Section 9 of the Plan.</w:t>
      </w:r>
    </w:p>
    <w:p>
      <w:pPr>
        <w:spacing w:after="0" w:line="134" w:lineRule="exact"/>
        <w:rPr>
          <w:sz w:val="20"/>
          <w:szCs w:val="20"/>
          <w:color w:val="auto"/>
        </w:rPr>
      </w:pPr>
    </w:p>
    <w:p>
      <w:pPr>
        <w:ind w:right="20" w:firstLine="810"/>
        <w:spacing w:after="0" w:line="25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i w:val="1"/>
          <w:iCs w:val="1"/>
          <w:color w:val="auto"/>
        </w:rPr>
        <w:t>Administration.</w:t>
      </w:r>
      <w:r>
        <w:rPr>
          <w:rFonts w:ascii="Arial" w:cs="Arial" w:eastAsia="Arial" w:hAnsi="Arial"/>
          <w:sz w:val="21"/>
          <w:szCs w:val="21"/>
          <w:color w:val="auto"/>
        </w:rPr>
        <w:t xml:space="preserve"> The Plan shall be administered by the Committee. The Committee shall have full discretionary power and authority, subject to such orders or resolutions not inconsistent with the provisions of the Plan as may from time to time be adopted by the Board, to (i) select the Employees to whom Awards may be granted hereunder; (ii) determine the amount of base salary and other compensation to be delivered in the form of an Award hereunder; (iii) determine whether, to what extent and under what circumstances Awards may be settled in cash, Shares or other property, and (iv) interpret and administer the Plan, and establish such rules and regulations and appoint such agents as it shall deem appropriate for the proper administration of the Plan. The Committee may delegate to an appropriate Executive Officer of the Company responsibility for determining, within the limits established by the Committee, individual Awards for Employees who are not Executive Committee members or Executive Officers of the Company.</w:t>
      </w:r>
    </w:p>
    <w:p>
      <w:pPr>
        <w:spacing w:after="0" w:line="180"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i w:val="1"/>
          <w:iCs w:val="1"/>
          <w:color w:val="auto"/>
        </w:rPr>
        <w:t>Shares Subject to the Plan.</w:t>
      </w:r>
    </w:p>
    <w:p>
      <w:pPr>
        <w:spacing w:after="0" w:line="220" w:lineRule="exact"/>
        <w:rPr>
          <w:sz w:val="20"/>
          <w:szCs w:val="20"/>
          <w:color w:val="auto"/>
        </w:rPr>
      </w:pPr>
    </w:p>
    <w:p>
      <w:pPr>
        <w:ind w:right="180" w:firstLine="818"/>
        <w:spacing w:after="0" w:line="250" w:lineRule="auto"/>
        <w:tabs>
          <w:tab w:leader="none" w:pos="1536"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the provisions of Section 3(c) below, the aggregate number of Shares with respect to which Awards may be granted under this Plan shall not exceed 75,000,000 Shares minus the number of Shares granted under the Short Term Incentive Plan and the Long-Term Incentive Plan. Awards granted under the Plan that are settled in cash will not count against the approved Share reserve.</w:t>
      </w:r>
    </w:p>
    <w:p>
      <w:pPr>
        <w:spacing w:after="0" w:line="188" w:lineRule="exact"/>
        <w:rPr>
          <w:rFonts w:ascii="Arial" w:cs="Arial" w:eastAsia="Arial" w:hAnsi="Arial"/>
          <w:sz w:val="22"/>
          <w:szCs w:val="22"/>
          <w:color w:val="auto"/>
        </w:rPr>
      </w:pPr>
    </w:p>
    <w:p>
      <w:pPr>
        <w:ind w:right="580" w:firstLine="818"/>
        <w:spacing w:after="0" w:line="263" w:lineRule="auto"/>
        <w:tabs>
          <w:tab w:leader="none" w:pos="1549"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Shares delivered in settlement of Awards hereunder may consist, in whole or in part, of authorized and unissued Shares, treasury Shares or Shares purchased in the open market or otherwise.</w:t>
      </w:r>
    </w:p>
    <w:p>
      <w:pPr>
        <w:spacing w:after="0" w:line="174" w:lineRule="exact"/>
        <w:rPr>
          <w:rFonts w:ascii="Arial" w:cs="Arial" w:eastAsia="Arial" w:hAnsi="Arial"/>
          <w:sz w:val="22"/>
          <w:szCs w:val="22"/>
          <w:color w:val="auto"/>
        </w:rPr>
      </w:pPr>
    </w:p>
    <w:p>
      <w:pPr>
        <w:ind w:firstLine="818"/>
        <w:spacing w:after="0" w:line="294" w:lineRule="auto"/>
        <w:tabs>
          <w:tab w:leader="none" w:pos="1536"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this Plan and the number of Shares subject to Awards granted under this Plan (provided the number of Shares subject to any Award shall always be a whole number), as may be determined to be appropriate by the Committee in order to prevent unintended enhancement or diminution of the benefits or potential benefits intended to be conferred on Participants pursuant to Awards granted hereunder.</w:t>
      </w:r>
    </w:p>
    <w:p>
      <w:pPr>
        <w:spacing w:after="0" w:line="149" w:lineRule="exact"/>
        <w:rPr>
          <w:rFonts w:ascii="Arial" w:cs="Arial" w:eastAsia="Arial" w:hAnsi="Arial"/>
          <w:sz w:val="19"/>
          <w:szCs w:val="19"/>
          <w:color w:val="auto"/>
        </w:rPr>
      </w:pPr>
    </w:p>
    <w:p>
      <w:pPr>
        <w:ind w:right="300" w:firstLine="818"/>
        <w:spacing w:after="0" w:line="287" w:lineRule="auto"/>
        <w:tabs>
          <w:tab w:leader="none" w:pos="1549" w:val="left"/>
        </w:tabs>
        <w:numPr>
          <w:ilvl w:val="0"/>
          <w:numId w:val="66"/>
        </w:numPr>
        <w:rPr>
          <w:rFonts w:ascii="Arial" w:cs="Arial" w:eastAsia="Arial" w:hAnsi="Arial"/>
          <w:sz w:val="21"/>
          <w:szCs w:val="21"/>
          <w:color w:val="auto"/>
        </w:rPr>
      </w:pPr>
      <w:r>
        <w:rPr>
          <w:rFonts w:ascii="Arial" w:cs="Arial" w:eastAsia="Arial" w:hAnsi="Arial"/>
          <w:sz w:val="21"/>
          <w:szCs w:val="21"/>
          <w:color w:val="auto"/>
        </w:rPr>
        <w:t>For avoidance of doubt, Shares which are tendered or withheld to pay tax withholding obligations arising from the grant, or settlement of an Award will not again become available for grant under the terms of this Plan.</w:t>
      </w:r>
    </w:p>
    <w:p>
      <w:pPr>
        <w:spacing w:after="0" w:line="152"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 xml:space="preserve">Eligibility. </w:t>
      </w:r>
      <w:r>
        <w:rPr>
          <w:rFonts w:ascii="Arial" w:cs="Arial" w:eastAsia="Arial" w:hAnsi="Arial"/>
          <w:sz w:val="19"/>
          <w:szCs w:val="19"/>
          <w:color w:val="auto"/>
        </w:rPr>
        <w:t>Any Employee shall be eligible to be selected as a Participant.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Amendments\Salary Stock Plan as Amended 1-13-14.doc</w:t>
      </w:r>
    </w:p>
    <w:p>
      <w:pPr>
        <w:sectPr>
          <w:pgSz w:w="11900" w:h="16838" w:orient="portrait"/>
          <w:cols w:equalWidth="0" w:num="1">
            <w:col w:w="11420"/>
          </w:cols>
          <w:pgMar w:left="240" w:top="337" w:right="239" w:bottom="1440" w:gutter="0" w:footer="0" w:header="0"/>
        </w:sectPr>
      </w:pPr>
    </w:p>
    <w:bookmarkStart w:id="157" w:name="page158"/>
    <w:bookmarkEnd w:id="157"/>
    <w:p>
      <w:pPr>
        <w:ind w:left="820"/>
        <w:spacing w:after="0"/>
        <w:tabs>
          <w:tab w:leader="none" w:pos="28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i w:val="1"/>
          <w:iCs w:val="1"/>
          <w:color w:val="auto"/>
        </w:rPr>
        <w:t>Restricted Stock Units.</w:t>
      </w:r>
    </w:p>
    <w:p>
      <w:pPr>
        <w:spacing w:after="0" w:line="220" w:lineRule="exact"/>
        <w:rPr>
          <w:sz w:val="20"/>
          <w:szCs w:val="20"/>
          <w:color w:val="auto"/>
        </w:rPr>
      </w:pPr>
    </w:p>
    <w:p>
      <w:pPr>
        <w:jc w:val="both"/>
        <w:ind w:right="100" w:firstLine="818"/>
        <w:spacing w:after="0" w:line="253" w:lineRule="auto"/>
        <w:tabs>
          <w:tab w:leader="none" w:pos="153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Salary Stock</w:t>
      </w:r>
      <w:r>
        <w:rPr>
          <w:rFonts w:ascii="Arial" w:cs="Arial" w:eastAsia="Arial" w:hAnsi="Arial"/>
          <w:sz w:val="22"/>
          <w:szCs w:val="22"/>
          <w:color w:val="auto"/>
        </w:rPr>
        <w:t>. The Committee has the power to grant Restricted Stock Unit Awards to Participants on each Issue</w:t>
      </w:r>
      <w:r>
        <w:rPr>
          <w:rFonts w:ascii="Arial" w:cs="Arial" w:eastAsia="Arial" w:hAnsi="Arial"/>
          <w:sz w:val="22"/>
          <w:szCs w:val="22"/>
          <w:i w:val="1"/>
          <w:iCs w:val="1"/>
          <w:color w:val="auto"/>
        </w:rPr>
        <w:t xml:space="preserve"> </w:t>
      </w:r>
      <w:r>
        <w:rPr>
          <w:rFonts w:ascii="Arial" w:cs="Arial" w:eastAsia="Arial" w:hAnsi="Arial"/>
          <w:sz w:val="22"/>
          <w:szCs w:val="22"/>
          <w:color w:val="auto"/>
        </w:rPr>
        <w:t>Date. Units are valued by reference to a designated number of Shares. An RSU Award shall be subject to the terms and conditions set forth in this Plan.</w:t>
      </w:r>
    </w:p>
    <w:p>
      <w:pPr>
        <w:spacing w:after="0" w:line="185" w:lineRule="exact"/>
        <w:rPr>
          <w:rFonts w:ascii="Arial" w:cs="Arial" w:eastAsia="Arial" w:hAnsi="Arial"/>
          <w:sz w:val="22"/>
          <w:szCs w:val="22"/>
          <w:color w:val="auto"/>
        </w:rPr>
      </w:pPr>
    </w:p>
    <w:p>
      <w:pPr>
        <w:ind w:right="80" w:firstLine="818"/>
        <w:spacing w:after="0" w:line="263" w:lineRule="auto"/>
        <w:tabs>
          <w:tab w:leader="none" w:pos="1549"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Vesting</w:t>
      </w:r>
      <w:r>
        <w:rPr>
          <w:rFonts w:ascii="Arial" w:cs="Arial" w:eastAsia="Arial" w:hAnsi="Arial"/>
          <w:sz w:val="22"/>
          <w:szCs w:val="22"/>
          <w:color w:val="auto"/>
        </w:rPr>
        <w:t>. All Awards granted hereunder shall be vested and nonforfeitable upon grant thereof except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for in this Plan.</w:t>
      </w:r>
    </w:p>
    <w:p>
      <w:pPr>
        <w:spacing w:after="0" w:line="174" w:lineRule="exact"/>
        <w:rPr>
          <w:rFonts w:ascii="Arial" w:cs="Arial" w:eastAsia="Arial" w:hAnsi="Arial"/>
          <w:sz w:val="22"/>
          <w:szCs w:val="22"/>
          <w:color w:val="auto"/>
        </w:rPr>
      </w:pPr>
    </w:p>
    <w:p>
      <w:pPr>
        <w:ind w:right="640" w:firstLine="818"/>
        <w:spacing w:after="0" w:line="263" w:lineRule="auto"/>
        <w:tabs>
          <w:tab w:leader="none" w:pos="153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Form of Settlement</w:t>
      </w:r>
      <w:r>
        <w:rPr>
          <w:rFonts w:ascii="Arial" w:cs="Arial" w:eastAsia="Arial" w:hAnsi="Arial"/>
          <w:sz w:val="22"/>
          <w:szCs w:val="22"/>
          <w:color w:val="auto"/>
        </w:rPr>
        <w:t>. Each RSU shall be settled by delivery of the Fair Market Value of one Share as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anniversary date of grant in cash or one share of stock.</w:t>
      </w:r>
    </w:p>
    <w:p>
      <w:pPr>
        <w:spacing w:after="0" w:line="174" w:lineRule="exact"/>
        <w:rPr>
          <w:rFonts w:ascii="Arial" w:cs="Arial" w:eastAsia="Arial" w:hAnsi="Arial"/>
          <w:sz w:val="22"/>
          <w:szCs w:val="22"/>
          <w:color w:val="auto"/>
        </w:rPr>
      </w:pPr>
    </w:p>
    <w:p>
      <w:pPr>
        <w:ind w:right="160" w:firstLine="818"/>
        <w:spacing w:after="0" w:line="343" w:lineRule="auto"/>
        <w:tabs>
          <w:tab w:leader="none" w:pos="1549"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Settlement</w:t>
      </w:r>
      <w:r>
        <w:rPr>
          <w:rFonts w:ascii="Arial" w:cs="Arial" w:eastAsia="Arial" w:hAnsi="Arial"/>
          <w:sz w:val="19"/>
          <w:szCs w:val="19"/>
          <w:color w:val="auto"/>
        </w:rPr>
        <w:t>. (i) Except as set forth in Section 5(d)(iii), one third of the RSUs granted on any Issue Date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settled on each of the first, second and third anniversaries of the Issue Date thereof, if permitted under Section 409A of the Code.</w:t>
      </w:r>
    </w:p>
    <w:p>
      <w:pPr>
        <w:spacing w:after="0" w:line="104" w:lineRule="exact"/>
        <w:rPr>
          <w:rFonts w:ascii="Arial" w:cs="Arial" w:eastAsia="Arial" w:hAnsi="Arial"/>
          <w:sz w:val="19"/>
          <w:szCs w:val="19"/>
          <w:color w:val="auto"/>
        </w:rPr>
      </w:pPr>
    </w:p>
    <w:p>
      <w:pPr>
        <w:ind w:left="660" w:right="500" w:firstLine="969"/>
        <w:spacing w:after="0" w:line="312" w:lineRule="auto"/>
        <w:tabs>
          <w:tab w:leader="none" w:pos="2275" w:val="left"/>
        </w:tabs>
        <w:numPr>
          <w:ilvl w:val="1"/>
          <w:numId w:val="67"/>
        </w:numPr>
        <w:rPr>
          <w:rFonts w:ascii="Arial" w:cs="Arial" w:eastAsia="Arial" w:hAnsi="Arial"/>
          <w:sz w:val="19"/>
          <w:szCs w:val="19"/>
          <w:color w:val="auto"/>
        </w:rPr>
      </w:pPr>
      <w:r>
        <w:rPr>
          <w:rFonts w:ascii="Arial" w:cs="Arial" w:eastAsia="Arial" w:hAnsi="Arial"/>
          <w:sz w:val="19"/>
          <w:szCs w:val="19"/>
          <w:color w:val="auto"/>
        </w:rPr>
        <w:t>If a Participant’s employment terminates as a result of his or her death or Disability prior to the settlement date(s) applicable to his or her Award, all Awards then held by such Participant will be settled as soon as is practicable after the date of termination of employment. The form of settlement shall be as provided in Section 5(c).</w:t>
      </w:r>
    </w:p>
    <w:p>
      <w:pPr>
        <w:spacing w:after="0" w:line="133" w:lineRule="exact"/>
        <w:rPr>
          <w:rFonts w:ascii="Arial" w:cs="Arial" w:eastAsia="Arial" w:hAnsi="Arial"/>
          <w:sz w:val="19"/>
          <w:szCs w:val="19"/>
          <w:color w:val="auto"/>
        </w:rPr>
      </w:pPr>
    </w:p>
    <w:p>
      <w:pPr>
        <w:jc w:val="both"/>
        <w:ind w:left="660" w:right="120" w:firstLine="969"/>
        <w:spacing w:after="0" w:line="253" w:lineRule="auto"/>
        <w:tabs>
          <w:tab w:leader="none" w:pos="2335" w:val="left"/>
        </w:tabs>
        <w:numPr>
          <w:ilvl w:val="1"/>
          <w:numId w:val="67"/>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the Committee may grant Awards hereunder with different settlement schedules, as long as such different schedules do not contravene the instructions of the Special Master and do not violate ARRA.</w:t>
      </w:r>
    </w:p>
    <w:p>
      <w:pPr>
        <w:spacing w:after="0" w:line="185" w:lineRule="exact"/>
        <w:rPr>
          <w:rFonts w:ascii="Arial" w:cs="Arial" w:eastAsia="Arial" w:hAnsi="Arial"/>
          <w:sz w:val="22"/>
          <w:szCs w:val="22"/>
          <w:color w:val="auto"/>
        </w:rPr>
      </w:pPr>
    </w:p>
    <w:p>
      <w:pPr>
        <w:ind w:right="20" w:firstLine="818"/>
        <w:spacing w:after="0" w:line="297" w:lineRule="auto"/>
        <w:tabs>
          <w:tab w:leader="none" w:pos="1536"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No Rights of a Shareholder</w:t>
      </w:r>
      <w:r>
        <w:rPr>
          <w:rFonts w:ascii="Arial" w:cs="Arial" w:eastAsia="Arial" w:hAnsi="Arial"/>
          <w:sz w:val="19"/>
          <w:szCs w:val="19"/>
          <w:color w:val="auto"/>
        </w:rPr>
        <w:t>. No holder of any Award shall have any rights to dividends or any other rights of a</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 with respect to Shares subject to the Award prior to becoming the record owner of such Shares; provided that the Committee may, in its sole discretion, determine to provide dividend equivalent rights with respect to some or all outstanding RSU Awards or new RSU Awards, which dividend equivalent rights shall otherwise be subject to the conditions of, and paid on the Settlement Date of, the applicable RSU Award, and which will be paid in cash unless the Committee determines otherwise.</w:t>
      </w:r>
    </w:p>
    <w:p>
      <w:pPr>
        <w:spacing w:after="0" w:line="147"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i w:val="1"/>
          <w:iCs w:val="1"/>
          <w:color w:val="auto"/>
        </w:rPr>
        <w:t>Amendments, Termination and Recoupment.</w:t>
      </w:r>
    </w:p>
    <w:p>
      <w:pPr>
        <w:spacing w:after="0" w:line="220" w:lineRule="exact"/>
        <w:rPr>
          <w:sz w:val="20"/>
          <w:szCs w:val="20"/>
          <w:color w:val="auto"/>
        </w:rPr>
      </w:pPr>
    </w:p>
    <w:p>
      <w:pPr>
        <w:ind w:right="80" w:firstLine="818"/>
        <w:spacing w:after="0" w:line="260" w:lineRule="auto"/>
        <w:tabs>
          <w:tab w:leader="none" w:pos="1536"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the rules of the New York Stock Exchange or such other exchange as may constitute from time to time the principal trading market for the Company’s Shares, and (ii) the consent of the affected Participant, if such action would materially impair the rights of such Participant under any outstanding Award. The Board has delegated to the Vice President, Global Human Resources authority to approve non-material amendments necessary or advisable with the advice of the Company’s Legal Staff.</w:t>
      </w:r>
    </w:p>
    <w:p>
      <w:pPr>
        <w:spacing w:after="0" w:line="181" w:lineRule="exact"/>
        <w:rPr>
          <w:rFonts w:ascii="Arial" w:cs="Arial" w:eastAsia="Arial" w:hAnsi="Arial"/>
          <w:sz w:val="21"/>
          <w:szCs w:val="21"/>
          <w:color w:val="auto"/>
        </w:rPr>
      </w:pPr>
    </w:p>
    <w:p>
      <w:pPr>
        <w:ind w:firstLine="818"/>
        <w:spacing w:after="0" w:line="247" w:lineRule="auto"/>
        <w:tabs>
          <w:tab w:leader="none" w:pos="1549"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Committee has the authority to take any action consistent with the terms of the Plan, either before or after an Award has been granted, that it deems necessary or advisable to comply with any government laws or regulatory requirements of a foreign country, including, but not limited to, modifying or amending the terms and conditions governing any Awards, or establishing any local country plans as sub-plans to this Plan. In addition, under all circumstances, the Committee or Officer of the Company may make non-substantive administrative changes to the Plan so as to conform with or take advantage of governmental requirements, statutes or regulations.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Amendments\Salary Stock Plan as Amended 1-13-14.doc</w:t>
      </w:r>
    </w:p>
    <w:p>
      <w:pPr>
        <w:sectPr>
          <w:pgSz w:w="11900" w:h="16838" w:orient="portrait"/>
          <w:cols w:equalWidth="0" w:num="1">
            <w:col w:w="11340"/>
          </w:cols>
          <w:pgMar w:left="240" w:top="375" w:right="319" w:bottom="1440" w:gutter="0" w:footer="0" w:header="0"/>
        </w:sectPr>
      </w:pPr>
    </w:p>
    <w:bookmarkStart w:id="158" w:name="page159"/>
    <w:bookmarkEnd w:id="158"/>
    <w:p>
      <w:pPr>
        <w:ind w:right="400" w:firstLine="818"/>
        <w:spacing w:after="0" w:line="287" w:lineRule="auto"/>
        <w:tabs>
          <w:tab w:leader="none" w:pos="1536"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Committee may amend the terms of any Award theretofore granted, prospectively or retroactively, but no such amendment shall materially impair the rights of any Participant without his or her consent.</w:t>
      </w:r>
    </w:p>
    <w:p>
      <w:pPr>
        <w:spacing w:after="0" w:line="151" w:lineRule="exact"/>
        <w:rPr>
          <w:rFonts w:ascii="Arial" w:cs="Arial" w:eastAsia="Arial" w:hAnsi="Arial"/>
          <w:sz w:val="21"/>
          <w:szCs w:val="21"/>
          <w:color w:val="auto"/>
        </w:rPr>
      </w:pPr>
    </w:p>
    <w:p>
      <w:pPr>
        <w:jc w:val="both"/>
        <w:ind w:right="160" w:firstLine="818"/>
        <w:spacing w:after="0" w:line="265" w:lineRule="auto"/>
        <w:tabs>
          <w:tab w:leader="none" w:pos="1549" w:val="left"/>
        </w:tabs>
        <w:numPr>
          <w:ilvl w:val="0"/>
          <w:numId w:val="69"/>
        </w:numPr>
        <w:rPr>
          <w:rFonts w:ascii="Arial" w:cs="Arial" w:eastAsia="Arial" w:hAnsi="Arial"/>
          <w:sz w:val="21"/>
          <w:szCs w:val="21"/>
          <w:color w:val="auto"/>
        </w:rPr>
      </w:pPr>
      <w:r>
        <w:rPr>
          <w:rFonts w:ascii="Arial" w:cs="Arial" w:eastAsia="Arial" w:hAnsi="Arial"/>
          <w:sz w:val="21"/>
          <w:szCs w:val="21"/>
          <w:color w:val="auto"/>
        </w:rPr>
        <w:t>If any provision of the Plan or any Award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Plan or any Award.</w:t>
      </w:r>
    </w:p>
    <w:p>
      <w:pPr>
        <w:spacing w:after="0" w:line="175" w:lineRule="exact"/>
        <w:rPr>
          <w:rFonts w:ascii="Arial" w:cs="Arial" w:eastAsia="Arial" w:hAnsi="Arial"/>
          <w:sz w:val="21"/>
          <w:szCs w:val="21"/>
          <w:color w:val="auto"/>
        </w:rPr>
      </w:pPr>
    </w:p>
    <w:p>
      <w:pPr>
        <w:ind w:firstLine="818"/>
        <w:spacing w:after="0" w:line="290" w:lineRule="auto"/>
        <w:tabs>
          <w:tab w:leader="none" w:pos="1536"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 provision of this Plan to the contrary, any RSUs accrued or granted and undelivered hereunder, are subject to forfeiture as may be determined by the Chief Executive Officer or Vice President, Global Human Resources, (i) if the Participant accruing or granted such Award engages or has engaged or indicates an intention to engage in an act (or omission to act) that causes or has the potential to cause tangible or intangible damage or injury to the Company in a non-trivial manner or to a non-trivial degree, or (ii) engages in any activity which is in any manner inimical or in any way contrary to the best interests of the Company, or (iii) as may be directed by the Special Master. For purposes of this provision, the determination of whether an action will cause damage to the Company, or is inimical or in any way contrary to the best interest of the Company shall be made in the sole discretion of the Chief Executive Officer or Vice President, Human Resources of the Company.</w:t>
      </w:r>
    </w:p>
    <w:p>
      <w:pPr>
        <w:spacing w:after="0" w:line="157" w:lineRule="exact"/>
        <w:rPr>
          <w:sz w:val="20"/>
          <w:szCs w:val="20"/>
          <w:color w:val="auto"/>
        </w:rPr>
      </w:pPr>
    </w:p>
    <w:p>
      <w:pPr>
        <w:ind w:left="820"/>
        <w:spacing w:after="0"/>
        <w:tabs>
          <w:tab w:leader="none" w:pos="280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i w:val="1"/>
          <w:iCs w:val="1"/>
          <w:color w:val="auto"/>
        </w:rPr>
        <w:t>General Provisions.</w:t>
      </w:r>
    </w:p>
    <w:p>
      <w:pPr>
        <w:spacing w:after="0" w:line="220" w:lineRule="exact"/>
        <w:rPr>
          <w:sz w:val="20"/>
          <w:szCs w:val="20"/>
          <w:color w:val="auto"/>
        </w:rPr>
      </w:pPr>
    </w:p>
    <w:p>
      <w:pPr>
        <w:ind w:right="20" w:firstLine="818"/>
        <w:spacing w:after="0" w:line="343" w:lineRule="auto"/>
        <w:tabs>
          <w:tab w:leader="none" w:pos="1536"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 Award may not be sold, exercised, pledged, assigned, hypothecated, transferred, or disposed of in any manner. For the avoidance of doubt, upon settlement of any Award, the cash or Shares delivered will not be subject to this restriction.</w:t>
      </w:r>
    </w:p>
    <w:p>
      <w:pPr>
        <w:spacing w:after="0" w:line="104" w:lineRule="exact"/>
        <w:rPr>
          <w:rFonts w:ascii="Arial" w:cs="Arial" w:eastAsia="Arial" w:hAnsi="Arial"/>
          <w:sz w:val="19"/>
          <w:szCs w:val="19"/>
          <w:color w:val="auto"/>
        </w:rPr>
      </w:pPr>
    </w:p>
    <w:p>
      <w:pPr>
        <w:jc w:val="both"/>
        <w:ind w:right="180" w:firstLine="818"/>
        <w:spacing w:after="0" w:line="265" w:lineRule="auto"/>
        <w:tabs>
          <w:tab w:leader="none" w:pos="1549" w:val="left"/>
        </w:tabs>
        <w:numPr>
          <w:ilvl w:val="0"/>
          <w:numId w:val="70"/>
        </w:numPr>
        <w:rPr>
          <w:rFonts w:ascii="Arial" w:cs="Arial" w:eastAsia="Arial" w:hAnsi="Arial"/>
          <w:sz w:val="21"/>
          <w:szCs w:val="21"/>
          <w:color w:val="auto"/>
        </w:rPr>
      </w:pPr>
      <w:r>
        <w:rPr>
          <w:rFonts w:ascii="Arial" w:cs="Arial" w:eastAsia="Arial" w:hAnsi="Arial"/>
          <w:sz w:val="21"/>
          <w:szCs w:val="21"/>
          <w:color w:val="auto"/>
        </w:rPr>
        <w:t>Neither the Award nor any benefits arising out of this Plan shall constitute part of a Participant’s employment or service contract with the Company or any Subsidiary and, accordingly, except as provided in Section 6(a) and (c) above, this Plan and the benefits hereunder may be terminated at any time in the sole discretion of the Company without giving rise to liability on the part of the Company or any Subsidiary for severance payments.</w:t>
      </w:r>
    </w:p>
    <w:p>
      <w:pPr>
        <w:spacing w:after="0" w:line="175" w:lineRule="exact"/>
        <w:rPr>
          <w:rFonts w:ascii="Arial" w:cs="Arial" w:eastAsia="Arial" w:hAnsi="Arial"/>
          <w:sz w:val="21"/>
          <w:szCs w:val="21"/>
          <w:color w:val="auto"/>
        </w:rPr>
      </w:pPr>
    </w:p>
    <w:p>
      <w:pPr>
        <w:ind w:right="780" w:firstLine="818"/>
        <w:spacing w:after="0" w:line="263" w:lineRule="auto"/>
        <w:tabs>
          <w:tab w:leader="none" w:pos="1536"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Employee shall have any claim to be granted any Award under the Plan, and there is no obligation for uniformity of treatment of Participants under the Plan.</w:t>
      </w:r>
    </w:p>
    <w:p>
      <w:pPr>
        <w:spacing w:after="0" w:line="174" w:lineRule="exact"/>
        <w:rPr>
          <w:rFonts w:ascii="Arial" w:cs="Arial" w:eastAsia="Arial" w:hAnsi="Arial"/>
          <w:sz w:val="22"/>
          <w:szCs w:val="22"/>
          <w:color w:val="auto"/>
        </w:rPr>
      </w:pPr>
    </w:p>
    <w:p>
      <w:pPr>
        <w:ind w:right="100" w:firstLine="818"/>
        <w:spacing w:after="0" w:line="302" w:lineRule="auto"/>
        <w:tabs>
          <w:tab w:leader="none" w:pos="1549"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42" w:lineRule="exact"/>
        <w:rPr>
          <w:rFonts w:ascii="Arial" w:cs="Arial" w:eastAsia="Arial" w:hAnsi="Arial"/>
          <w:sz w:val="19"/>
          <w:szCs w:val="19"/>
          <w:color w:val="auto"/>
        </w:rPr>
      </w:pPr>
    </w:p>
    <w:p>
      <w:pPr>
        <w:ind w:right="20" w:firstLine="818"/>
        <w:spacing w:after="0" w:line="248" w:lineRule="auto"/>
        <w:tabs>
          <w:tab w:leader="none" w:pos="1536"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may be then listed, and any applicable federal or state securities law, and the Committee may cause a legend or legends to be put on any certificates or other indicia of ownership of such Shares to make appropriate reference to such restrictions.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Amendments\Salary Stock Plan as Amended 1-13-14.doc</w:t>
      </w:r>
    </w:p>
    <w:p>
      <w:pPr>
        <w:sectPr>
          <w:pgSz w:w="11900" w:h="16838" w:orient="portrait"/>
          <w:cols w:equalWidth="0" w:num="1">
            <w:col w:w="11420"/>
          </w:cols>
          <w:pgMar w:left="240" w:top="375" w:right="239" w:bottom="1440" w:gutter="0" w:footer="0" w:header="0"/>
        </w:sectPr>
      </w:pPr>
    </w:p>
    <w:bookmarkStart w:id="159" w:name="page160"/>
    <w:bookmarkEnd w:id="159"/>
    <w:p>
      <w:pPr>
        <w:ind w:right="140" w:firstLine="818"/>
        <w:spacing w:after="0" w:line="250" w:lineRule="auto"/>
        <w:tabs>
          <w:tab w:leader="none" w:pos="1512"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Award granted hereunder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188" w:lineRule="exact"/>
        <w:rPr>
          <w:rFonts w:ascii="Arial" w:cs="Arial" w:eastAsia="Arial" w:hAnsi="Arial"/>
          <w:sz w:val="22"/>
          <w:szCs w:val="22"/>
          <w:color w:val="auto"/>
        </w:rPr>
      </w:pPr>
    </w:p>
    <w:p>
      <w:pPr>
        <w:ind w:right="40" w:firstLine="818"/>
        <w:spacing w:after="0" w:line="290" w:lineRule="auto"/>
        <w:tabs>
          <w:tab w:leader="none" w:pos="1549"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Company and its Subsidiaries shall be authorized to withhold from any Award granted or payment due under the Plan the amount of withholding taxes due in respect of an Award or payment hereunder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56" w:lineRule="exact"/>
        <w:rPr>
          <w:rFonts w:ascii="Arial" w:cs="Arial" w:eastAsia="Arial" w:hAnsi="Arial"/>
          <w:sz w:val="19"/>
          <w:szCs w:val="19"/>
          <w:color w:val="auto"/>
        </w:rPr>
      </w:pPr>
    </w:p>
    <w:p>
      <w:pPr>
        <w:ind w:right="820" w:firstLine="818"/>
        <w:spacing w:after="0" w:line="253" w:lineRule="auto"/>
        <w:tabs>
          <w:tab w:leader="none" w:pos="1549"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85" w:lineRule="exact"/>
        <w:rPr>
          <w:rFonts w:ascii="Arial" w:cs="Arial" w:eastAsia="Arial" w:hAnsi="Arial"/>
          <w:sz w:val="22"/>
          <w:szCs w:val="22"/>
          <w:color w:val="auto"/>
        </w:rPr>
      </w:pPr>
    </w:p>
    <w:p>
      <w:pPr>
        <w:ind w:right="140" w:firstLine="818"/>
        <w:spacing w:after="0" w:line="343" w:lineRule="auto"/>
        <w:tabs>
          <w:tab w:leader="none" w:pos="15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spacing w:after="0" w:line="104" w:lineRule="exact"/>
        <w:rPr>
          <w:rFonts w:ascii="Arial" w:cs="Arial" w:eastAsia="Arial" w:hAnsi="Arial"/>
          <w:sz w:val="19"/>
          <w:szCs w:val="19"/>
          <w:color w:val="auto"/>
        </w:rPr>
      </w:pPr>
    </w:p>
    <w:p>
      <w:pPr>
        <w:ind w:right="40" w:firstLine="818"/>
        <w:spacing w:after="0" w:line="246" w:lineRule="auto"/>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7(j) may not be made without stockholder approval or Participant approval, if such approval is required by Section 6. The Committee also may impose conditions on the exercise or vesting of Awards in order to minimize the Company’s obligation with respect to tax equalization for Employees on assignments outside their home country.</w:t>
      </w:r>
    </w:p>
    <w:p>
      <w:pPr>
        <w:spacing w:after="0" w:line="197" w:lineRule="exact"/>
        <w:rPr>
          <w:rFonts w:ascii="Arial" w:cs="Arial" w:eastAsia="Arial" w:hAnsi="Arial"/>
          <w:sz w:val="22"/>
          <w:szCs w:val="22"/>
          <w:color w:val="auto"/>
        </w:rPr>
      </w:pPr>
    </w:p>
    <w:p>
      <w:pPr>
        <w:ind w:right="200" w:firstLine="818"/>
        <w:spacing w:after="0" w:line="253" w:lineRule="auto"/>
        <w:tabs>
          <w:tab w:leader="none" w:pos="1549"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the Company shall have any unpaid claim against the Participant arising out of or in connection with such Participant’s employment with the Company, such claim may be offset against Awards delivered under this Plan. Such claim may include, but is not limited to, unpaid taxes or corporate business credit card charges.</w:t>
      </w:r>
    </w:p>
    <w:p>
      <w:pPr>
        <w:spacing w:after="0" w:line="185" w:lineRule="exact"/>
        <w:rPr>
          <w:rFonts w:ascii="Arial" w:cs="Arial" w:eastAsia="Arial" w:hAnsi="Arial"/>
          <w:sz w:val="22"/>
          <w:szCs w:val="22"/>
          <w:color w:val="auto"/>
        </w:rPr>
      </w:pPr>
    </w:p>
    <w:p>
      <w:pPr>
        <w:jc w:val="both"/>
        <w:ind w:firstLine="818"/>
        <w:spacing w:after="0" w:line="263" w:lineRule="auto"/>
        <w:tabs>
          <w:tab w:leader="none" w:pos="1500" w:val="left"/>
        </w:tabs>
        <w:numPr>
          <w:ilvl w:val="0"/>
          <w:numId w:val="71"/>
        </w:numPr>
        <w:rPr>
          <w:rFonts w:ascii="Arial" w:cs="Arial" w:eastAsia="Arial" w:hAnsi="Arial"/>
          <w:sz w:val="21"/>
          <w:szCs w:val="21"/>
          <w:color w:val="auto"/>
        </w:rPr>
      </w:pPr>
      <w:r>
        <w:rPr>
          <w:rFonts w:ascii="Arial" w:cs="Arial" w:eastAsia="Arial" w:hAnsi="Arial"/>
          <w:sz w:val="21"/>
          <w:szCs w:val="21"/>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such Section 409A, and such delay is necessary to avoid the imposition of tax (including interest and penalties) under Section 409A.</w:t>
      </w:r>
    </w:p>
    <w:p>
      <w:pPr>
        <w:spacing w:after="0" w:line="176" w:lineRule="exact"/>
        <w:rPr>
          <w:sz w:val="20"/>
          <w:szCs w:val="20"/>
          <w:color w:val="auto"/>
        </w:rPr>
      </w:pPr>
    </w:p>
    <w:p>
      <w:pPr>
        <w:ind w:right="380" w:firstLine="810"/>
        <w:spacing w:after="0" w:line="287"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i w:val="1"/>
          <w:iCs w:val="1"/>
          <w:color w:val="auto"/>
        </w:rPr>
        <w:t>Term of Plan.</w:t>
      </w:r>
      <w:r>
        <w:rPr>
          <w:rFonts w:ascii="Arial" w:cs="Arial" w:eastAsia="Arial" w:hAnsi="Arial"/>
          <w:sz w:val="21"/>
          <w:szCs w:val="21"/>
          <w:color w:val="auto"/>
        </w:rPr>
        <w:t xml:space="preserve"> The Plan shall terminate on the day after the date when all Awards hereunder are settled in accordance with the terms of the Plan, unless sooner terminated by the Board pursuant to Section 6.</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Amendments\Salary Stock Plan as Amended 1-13-14.doc</w:t>
      </w:r>
    </w:p>
    <w:p>
      <w:pPr>
        <w:sectPr>
          <w:pgSz w:w="11900" w:h="16838" w:orient="portrait"/>
          <w:cols w:equalWidth="0" w:num="1">
            <w:col w:w="11400"/>
          </w:cols>
          <w:pgMar w:left="240" w:top="375" w:right="259" w:bottom="1440" w:gutter="0" w:footer="0" w:header="0"/>
        </w:sectPr>
      </w:pPr>
    </w:p>
    <w:bookmarkStart w:id="160" w:name="page161"/>
    <w:bookmarkEnd w:id="160"/>
    <w:p>
      <w:pPr>
        <w:ind w:left="820"/>
        <w:spacing w:after="0"/>
        <w:tabs>
          <w:tab w:leader="none" w:pos="28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As used in the Plan, the following terms shall have the meanings set forth below:</w:t>
      </w:r>
    </w:p>
    <w:p>
      <w:pPr>
        <w:spacing w:after="0" w:line="220" w:lineRule="exact"/>
        <w:rPr>
          <w:sz w:val="20"/>
          <w:szCs w:val="20"/>
          <w:color w:val="auto"/>
        </w:rPr>
      </w:pPr>
    </w:p>
    <w:p>
      <w:pPr>
        <w:ind w:left="1540" w:hanging="803"/>
        <w:spacing w:after="0"/>
        <w:tabs>
          <w:tab w:leader="none" w:pos="15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“ARRA” shall mean the American Recovery and Reinvestment Act of 2009.</w:t>
      </w:r>
    </w:p>
    <w:p>
      <w:pPr>
        <w:spacing w:after="0" w:line="219" w:lineRule="exact"/>
        <w:rPr>
          <w:rFonts w:ascii="Arial" w:cs="Arial" w:eastAsia="Arial" w:hAnsi="Arial"/>
          <w:sz w:val="22"/>
          <w:szCs w:val="22"/>
          <w:color w:val="auto"/>
        </w:rPr>
      </w:pPr>
    </w:p>
    <w:p>
      <w:pPr>
        <w:ind w:left="1560" w:hanging="823"/>
        <w:spacing w:after="0"/>
        <w:tabs>
          <w:tab w:leader="none" w:pos="1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“Award” shall mean an award hereunder of Restricted Stock Units.</w:t>
      </w:r>
    </w:p>
    <w:p>
      <w:pPr>
        <w:spacing w:after="0" w:line="219" w:lineRule="exact"/>
        <w:rPr>
          <w:rFonts w:ascii="Arial" w:cs="Arial" w:eastAsia="Arial" w:hAnsi="Arial"/>
          <w:sz w:val="22"/>
          <w:szCs w:val="22"/>
          <w:color w:val="auto"/>
        </w:rPr>
      </w:pPr>
    </w:p>
    <w:p>
      <w:pPr>
        <w:ind w:left="1540" w:hanging="803"/>
        <w:spacing w:after="0"/>
        <w:tabs>
          <w:tab w:leader="none" w:pos="15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19" w:lineRule="exact"/>
        <w:rPr>
          <w:rFonts w:ascii="Arial" w:cs="Arial" w:eastAsia="Arial" w:hAnsi="Arial"/>
          <w:sz w:val="22"/>
          <w:szCs w:val="22"/>
          <w:color w:val="auto"/>
        </w:rPr>
      </w:pPr>
    </w:p>
    <w:p>
      <w:pPr>
        <w:ind w:left="1560" w:hanging="823"/>
        <w:spacing w:after="0"/>
        <w:tabs>
          <w:tab w:leader="none" w:pos="1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“Chief Executive Officer” shall mean the Chief Executive Officer of the Company.</w:t>
      </w:r>
    </w:p>
    <w:p>
      <w:pPr>
        <w:spacing w:after="0" w:line="219" w:lineRule="exact"/>
        <w:rPr>
          <w:rFonts w:ascii="Arial" w:cs="Arial" w:eastAsia="Arial" w:hAnsi="Arial"/>
          <w:sz w:val="22"/>
          <w:szCs w:val="22"/>
          <w:color w:val="auto"/>
        </w:rPr>
      </w:pPr>
    </w:p>
    <w:p>
      <w:pPr>
        <w:ind w:right="60" w:firstLine="737"/>
        <w:spacing w:after="0" w:line="263" w:lineRule="auto"/>
        <w:tabs>
          <w:tab w:leader="none" w:pos="1536" w:val="left"/>
        </w:tabs>
        <w:numPr>
          <w:ilvl w:val="0"/>
          <w:numId w:val="72"/>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174" w:lineRule="exact"/>
        <w:rPr>
          <w:rFonts w:ascii="Arial" w:cs="Arial" w:eastAsia="Arial" w:hAnsi="Arial"/>
          <w:sz w:val="22"/>
          <w:szCs w:val="22"/>
          <w:color w:val="auto"/>
        </w:rPr>
      </w:pPr>
    </w:p>
    <w:p>
      <w:pPr>
        <w:ind w:firstLine="737"/>
        <w:spacing w:after="0" w:line="263" w:lineRule="auto"/>
        <w:tabs>
          <w:tab w:leader="none" w:pos="1512" w:val="left"/>
        </w:tabs>
        <w:numPr>
          <w:ilvl w:val="0"/>
          <w:numId w:val="72"/>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174" w:lineRule="exact"/>
        <w:rPr>
          <w:rFonts w:ascii="Arial" w:cs="Arial" w:eastAsia="Arial" w:hAnsi="Arial"/>
          <w:sz w:val="22"/>
          <w:szCs w:val="22"/>
          <w:color w:val="auto"/>
        </w:rPr>
      </w:pPr>
    </w:p>
    <w:p>
      <w:pPr>
        <w:ind w:left="1560" w:hanging="823"/>
        <w:spacing w:after="0"/>
        <w:tabs>
          <w:tab w:leader="none" w:pos="1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19" w:lineRule="exact"/>
        <w:rPr>
          <w:rFonts w:ascii="Arial" w:cs="Arial" w:eastAsia="Arial" w:hAnsi="Arial"/>
          <w:sz w:val="22"/>
          <w:szCs w:val="22"/>
          <w:color w:val="auto"/>
        </w:rPr>
      </w:pPr>
    </w:p>
    <w:p>
      <w:pPr>
        <w:ind w:right="440" w:firstLine="737"/>
        <w:spacing w:after="0" w:line="253" w:lineRule="auto"/>
        <w:tabs>
          <w:tab w:leader="none" w:pos="1549" w:val="left"/>
        </w:tabs>
        <w:numPr>
          <w:ilvl w:val="0"/>
          <w:numId w:val="72"/>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185" w:lineRule="exact"/>
        <w:rPr>
          <w:rFonts w:ascii="Arial" w:cs="Arial" w:eastAsia="Arial" w:hAnsi="Arial"/>
          <w:sz w:val="22"/>
          <w:szCs w:val="22"/>
          <w:color w:val="auto"/>
        </w:rPr>
      </w:pPr>
    </w:p>
    <w:p>
      <w:pPr>
        <w:ind w:right="140" w:firstLine="737"/>
        <w:spacing w:after="0" w:line="253" w:lineRule="auto"/>
        <w:tabs>
          <w:tab w:leader="none" w:pos="1554" w:val="left"/>
        </w:tabs>
        <w:numPr>
          <w:ilvl w:val="0"/>
          <w:numId w:val="72"/>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 who is classified by the Company as an executive or who is in the group of employees whose compensation structure or compensation is subject to approval by the Special Master.</w:t>
      </w:r>
    </w:p>
    <w:p>
      <w:pPr>
        <w:spacing w:after="0" w:line="185" w:lineRule="exact"/>
        <w:rPr>
          <w:rFonts w:ascii="Arial" w:cs="Arial" w:eastAsia="Arial" w:hAnsi="Arial"/>
          <w:sz w:val="22"/>
          <w:szCs w:val="22"/>
          <w:color w:val="auto"/>
        </w:rPr>
      </w:pPr>
    </w:p>
    <w:p>
      <w:pPr>
        <w:ind w:right="60" w:firstLine="737"/>
        <w:spacing w:after="0" w:line="343" w:lineRule="auto"/>
        <w:tabs>
          <w:tab w:leader="none" w:pos="15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“Executive Officer” shall mean any Participant required to provide periodic statements of beneficial ownership of Company equity securities as an executive officer of the Company under Section 16(a) of the Securities Exchange Act of 1934.</w:t>
      </w:r>
    </w:p>
    <w:p>
      <w:pPr>
        <w:spacing w:after="0" w:line="104" w:lineRule="exact"/>
        <w:rPr>
          <w:rFonts w:ascii="Arial" w:cs="Arial" w:eastAsia="Arial" w:hAnsi="Arial"/>
          <w:sz w:val="19"/>
          <w:szCs w:val="19"/>
          <w:color w:val="auto"/>
        </w:rPr>
      </w:pPr>
    </w:p>
    <w:p>
      <w:pPr>
        <w:ind w:right="160" w:firstLine="737"/>
        <w:spacing w:after="0" w:line="261" w:lineRule="auto"/>
        <w:tabs>
          <w:tab w:leader="none" w:pos="1549" w:val="left"/>
        </w:tabs>
        <w:numPr>
          <w:ilvl w:val="0"/>
          <w:numId w:val="72"/>
        </w:numPr>
        <w:rPr>
          <w:rFonts w:ascii="Arial" w:cs="Arial" w:eastAsia="Arial" w:hAnsi="Arial"/>
          <w:sz w:val="21"/>
          <w:szCs w:val="21"/>
          <w:color w:val="auto"/>
        </w:rPr>
      </w:pPr>
      <w:r>
        <w:rPr>
          <w:rFonts w:ascii="Arial" w:cs="Arial" w:eastAsia="Arial" w:hAnsi="Arial"/>
          <w:sz w:val="21"/>
          <w:szCs w:val="21"/>
          <w:color w:val="auto"/>
        </w:rPr>
        <w:t>“Fair Market Value” shall mean the value of a Share, determined as follows: prior to the establishment of when-issued trading of the Shares on a national securities exchange, as determined by the Committee in its discretion; and after the establishment of when-issued trading of the Shares on a national securities exchange, the average of the high and low trading (or when-issued trading) prices for the Shares as reported on such national securities exchange for the applicable date or, if no such prices are reported for that date, the average of the high and low trading (or when-issued trading) prices on the immediately preceding date for which such prices were reported.</w:t>
      </w:r>
    </w:p>
    <w:p>
      <w:pPr>
        <w:spacing w:after="0" w:line="180" w:lineRule="exact"/>
        <w:rPr>
          <w:rFonts w:ascii="Arial" w:cs="Arial" w:eastAsia="Arial" w:hAnsi="Arial"/>
          <w:sz w:val="21"/>
          <w:szCs w:val="21"/>
          <w:color w:val="auto"/>
        </w:rPr>
      </w:pPr>
    </w:p>
    <w:p>
      <w:pPr>
        <w:ind w:right="360" w:firstLine="737"/>
        <w:spacing w:after="0" w:line="263" w:lineRule="auto"/>
        <w:tabs>
          <w:tab w:leader="none" w:pos="15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“Issue Date” shall mean the last business day of each calendar quarter or any other date designated as an Issue Date by the Committee.</w:t>
      </w:r>
    </w:p>
    <w:p>
      <w:pPr>
        <w:spacing w:after="0" w:line="174" w:lineRule="exact"/>
        <w:rPr>
          <w:rFonts w:ascii="Arial" w:cs="Arial" w:eastAsia="Arial" w:hAnsi="Arial"/>
          <w:sz w:val="22"/>
          <w:szCs w:val="22"/>
          <w:color w:val="auto"/>
        </w:rPr>
      </w:pPr>
    </w:p>
    <w:p>
      <w:pPr>
        <w:ind w:left="1620" w:hanging="883"/>
        <w:spacing w:after="0"/>
        <w:tabs>
          <w:tab w:leader="none" w:pos="16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“Participant” shall mean an Employee who is selected by the Committee to receive an Award under the Plan.</w:t>
      </w:r>
    </w:p>
    <w:p>
      <w:pPr>
        <w:spacing w:after="0" w:line="254" w:lineRule="exact"/>
        <w:rPr>
          <w:rFonts w:ascii="Arial" w:cs="Arial" w:eastAsia="Arial" w:hAnsi="Arial"/>
          <w:sz w:val="19"/>
          <w:szCs w:val="19"/>
          <w:color w:val="auto"/>
        </w:rPr>
      </w:pPr>
    </w:p>
    <w:p>
      <w:pPr>
        <w:ind w:left="1560" w:hanging="823"/>
        <w:spacing w:after="0"/>
        <w:tabs>
          <w:tab w:leader="none" w:pos="1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“Plan” shall mean this General Motors Company Salary Stock Plan.</w:t>
      </w:r>
    </w:p>
    <w:p>
      <w:pPr>
        <w:spacing w:after="0" w:line="219" w:lineRule="exact"/>
        <w:rPr>
          <w:rFonts w:ascii="Arial" w:cs="Arial" w:eastAsia="Arial" w:hAnsi="Arial"/>
          <w:sz w:val="22"/>
          <w:szCs w:val="22"/>
          <w:color w:val="auto"/>
        </w:rPr>
      </w:pPr>
    </w:p>
    <w:p>
      <w:pPr>
        <w:ind w:left="1560" w:hanging="823"/>
        <w:spacing w:after="0"/>
        <w:tabs>
          <w:tab w:leader="none" w:pos="1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“Restricted Stock Unit” or “RSU” shall mean any unit granted pursuant to and described in Section 6.</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Amendments\Salary Stock Plan as Amended 1-13-14.doc</w:t>
      </w:r>
    </w:p>
    <w:p>
      <w:pPr>
        <w:sectPr>
          <w:pgSz w:w="11900" w:h="16838" w:orient="portrait"/>
          <w:cols w:equalWidth="0" w:num="1">
            <w:col w:w="11400"/>
          </w:cols>
          <w:pgMar w:left="240" w:top="375" w:right="259" w:bottom="1440" w:gutter="0" w:footer="0" w:header="0"/>
        </w:sectPr>
      </w:pPr>
    </w:p>
    <w:bookmarkStart w:id="161" w:name="page162"/>
    <w:bookmarkEnd w:id="161"/>
    <w:p>
      <w:pPr>
        <w:ind w:left="1560" w:hanging="823"/>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“Shares” shall mean shares of the common stock of the Company, $0.01 par value.</w:t>
      </w:r>
    </w:p>
    <w:p>
      <w:pPr>
        <w:spacing w:after="0" w:line="219" w:lineRule="exact"/>
        <w:rPr>
          <w:rFonts w:ascii="Arial" w:cs="Arial" w:eastAsia="Arial" w:hAnsi="Arial"/>
          <w:sz w:val="22"/>
          <w:szCs w:val="22"/>
          <w:color w:val="auto"/>
        </w:rPr>
      </w:pPr>
    </w:p>
    <w:p>
      <w:pPr>
        <w:ind w:right="40" w:firstLine="737"/>
        <w:spacing w:after="0" w:line="343" w:lineRule="auto"/>
        <w:tabs>
          <w:tab w:leader="none" w:pos="1549" w:val="left"/>
        </w:tabs>
        <w:numPr>
          <w:ilvl w:val="0"/>
          <w:numId w:val="73"/>
        </w:numPr>
        <w:rPr>
          <w:rFonts w:ascii="Arial" w:cs="Arial" w:eastAsia="Arial" w:hAnsi="Arial"/>
          <w:sz w:val="19"/>
          <w:szCs w:val="19"/>
          <w:color w:val="auto"/>
        </w:rPr>
      </w:pPr>
      <w:r>
        <w:rPr>
          <w:rFonts w:ascii="Arial" w:cs="Arial" w:eastAsia="Arial" w:hAnsi="Arial"/>
          <w:sz w:val="19"/>
          <w:szCs w:val="19"/>
          <w:color w:val="auto"/>
        </w:rPr>
        <w:t>“Special Master” shall mean the Office of the Special Master for TARP Executive Compensation, established by the Secretary of the U.S. Treasury under the ARRA or any other office or agency which succeeds to the powers thereof.</w:t>
      </w:r>
    </w:p>
    <w:p>
      <w:pPr>
        <w:spacing w:after="0" w:line="104" w:lineRule="exact"/>
        <w:rPr>
          <w:rFonts w:ascii="Arial" w:cs="Arial" w:eastAsia="Arial" w:hAnsi="Arial"/>
          <w:sz w:val="19"/>
          <w:szCs w:val="19"/>
          <w:color w:val="auto"/>
        </w:rPr>
      </w:pPr>
    </w:p>
    <w:p>
      <w:pPr>
        <w:jc w:val="both"/>
        <w:ind w:firstLine="737"/>
        <w:spacing w:after="0" w:line="312" w:lineRule="auto"/>
        <w:tabs>
          <w:tab w:leader="none" w:pos="1512" w:val="left"/>
        </w:tabs>
        <w:numPr>
          <w:ilvl w:val="0"/>
          <w:numId w:val="73"/>
        </w:numPr>
        <w:rPr>
          <w:rFonts w:ascii="Arial" w:cs="Arial" w:eastAsia="Arial" w:hAnsi="Arial"/>
          <w:sz w:val="19"/>
          <w:szCs w:val="19"/>
          <w:color w:val="auto"/>
        </w:rPr>
      </w:pPr>
      <w:r>
        <w:rPr>
          <w:rFonts w:ascii="Arial" w:cs="Arial" w:eastAsia="Arial" w:hAnsi="Arial"/>
          <w:sz w:val="19"/>
          <w:szCs w:val="19"/>
          <w:color w:val="auto"/>
        </w:rPr>
        <w:t>“Subsidiary” shall mean (i) a company of which capital stock having ordinary voting power to elect a majority of the board of directors of such company is owned, directly or indirectly, by the Company or (ii) any unincorporated entity in respect of which the Company can exercise, directly or indirectly, comparable control to that described in clause (i).</w:t>
      </w:r>
    </w:p>
    <w:p>
      <w:pPr>
        <w:spacing w:after="0" w:line="133" w:lineRule="exact"/>
        <w:rPr>
          <w:rFonts w:ascii="Arial" w:cs="Arial" w:eastAsia="Arial" w:hAnsi="Arial"/>
          <w:sz w:val="19"/>
          <w:szCs w:val="19"/>
          <w:color w:val="auto"/>
        </w:rPr>
      </w:pPr>
    </w:p>
    <w:p>
      <w:pPr>
        <w:ind w:firstLine="737"/>
        <w:spacing w:after="0" w:line="263" w:lineRule="auto"/>
        <w:tabs>
          <w:tab w:leader="none" w:pos="1524" w:val="left"/>
        </w:tabs>
        <w:numPr>
          <w:ilvl w:val="0"/>
          <w:numId w:val="73"/>
        </w:numPr>
        <w:rPr>
          <w:rFonts w:ascii="Arial" w:cs="Arial" w:eastAsia="Arial" w:hAnsi="Arial"/>
          <w:sz w:val="22"/>
          <w:szCs w:val="22"/>
          <w:color w:val="auto"/>
        </w:rPr>
      </w:pPr>
      <w:r>
        <w:rPr>
          <w:rFonts w:ascii="Arial" w:cs="Arial" w:eastAsia="Arial" w:hAnsi="Arial"/>
          <w:sz w:val="22"/>
          <w:szCs w:val="22"/>
          <w:color w:val="auto"/>
        </w:rPr>
        <w:t>“Treasury Agreement” shall mean the Secured Credit Agreement among the Company, the U.S. Treasury, and the guarantors named therein dated July 10, 2009 as it may be subsequently restated or amended.</w:t>
      </w:r>
    </w:p>
    <w:p>
      <w:pPr>
        <w:spacing w:after="0" w:line="174" w:lineRule="exact"/>
        <w:rPr>
          <w:rFonts w:ascii="Arial" w:cs="Arial" w:eastAsia="Arial" w:hAnsi="Arial"/>
          <w:sz w:val="22"/>
          <w:szCs w:val="22"/>
          <w:color w:val="auto"/>
        </w:rPr>
      </w:pPr>
    </w:p>
    <w:p>
      <w:pPr>
        <w:ind w:left="1560" w:hanging="823"/>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“Unit” shall mean a Restricted Stock Unit or RSU.</w:t>
      </w:r>
    </w:p>
    <w:p>
      <w:pPr>
        <w:spacing w:after="0" w:line="219" w:lineRule="exact"/>
        <w:rPr>
          <w:rFonts w:ascii="Arial" w:cs="Arial" w:eastAsia="Arial" w:hAnsi="Arial"/>
          <w:sz w:val="22"/>
          <w:szCs w:val="22"/>
          <w:color w:val="auto"/>
        </w:rPr>
      </w:pPr>
    </w:p>
    <w:p>
      <w:pPr>
        <w:ind w:left="1560" w:hanging="823"/>
        <w:spacing w:after="0"/>
        <w:tabs>
          <w:tab w:leader="none" w:pos="15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“U.S. Treasury” shall mean the United States Department of the Treasury.</w:t>
      </w:r>
    </w:p>
    <w:p>
      <w:pPr>
        <w:spacing w:after="0" w:line="219" w:lineRule="exact"/>
        <w:rPr>
          <w:rFonts w:ascii="Arial" w:cs="Arial" w:eastAsia="Arial" w:hAnsi="Arial"/>
          <w:sz w:val="22"/>
          <w:szCs w:val="22"/>
          <w:color w:val="auto"/>
        </w:rPr>
      </w:pPr>
    </w:p>
    <w:p>
      <w:pPr>
        <w:ind w:left="1560" w:hanging="823"/>
        <w:spacing w:after="0"/>
        <w:tabs>
          <w:tab w:leader="none" w:pos="15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Vice President, Global Human Resources shall mean the Vice President, Global Human Resources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PERCOMPC\LMG\1-14 ECC (HUM026)\Incentive Matters\Plan Amendments\Salary Stock Plan as Amended 1-13-14.doc</w:t>
      </w:r>
    </w:p>
    <w:p>
      <w:pPr>
        <w:sectPr>
          <w:pgSz w:w="11900" w:h="16838" w:orient="portrait"/>
          <w:cols w:equalWidth="0" w:num="1">
            <w:col w:w="11340"/>
          </w:cols>
          <w:pgMar w:left="240" w:top="375"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3" w:hanging="523"/>
        <w:spacing w:after="0"/>
        <w:tabs>
          <w:tab w:leader="none" w:pos="523"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Confidential Treatment request granted by the Securities and Exchange Commission on February 28,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543"/>
        <w:spacing w:after="0"/>
        <w:rPr>
          <w:sz w:val="20"/>
          <w:szCs w:val="20"/>
          <w:color w:val="auto"/>
        </w:rPr>
      </w:pPr>
      <w:r>
        <w:rPr>
          <w:rFonts w:ascii="Arial" w:cs="Arial" w:eastAsia="Arial" w:hAnsi="Arial"/>
          <w:sz w:val="22"/>
          <w:szCs w:val="22"/>
          <w:b w:val="1"/>
          <w:bCs w:val="1"/>
          <w:color w:val="auto"/>
        </w:rPr>
        <w:t>AMENDED AND RESTATED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17"/>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3"/>
        <w:spacing w:after="0"/>
        <w:rPr>
          <w:sz w:val="20"/>
          <w:szCs w:val="20"/>
          <w:color w:val="auto"/>
        </w:rPr>
      </w:pPr>
      <w:r>
        <w:rPr>
          <w:rFonts w:ascii="Arial" w:cs="Arial" w:eastAsia="Arial" w:hAnsi="Arial"/>
          <w:sz w:val="22"/>
          <w:szCs w:val="22"/>
          <w:b w:val="1"/>
          <w:bCs w:val="1"/>
          <w:color w:val="auto"/>
        </w:rPr>
        <w:t>GENERAL MOTORS HOLDINGS LLC</w:t>
      </w:r>
    </w:p>
    <w:p>
      <w:pPr>
        <w:spacing w:after="0" w:line="200" w:lineRule="exact"/>
        <w:rPr>
          <w:sz w:val="20"/>
          <w:szCs w:val="20"/>
          <w:color w:val="auto"/>
        </w:rPr>
      </w:pPr>
    </w:p>
    <w:p>
      <w:pPr>
        <w:spacing w:after="0" w:line="323" w:lineRule="exact"/>
        <w:rPr>
          <w:sz w:val="20"/>
          <w:szCs w:val="20"/>
          <w:color w:val="auto"/>
        </w:rPr>
      </w:pPr>
    </w:p>
    <w:p>
      <w:pPr>
        <w:jc w:val="center"/>
        <w:ind w:right="517"/>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11" w:lineRule="exact"/>
        <w:rPr>
          <w:sz w:val="20"/>
          <w:szCs w:val="20"/>
          <w:color w:val="auto"/>
        </w:rPr>
      </w:pPr>
    </w:p>
    <w:p>
      <w:pPr>
        <w:ind w:left="4423"/>
        <w:spacing w:after="0"/>
        <w:rPr>
          <w:sz w:val="20"/>
          <w:szCs w:val="20"/>
          <w:color w:val="auto"/>
        </w:rPr>
      </w:pPr>
      <w:r>
        <w:rPr>
          <w:rFonts w:ascii="Arial" w:cs="Arial" w:eastAsia="Arial" w:hAnsi="Arial"/>
          <w:sz w:val="22"/>
          <w:szCs w:val="22"/>
          <w:b w:val="1"/>
          <w:bCs w:val="1"/>
          <w:color w:val="auto"/>
        </w:rPr>
        <w:t>PEUGEOT S.A.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63"/>
        <w:spacing w:after="0"/>
        <w:rPr>
          <w:sz w:val="20"/>
          <w:szCs w:val="20"/>
          <w:color w:val="auto"/>
        </w:rPr>
      </w:pPr>
      <w:r>
        <w:rPr>
          <w:rFonts w:ascii="Arial" w:cs="Arial" w:eastAsia="Arial" w:hAnsi="Arial"/>
          <w:sz w:val="22"/>
          <w:szCs w:val="22"/>
          <w:b w:val="1"/>
          <w:bCs w:val="1"/>
          <w:color w:val="auto"/>
        </w:rPr>
        <w:t>AMENDED AND RESTATED AS OF 19 DECEMBER, 2012</w:t>
      </w:r>
    </w:p>
    <w:p>
      <w:pPr>
        <w:sectPr>
          <w:pgSz w:w="11900" w:h="16838" w:orient="portrait"/>
          <w:cols w:equalWidth="0" w:num="1">
            <w:col w:w="10883"/>
          </w:cols>
          <w:pgMar w:left="777" w:top="337"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81"/>
        </w:trPr>
        <w:tc>
          <w:tcPr>
            <w:tcW w:w="480" w:type="dxa"/>
            <w:vAlign w:val="bottom"/>
          </w:tcPr>
          <w:p>
            <w:pPr>
              <w:spacing w:after="0"/>
              <w:rPr>
                <w:sz w:val="24"/>
                <w:szCs w:val="24"/>
                <w:color w:val="auto"/>
              </w:rPr>
            </w:pPr>
          </w:p>
        </w:tc>
        <w:tc>
          <w:tcPr>
            <w:tcW w:w="8360" w:type="dxa"/>
            <w:vAlign w:val="bottom"/>
          </w:tcPr>
          <w:p>
            <w:pPr>
              <w:ind w:left="3760"/>
              <w:spacing w:after="0"/>
              <w:rPr>
                <w:sz w:val="20"/>
                <w:szCs w:val="20"/>
                <w:color w:val="auto"/>
              </w:rPr>
            </w:pPr>
            <w:r>
              <w:rPr>
                <w:rFonts w:ascii="Arial" w:cs="Arial" w:eastAsia="Arial" w:hAnsi="Arial"/>
                <w:sz w:val="22"/>
                <w:szCs w:val="22"/>
                <w:b w:val="1"/>
                <w:bCs w:val="1"/>
                <w:color w:val="auto"/>
              </w:rPr>
              <w:t>TABLE OF CONTENTS</w:t>
            </w:r>
          </w:p>
        </w:tc>
        <w:tc>
          <w:tcPr>
            <w:tcW w:w="1860" w:type="dxa"/>
            <w:vAlign w:val="bottom"/>
          </w:tcPr>
          <w:p>
            <w:pPr>
              <w:spacing w:after="0"/>
              <w:rPr>
                <w:sz w:val="24"/>
                <w:szCs w:val="24"/>
                <w:color w:val="auto"/>
              </w:rPr>
            </w:pPr>
          </w:p>
        </w:tc>
      </w:tr>
      <w:tr>
        <w:trPr>
          <w:trHeight w:val="662"/>
        </w:trPr>
        <w:tc>
          <w:tcPr>
            <w:tcW w:w="480" w:type="dxa"/>
            <w:vAlign w:val="bottom"/>
          </w:tcPr>
          <w:p>
            <w:pPr>
              <w:spacing w:after="0"/>
              <w:rPr>
                <w:sz w:val="20"/>
                <w:szCs w:val="20"/>
                <w:color w:val="auto"/>
              </w:rPr>
            </w:pPr>
            <w:r>
              <w:rPr>
                <w:rFonts w:ascii="Arial" w:cs="Arial" w:eastAsia="Arial" w:hAnsi="Arial"/>
                <w:sz w:val="22"/>
                <w:szCs w:val="22"/>
                <w:b w:val="1"/>
                <w:bCs w:val="1"/>
                <w:color w:val="auto"/>
              </w:rPr>
              <w:t>1.</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DEFINITIONS AND INTERPRETATION</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2</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2.</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EQUITY SHARE</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2</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3.</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JOINT PRODUCT DEVELOPMENT</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5</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4.</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JOINT PURCHASING</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5</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5.</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LOGISTICS</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6</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6.</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GOVERNANCE OF THE ALLIANCE</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6</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7.</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CONDITIONS</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8</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8.</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COVENANTS</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9</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9.</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CHANGE OF CONTROL</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TERM AND TERMINATION</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14</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11.</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AUDIT</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12.</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COMPLIANCE</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13.</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REPRESTATIONS AND WARRANTIES; FURTHER ASSURANCES</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15</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14.</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MISCELLANEOUS</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16</w:t>
            </w:r>
          </w:p>
        </w:tc>
      </w:tr>
      <w:tr>
        <w:trPr>
          <w:trHeight w:val="297"/>
        </w:trPr>
        <w:tc>
          <w:tcPr>
            <w:tcW w:w="480" w:type="dxa"/>
            <w:vAlign w:val="bottom"/>
          </w:tcPr>
          <w:p>
            <w:pPr>
              <w:spacing w:after="0"/>
              <w:rPr>
                <w:sz w:val="20"/>
                <w:szCs w:val="20"/>
                <w:color w:val="auto"/>
              </w:rPr>
            </w:pPr>
            <w:r>
              <w:rPr>
                <w:rFonts w:ascii="Arial" w:cs="Arial" w:eastAsia="Arial" w:hAnsi="Arial"/>
                <w:sz w:val="22"/>
                <w:szCs w:val="22"/>
                <w:b w:val="1"/>
                <w:bCs w:val="1"/>
                <w:color w:val="auto"/>
              </w:rPr>
              <w:t>15.</w:t>
            </w:r>
          </w:p>
        </w:tc>
        <w:tc>
          <w:tcPr>
            <w:tcW w:w="8360" w:type="dxa"/>
            <w:vAlign w:val="bottom"/>
          </w:tcPr>
          <w:p>
            <w:pPr>
              <w:ind w:left="220"/>
              <w:spacing w:after="0"/>
              <w:rPr>
                <w:sz w:val="20"/>
                <w:szCs w:val="20"/>
                <w:color w:val="auto"/>
              </w:rPr>
            </w:pPr>
            <w:r>
              <w:rPr>
                <w:rFonts w:ascii="Arial" w:cs="Arial" w:eastAsia="Arial" w:hAnsi="Arial"/>
                <w:sz w:val="22"/>
                <w:szCs w:val="22"/>
                <w:b w:val="1"/>
                <w:bCs w:val="1"/>
                <w:color w:val="auto"/>
              </w:rPr>
              <w:t>GOVERNING LAW AND DISPUTE RESOLUTION</w:t>
            </w:r>
          </w:p>
        </w:tc>
        <w:tc>
          <w:tcPr>
            <w:tcW w:w="18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bl>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00"/>
          </w:cols>
          <w:pgMar w:left="560" w:top="126" w:right="639" w:bottom="1440" w:gutter="0" w:footer="0" w:header="0"/>
        </w:sectPr>
      </w:pPr>
    </w:p>
    <w:bookmarkStart w:id="164" w:name="page165"/>
    <w:bookmarkEnd w:id="164"/>
    <w:p>
      <w:pPr>
        <w:ind w:left="3080"/>
        <w:spacing w:after="0"/>
        <w:rPr>
          <w:sz w:val="20"/>
          <w:szCs w:val="20"/>
          <w:color w:val="auto"/>
        </w:rPr>
      </w:pPr>
      <w:r>
        <w:rPr>
          <w:rFonts w:ascii="Arial" w:cs="Arial" w:eastAsia="Arial" w:hAnsi="Arial"/>
          <w:sz w:val="22"/>
          <w:szCs w:val="22"/>
          <w:b w:val="1"/>
          <w:bCs w:val="1"/>
          <w:color w:val="auto"/>
        </w:rPr>
        <w:t>AMENDED AND RESTATED MASTER AGREEMENT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EFFECTIVE as of February 29, 2012,</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54" w:lineRule="exact"/>
        <w:rPr>
          <w:sz w:val="20"/>
          <w:szCs w:val="20"/>
          <w:color w:val="auto"/>
        </w:rPr>
      </w:pPr>
    </w:p>
    <w:p>
      <w:pPr>
        <w:ind w:left="620" w:hanging="612"/>
        <w:spacing w:after="0" w:line="269" w:lineRule="auto"/>
        <w:tabs>
          <w:tab w:leader="none" w:pos="62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General Motors Holdings LLC</w:t>
      </w:r>
      <w:r>
        <w:rPr>
          <w:rFonts w:ascii="Arial" w:cs="Arial" w:eastAsia="Arial" w:hAnsi="Arial"/>
          <w:sz w:val="22"/>
          <w:szCs w:val="22"/>
          <w:color w:val="auto"/>
        </w:rPr>
        <w:t>, a Delaware limited liability company with headquarter at Renaissance Center, Detroit, MI</w:t>
      </w:r>
      <w:r>
        <w:rPr>
          <w:rFonts w:ascii="Arial" w:cs="Arial" w:eastAsia="Arial" w:hAnsi="Arial"/>
          <w:sz w:val="22"/>
          <w:szCs w:val="22"/>
          <w:b w:val="1"/>
          <w:bCs w:val="1"/>
          <w:color w:val="auto"/>
        </w:rPr>
        <w:t xml:space="preserve"> </w:t>
      </w:r>
      <w:r>
        <w:rPr>
          <w:rFonts w:ascii="Arial" w:cs="Arial" w:eastAsia="Arial" w:hAnsi="Arial"/>
          <w:sz w:val="22"/>
          <w:szCs w:val="22"/>
          <w:color w:val="auto"/>
        </w:rPr>
        <w:t>48265, USA (“</w:t>
      </w:r>
      <w:r>
        <w:rPr>
          <w:rFonts w:ascii="Arial" w:cs="Arial" w:eastAsia="Arial" w:hAnsi="Arial"/>
          <w:sz w:val="22"/>
          <w:szCs w:val="22"/>
          <w:b w:val="1"/>
          <w:bCs w:val="1"/>
          <w:color w:val="auto"/>
        </w:rPr>
        <w:t>GMH</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54" w:lineRule="exact"/>
        <w:rPr>
          <w:sz w:val="20"/>
          <w:szCs w:val="20"/>
          <w:color w:val="auto"/>
        </w:rPr>
      </w:pPr>
    </w:p>
    <w:p>
      <w:pPr>
        <w:ind w:left="620" w:hanging="612"/>
        <w:spacing w:after="0"/>
        <w:tabs>
          <w:tab w:leader="none" w:pos="620"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Peugeot S.A</w:t>
      </w:r>
      <w:r>
        <w:rPr>
          <w:rFonts w:ascii="Arial" w:cs="Arial" w:eastAsia="Arial" w:hAnsi="Arial"/>
          <w:sz w:val="19"/>
          <w:szCs w:val="19"/>
          <w:color w:val="auto"/>
        </w:rPr>
        <w:t>., a French</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société anonyme</w:t>
      </w:r>
      <w:r>
        <w:rPr>
          <w:rFonts w:ascii="Arial" w:cs="Arial" w:eastAsia="Arial" w:hAnsi="Arial"/>
          <w:sz w:val="19"/>
          <w:szCs w:val="19"/>
          <w:b w:val="1"/>
          <w:bCs w:val="1"/>
          <w:color w:val="auto"/>
        </w:rPr>
        <w:t xml:space="preserve"> </w:t>
      </w:r>
      <w:r>
        <w:rPr>
          <w:rFonts w:ascii="Arial" w:cs="Arial" w:eastAsia="Arial" w:hAnsi="Arial"/>
          <w:sz w:val="19"/>
          <w:szCs w:val="19"/>
          <w:color w:val="auto"/>
        </w:rPr>
        <w:t>with headquarter at 75 Avenue de la Grande Armée, 75116 Paris, France (“</w:t>
      </w:r>
      <w:r>
        <w:rPr>
          <w:rFonts w:ascii="Arial" w:cs="Arial" w:eastAsia="Arial" w:hAnsi="Arial"/>
          <w:sz w:val="19"/>
          <w:szCs w:val="19"/>
          <w:b w:val="1"/>
          <w:bCs w:val="1"/>
          <w:color w:val="auto"/>
        </w:rPr>
        <w:t>PSA</w:t>
      </w:r>
      <w:r>
        <w:rPr>
          <w:rFonts w:ascii="Arial" w:cs="Arial" w:eastAsia="Arial" w:hAnsi="Arial"/>
          <w:sz w:val="19"/>
          <w:szCs w:val="19"/>
          <w:color w:val="auto"/>
        </w:rPr>
        <w:t>”).</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For the purposes of this Amended and Restated Master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each of GMH and PSA and their respective successors and permitted assigns are referred to as a “</w:t>
      </w:r>
      <w:r>
        <w:rPr>
          <w:rFonts w:ascii="Arial" w:cs="Arial" w:eastAsia="Arial" w:hAnsi="Arial"/>
          <w:sz w:val="22"/>
          <w:szCs w:val="22"/>
          <w:b w:val="1"/>
          <w:bCs w:val="1"/>
          <w:color w:val="auto"/>
        </w:rPr>
        <w:t>Party</w:t>
      </w:r>
      <w:r>
        <w:rPr>
          <w:rFonts w:ascii="Arial" w:cs="Arial" w:eastAsia="Arial" w:hAnsi="Arial"/>
          <w:sz w:val="22"/>
          <w:szCs w:val="22"/>
          <w:color w:val="auto"/>
        </w:rPr>
        <w:t>” and all of the Parties are collectively referred to herein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66" w:lineRule="exact"/>
        <w:rPr>
          <w:sz w:val="20"/>
          <w:szCs w:val="20"/>
          <w:color w:val="auto"/>
        </w:rPr>
      </w:pPr>
    </w:p>
    <w:p>
      <w:pPr>
        <w:ind w:left="660" w:right="20" w:hanging="652"/>
        <w:spacing w:after="0" w:line="263" w:lineRule="auto"/>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On November 10, 2011, the Parties entered into a Memorandum of Understanding concerning the development and production of a low-cost small car for emerging markets.</w:t>
      </w:r>
    </w:p>
    <w:p>
      <w:pPr>
        <w:spacing w:after="0" w:line="215"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Parties share the same strategic intent and now contemplate establishing a global strategic alliance with the objective to have joint access to the best platforms within the scope of the Alliance (as defined below). The Alliance has the objective to share capital expenditure and R&amp;D investments in order to generate substantial savings both in the near term as well as over the long term. The Alliance shall foster the continuous exploration of cooperation and synergy areas, and gradually expand the base of common activities to realize the vast synergy potential available to both Parties.</w:t>
      </w:r>
    </w:p>
    <w:p>
      <w:pPr>
        <w:spacing w:after="0" w:line="187" w:lineRule="exact"/>
        <w:rPr>
          <w:rFonts w:ascii="Arial" w:cs="Arial" w:eastAsia="Arial" w:hAnsi="Arial"/>
          <w:sz w:val="19"/>
          <w:szCs w:val="19"/>
          <w:color w:val="auto"/>
        </w:rPr>
      </w:pPr>
    </w:p>
    <w:p>
      <w:pPr>
        <w:jc w:val="both"/>
        <w:ind w:left="660" w:hanging="652"/>
        <w:spacing w:after="0" w:line="297" w:lineRule="auto"/>
        <w:tabs>
          <w:tab w:leader="none" w:pos="6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This Agreement contemplates (a) the sharing and joint development of certain platforms and modules, (b) the creation of a joint global purchasing organization, fully leveraging joint expertise, purchasing power of combined volumes and joint platforms and modules, and (c) a commercial cooperation between GMH and Gefco for the logistics services needs of GMH in certain regions, all in connection with the acquisition by GMH of an equity share in PSA. Possible future steps towards a further convergence of certain operations of GMH and PSA or their Affiliates might be explored in the future.</w:t>
      </w:r>
    </w:p>
    <w:p>
      <w:pPr>
        <w:spacing w:after="0" w:line="187" w:lineRule="exact"/>
        <w:rPr>
          <w:rFonts w:ascii="Arial" w:cs="Arial" w:eastAsia="Arial" w:hAnsi="Arial"/>
          <w:sz w:val="19"/>
          <w:szCs w:val="19"/>
          <w:color w:val="auto"/>
        </w:rPr>
      </w:pPr>
    </w:p>
    <w:p>
      <w:pPr>
        <w:ind w:left="660" w:right="20" w:hanging="652"/>
        <w:spacing w:after="0" w:line="263" w:lineRule="auto"/>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This Agreement sets forth the basis of the Alliance, of the Equity Investment (as defined below), and the basis on which the Parties will negotiate and finalize the complete Ancillary Agreements governing the Alliance.</w:t>
      </w:r>
    </w:p>
    <w:p>
      <w:pPr>
        <w:spacing w:after="0" w:line="21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Parties are simultaneously herewith on the date hereof executing the Development Agreement and the Purchasing Agreement. The Logistics Agreement was executed on June 29, 2012.</w:t>
      </w:r>
    </w:p>
    <w:p>
      <w:pPr>
        <w:spacing w:after="0" w:line="21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This Agreement amends and supersedes the Master Agreement signed by the Parties on February 29, 2012, including Amendment 1 signed by the Parties on May 9, 2012.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IT IS AGREED AS FOLLOWS:</w:t>
      </w:r>
    </w:p>
    <w:p>
      <w:pPr>
        <w:spacing w:after="0" w:line="254" w:lineRule="exact"/>
        <w:rPr>
          <w:sz w:val="20"/>
          <w:szCs w:val="20"/>
          <w:color w:val="auto"/>
        </w:rPr>
      </w:pPr>
    </w:p>
    <w:p>
      <w:pPr>
        <w:ind w:left="820" w:hanging="488"/>
        <w:spacing w:after="0"/>
        <w:tabs>
          <w:tab w:leader="none" w:pos="8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66" w:lineRule="exact"/>
        <w:rPr>
          <w:rFonts w:ascii="Arial" w:cs="Arial" w:eastAsia="Arial" w:hAnsi="Arial"/>
          <w:sz w:val="22"/>
          <w:szCs w:val="22"/>
          <w:b w:val="1"/>
          <w:bCs w:val="1"/>
          <w:color w:val="auto"/>
        </w:rPr>
      </w:pPr>
    </w:p>
    <w:p>
      <w:pPr>
        <w:jc w:val="both"/>
        <w:ind w:left="82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 xml:space="preserve">For purposes of this Agreement, capitalized terms and certain expressions shall have the meanings set forth in </w:t>
      </w:r>
      <w:r>
        <w:rPr>
          <w:rFonts w:ascii="Arial" w:cs="Arial" w:eastAsia="Arial" w:hAnsi="Arial"/>
          <w:sz w:val="22"/>
          <w:szCs w:val="22"/>
          <w:u w:val="single" w:color="auto"/>
          <w:color w:val="auto"/>
        </w:rPr>
        <w:t>Exhibit 1</w:t>
      </w:r>
      <w:r>
        <w:rPr>
          <w:rFonts w:ascii="Arial" w:cs="Arial" w:eastAsia="Arial" w:hAnsi="Arial"/>
          <w:sz w:val="22"/>
          <w:szCs w:val="22"/>
          <w:color w:val="auto"/>
        </w:rPr>
        <w:t>. For purposes of determining the date of any anniversary hereof, this agreement shall be deemed to have been signed on the last day of February.</w:t>
      </w:r>
    </w:p>
    <w:p>
      <w:pPr>
        <w:spacing w:after="0" w:line="220" w:lineRule="exact"/>
        <w:rPr>
          <w:rFonts w:ascii="Arial" w:cs="Arial" w:eastAsia="Arial" w:hAnsi="Arial"/>
          <w:sz w:val="22"/>
          <w:szCs w:val="22"/>
          <w:b w:val="1"/>
          <w:bCs w:val="1"/>
          <w:color w:val="auto"/>
        </w:rPr>
      </w:pPr>
    </w:p>
    <w:p>
      <w:pPr>
        <w:ind w:left="820" w:hanging="488"/>
        <w:spacing w:after="0"/>
        <w:tabs>
          <w:tab w:leader="none" w:pos="8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EQUITY SHARE</w:t>
      </w:r>
    </w:p>
    <w:p>
      <w:pPr>
        <w:spacing w:after="0" w:line="26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Rights Issue and Share Purchase</w:t>
      </w:r>
    </w:p>
    <w:p>
      <w:pPr>
        <w:spacing w:after="0" w:line="266" w:lineRule="exact"/>
        <w:rPr>
          <w:sz w:val="20"/>
          <w:szCs w:val="20"/>
          <w:color w:val="auto"/>
        </w:rPr>
      </w:pPr>
    </w:p>
    <w:p>
      <w:pPr>
        <w:jc w:val="both"/>
        <w:ind w:left="820"/>
        <w:spacing w:after="0" w:line="288" w:lineRule="auto"/>
        <w:rPr>
          <w:sz w:val="20"/>
          <w:szCs w:val="20"/>
          <w:color w:val="auto"/>
        </w:rPr>
      </w:pPr>
      <w:r>
        <w:rPr>
          <w:rFonts w:ascii="Arial" w:cs="Arial" w:eastAsia="Arial" w:hAnsi="Arial"/>
          <w:sz w:val="19"/>
          <w:szCs w:val="19"/>
          <w:color w:val="auto"/>
        </w:rPr>
        <w:t>Concurrently with the execution of this Agreement and following the approval by the Supervisory Board and Management Board of PSA, PSA has executed an agreement with a syndicate of banks concerning the full (net of subscription undertakings by FFP, EPF and GMH) underwriting of a capital increase of PSA, in an amount of €1,000,000,000 (one billion) (the “</w:t>
      </w:r>
      <w:r>
        <w:rPr>
          <w:rFonts w:ascii="Arial" w:cs="Arial" w:eastAsia="Arial" w:hAnsi="Arial"/>
          <w:sz w:val="19"/>
          <w:szCs w:val="19"/>
          <w:b w:val="1"/>
          <w:bCs w:val="1"/>
          <w:color w:val="auto"/>
        </w:rPr>
        <w:t>Rights Issue</w:t>
      </w:r>
      <w:r>
        <w:rPr>
          <w:rFonts w:ascii="Arial" w:cs="Arial" w:eastAsia="Arial" w:hAnsi="Arial"/>
          <w:sz w:val="19"/>
          <w:szCs w:val="19"/>
          <w:color w:val="auto"/>
        </w:rPr>
        <w:t>”). Concurrently with the execution of this Agreement and following the approval by the board of directors of GMH, GMH has executed (i) an agreement with FFP and EPF (the “</w:t>
      </w:r>
      <w:r>
        <w:rPr>
          <w:rFonts w:ascii="Arial" w:cs="Arial" w:eastAsia="Arial" w:hAnsi="Arial"/>
          <w:sz w:val="19"/>
          <w:szCs w:val="19"/>
          <w:b w:val="1"/>
          <w:bCs w:val="1"/>
          <w:color w:val="auto"/>
        </w:rPr>
        <w:t>Rights</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 Agreement</w:t>
      </w:r>
      <w:r>
        <w:rPr>
          <w:rFonts w:ascii="Arial" w:cs="Arial" w:eastAsia="Arial" w:hAnsi="Arial"/>
          <w:sz w:val="19"/>
          <w:szCs w:val="19"/>
          <w:color w:val="auto"/>
        </w:rPr>
        <w:t>”) for the purchase by GMH (or an Authorized GMH Affiliate) of preferential subscription rights on</w:t>
      </w:r>
      <w:r>
        <w:rPr>
          <w:rFonts w:ascii="Arial" w:cs="Arial" w:eastAsia="Arial" w:hAnsi="Arial"/>
          <w:sz w:val="19"/>
          <w:szCs w:val="19"/>
          <w:b w:val="1"/>
          <w:bCs w:val="1"/>
          <w:color w:val="auto"/>
        </w:rPr>
        <w:t xml:space="preserve"> </w:t>
      </w:r>
      <w:r>
        <w:rPr>
          <w:rFonts w:ascii="Arial" w:cs="Arial" w:eastAsia="Arial" w:hAnsi="Arial"/>
          <w:sz w:val="19"/>
          <w:szCs w:val="19"/>
          <w:color w:val="auto"/>
        </w:rPr>
        <w:t>new shares of PSA permitting the subscription by GMH (or such Authorized GMH Affiliate) for new shares of PSA resulting from the Rights Issue and (ii) an agreement with PSA (the “</w:t>
      </w:r>
      <w:r>
        <w:rPr>
          <w:rFonts w:ascii="Arial" w:cs="Arial" w:eastAsia="Arial" w:hAnsi="Arial"/>
          <w:sz w:val="19"/>
          <w:szCs w:val="19"/>
          <w:b w:val="1"/>
          <w:bCs w:val="1"/>
          <w:color w:val="auto"/>
        </w:rPr>
        <w:t>Share Purchase Agreement</w:t>
      </w:r>
      <w:r>
        <w:rPr>
          <w:rFonts w:ascii="Arial" w:cs="Arial" w:eastAsia="Arial" w:hAnsi="Arial"/>
          <w:sz w:val="19"/>
          <w:szCs w:val="19"/>
          <w:color w:val="auto"/>
        </w:rPr>
        <w:t>”) for the purchase by GMH (or an Authorized GMH Affiliate) of shares of PSA, as a result of which GMH will own 7% of PSA’s issued share capital. The parties to the Rights Purchase Agreement shall declare, and the Parties hereto declare, that they will not act in concert with respect to PSA and shall act according to such declaration.</w:t>
      </w:r>
    </w:p>
    <w:p>
      <w:pPr>
        <w:spacing w:after="0" w:line="200" w:lineRule="exact"/>
        <w:rPr>
          <w:sz w:val="20"/>
          <w:szCs w:val="20"/>
          <w:color w:val="auto"/>
        </w:rPr>
      </w:pPr>
    </w:p>
    <w:p>
      <w:pPr>
        <w:spacing w:after="0" w:line="25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Standstill</w:t>
      </w:r>
    </w:p>
    <w:p>
      <w:pPr>
        <w:spacing w:after="0" w:line="266" w:lineRule="exact"/>
        <w:rPr>
          <w:sz w:val="20"/>
          <w:szCs w:val="20"/>
          <w:color w:val="auto"/>
        </w:rPr>
      </w:pPr>
    </w:p>
    <w:p>
      <w:pPr>
        <w:jc w:val="both"/>
        <w:ind w:left="1540" w:hanging="728"/>
        <w:spacing w:after="0" w:line="290" w:lineRule="auto"/>
        <w:tabs>
          <w:tab w:leader="none" w:pos="152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As from February 29, 2012 until the date which is the later of (i) June 30, 2013 (in the event this Agreement is terminated by either Party in accordance with Section 8.1.5) and (ii) the date on which this Agreement expires or is terminated for any other reason (other than by PSA as a result of a Fundamental Breach by GMH)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the Agreement and the Alliance are terminated in accordance with Section 8.7 the obligations set forth in this Section 2.2 shall continue to apply for a period of twelve (12) months after the date of such termination, and in the event this Agreement is terminated by PSA as a result of a Fundamental Breach by GMH, such obligations shall continue to apply until the date on which the Agreement would have expired), GMH and its Affiliates shall not, directly or indirectly or in concert with a third party:</w:t>
      </w:r>
    </w:p>
    <w:p>
      <w:pPr>
        <w:spacing w:after="0" w:line="197" w:lineRule="exact"/>
        <w:rPr>
          <w:sz w:val="20"/>
          <w:szCs w:val="20"/>
          <w:color w:val="auto"/>
        </w:rPr>
      </w:pPr>
    </w:p>
    <w:p>
      <w:pPr>
        <w:jc w:val="both"/>
        <w:ind w:left="2440" w:hanging="528"/>
        <w:spacing w:after="0" w:line="250" w:lineRule="auto"/>
        <w:tabs>
          <w:tab w:leader="none" w:pos="24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acquire or offer or agree to acquire by purchase or otherwise, any shares or securities (including derivatives) giving an economic interest (including for the avoidance of doubt cash-settled instruments) in shares or securities or direct or indirect rights to acquire, any shares or securities of PSA or any of its successors;</w:t>
      </w:r>
    </w:p>
    <w:p>
      <w:pPr>
        <w:spacing w:after="0" w:line="228" w:lineRule="exact"/>
        <w:rPr>
          <w:rFonts w:ascii="Arial" w:cs="Arial" w:eastAsia="Arial" w:hAnsi="Arial"/>
          <w:sz w:val="22"/>
          <w:szCs w:val="22"/>
          <w:color w:val="auto"/>
        </w:rPr>
      </w:pPr>
    </w:p>
    <w:p>
      <w:pPr>
        <w:jc w:val="both"/>
        <w:ind w:left="2440" w:hanging="528"/>
        <w:spacing w:after="0" w:line="250" w:lineRule="auto"/>
        <w:tabs>
          <w:tab w:leader="none" w:pos="24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seek or propose to influence or control the management or policies of PSA, make or in any way participate, in any solicitation of </w:t>
      </w:r>
      <w:r>
        <w:rPr>
          <w:rFonts w:ascii="Arial" w:cs="Arial" w:eastAsia="Arial" w:hAnsi="Arial"/>
          <w:sz w:val="22"/>
          <w:szCs w:val="22"/>
          <w:i w:val="1"/>
          <w:iCs w:val="1"/>
          <w:color w:val="auto"/>
        </w:rPr>
        <w:t>procurations</w:t>
      </w:r>
      <w:r>
        <w:rPr>
          <w:rFonts w:ascii="Arial" w:cs="Arial" w:eastAsia="Arial" w:hAnsi="Arial"/>
          <w:sz w:val="22"/>
          <w:szCs w:val="22"/>
          <w:color w:val="auto"/>
        </w:rPr>
        <w:t xml:space="preserve"> (notably any “solicitation” of “proxies”) to vote any shares thereof, or seek to advise, direct or influence any person or entity with respect to the voting of any shares of PSA;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66" w:name="page167"/>
    <w:bookmarkEnd w:id="166"/>
    <w:p>
      <w:pPr>
        <w:jc w:val="both"/>
        <w:ind w:left="1540" w:hanging="528"/>
        <w:spacing w:after="0" w:line="250" w:lineRule="auto"/>
        <w:tabs>
          <w:tab w:leader="none" w:pos="15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publicly announce or cause another person to publicly announce a tender offer for any shares of PSA or any business combination or extraordinary transaction involving PSA or any of its Affiliates or any of their securities or assets unless expressly agreed in writing by PSA following the procedure set forth in Section 2.2.4;</w:t>
      </w:r>
    </w:p>
    <w:p>
      <w:pPr>
        <w:spacing w:after="0" w:line="228" w:lineRule="exact"/>
        <w:rPr>
          <w:rFonts w:ascii="Arial" w:cs="Arial" w:eastAsia="Arial" w:hAnsi="Arial"/>
          <w:sz w:val="22"/>
          <w:szCs w:val="22"/>
          <w:color w:val="auto"/>
        </w:rPr>
      </w:pPr>
    </w:p>
    <w:p>
      <w:pPr>
        <w:ind w:left="1540" w:hanging="528"/>
        <w:spacing w:after="0" w:line="263" w:lineRule="auto"/>
        <w:tabs>
          <w:tab w:leader="none" w:pos="15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seek representation on the Supervisory Board or Management Board of PSA or a change in the composition or size of the Supervisory Board or Management Board of PSA;</w:t>
      </w:r>
    </w:p>
    <w:p>
      <w:pPr>
        <w:spacing w:after="0" w:line="215" w:lineRule="exact"/>
        <w:rPr>
          <w:rFonts w:ascii="Arial" w:cs="Arial" w:eastAsia="Arial" w:hAnsi="Arial"/>
          <w:sz w:val="22"/>
          <w:szCs w:val="22"/>
          <w:color w:val="auto"/>
        </w:rPr>
      </w:pPr>
    </w:p>
    <w:p>
      <w:pPr>
        <w:ind w:left="1540" w:right="20" w:hanging="528"/>
        <w:spacing w:after="0" w:line="263" w:lineRule="auto"/>
        <w:tabs>
          <w:tab w:leader="none" w:pos="15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make any shareholder proposal to require that a matter be included in the proxy statement (</w:t>
      </w:r>
      <w:r>
        <w:rPr>
          <w:rFonts w:ascii="Arial" w:cs="Arial" w:eastAsia="Arial" w:hAnsi="Arial"/>
          <w:sz w:val="22"/>
          <w:szCs w:val="22"/>
          <w:i w:val="1"/>
          <w:iCs w:val="1"/>
          <w:color w:val="auto"/>
        </w:rPr>
        <w:t>avis de</w:t>
      </w:r>
      <w:r>
        <w:rPr>
          <w:rFonts w:ascii="Arial" w:cs="Arial" w:eastAsia="Arial" w:hAnsi="Arial"/>
          <w:sz w:val="22"/>
          <w:szCs w:val="22"/>
          <w:color w:val="auto"/>
        </w:rPr>
        <w:t xml:space="preserve"> </w:t>
      </w:r>
      <w:r>
        <w:rPr>
          <w:rFonts w:ascii="Arial" w:cs="Arial" w:eastAsia="Arial" w:hAnsi="Arial"/>
          <w:sz w:val="22"/>
          <w:szCs w:val="22"/>
          <w:i w:val="1"/>
          <w:iCs w:val="1"/>
          <w:color w:val="auto"/>
        </w:rPr>
        <w:t>convocation</w:t>
      </w:r>
      <w:r>
        <w:rPr>
          <w:rFonts w:ascii="Arial" w:cs="Arial" w:eastAsia="Arial" w:hAnsi="Arial"/>
          <w:sz w:val="22"/>
          <w:szCs w:val="22"/>
          <w:color w:val="auto"/>
        </w:rPr>
        <w:t>) relating to any shareholders’ meetings of PSA; or</w:t>
      </w:r>
    </w:p>
    <w:p>
      <w:pPr>
        <w:spacing w:after="0" w:line="215" w:lineRule="exact"/>
        <w:rPr>
          <w:rFonts w:ascii="Arial" w:cs="Arial" w:eastAsia="Arial" w:hAnsi="Arial"/>
          <w:sz w:val="22"/>
          <w:szCs w:val="22"/>
          <w:color w:val="auto"/>
        </w:rPr>
      </w:pPr>
    </w:p>
    <w:p>
      <w:pPr>
        <w:ind w:left="1540" w:hanging="528"/>
        <w:spacing w:after="0" w:line="263" w:lineRule="auto"/>
        <w:tabs>
          <w:tab w:leader="none" w:pos="15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enter into any discussions, negotiations, arrangements or understandings with any third party with respect to any of the foregoing.</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2.2.2 Notwithstanding the foregoing:</w:t>
      </w:r>
    </w:p>
    <w:p>
      <w:pPr>
        <w:spacing w:after="0" w:line="260" w:lineRule="exact"/>
        <w:rPr>
          <w:sz w:val="20"/>
          <w:szCs w:val="20"/>
          <w:color w:val="auto"/>
        </w:rPr>
      </w:pPr>
    </w:p>
    <w:p>
      <w:pPr>
        <w:jc w:val="both"/>
        <w:ind w:left="1540" w:hanging="528"/>
        <w:spacing w:after="0" w:line="259" w:lineRule="auto"/>
        <w:tabs>
          <w:tab w:leader="none" w:pos="1540" w:val="left"/>
        </w:tabs>
        <w:numPr>
          <w:ilvl w:val="0"/>
          <w:numId w:val="81"/>
        </w:numPr>
        <w:rPr>
          <w:rFonts w:ascii="Arial" w:cs="Arial" w:eastAsia="Arial" w:hAnsi="Arial"/>
          <w:sz w:val="21"/>
          <w:szCs w:val="21"/>
          <w:color w:val="auto"/>
        </w:rPr>
      </w:pPr>
      <w:r>
        <w:rPr>
          <w:rFonts w:ascii="Arial" w:cs="Arial" w:eastAsia="Arial" w:hAnsi="Arial"/>
          <w:sz w:val="21"/>
          <w:szCs w:val="21"/>
          <w:color w:val="auto"/>
        </w:rPr>
        <w:t>GMH (or an Authorized GMH Affiliate) shall be authorized to acquire or subscribe (including pursuant to the exercise of the rights purchased under the Rights Purchase Agreement and the acquisition of shares under the Share Purchase Agreement directly or indirectly shares or securities of PSA provided that the aggregate number of shares (including shares underlying any securities) owned by GMH (together with any person acting in concert therewith) represents, at all times, not more than 7% of the issued share capital of PSA (it being provided that such percentage shall be adjusted upwards to reflect the effect of any decrease in the capital of PSA after the date of settlement and delivery under the Rights Issue);</w:t>
      </w:r>
    </w:p>
    <w:p>
      <w:pPr>
        <w:spacing w:after="0" w:line="224" w:lineRule="exact"/>
        <w:rPr>
          <w:rFonts w:ascii="Arial" w:cs="Arial" w:eastAsia="Arial" w:hAnsi="Arial"/>
          <w:sz w:val="21"/>
          <w:szCs w:val="21"/>
          <w:color w:val="auto"/>
        </w:rPr>
      </w:pPr>
    </w:p>
    <w:p>
      <w:pPr>
        <w:jc w:val="both"/>
        <w:ind w:left="1540" w:hanging="528"/>
        <w:spacing w:after="0" w:line="258" w:lineRule="auto"/>
        <w:tabs>
          <w:tab w:leader="none" w:pos="1540"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 the event any third party (excluding for the avoidance of doubt the Peugeot Family (or any person acting in concert with GMH or pursuant to an agreement with or at the invitation of GMH) acquires shares of PSA such that such third party (together with any person acting in concert therewith) owns a percentage shareholding (economic interest) in PSA which is higher than the percentage shareholding (economic interest) in PSA held by GMH (together with any person acting in concert therewith), GMH (or an Authorized GMH Affiliate) shall be authorized to purchase additional shares or securities of PSA such that the aggregate number of shares owned by GMH (together with any person acting in concert therewith) represents a percentage not more than the next whole percentage point above the percentage shareholding (in number of shares) held by such third party (together with any person acting in concert therewith); and</w:t>
      </w:r>
    </w:p>
    <w:p>
      <w:pPr>
        <w:spacing w:after="0" w:line="226" w:lineRule="exact"/>
        <w:rPr>
          <w:rFonts w:ascii="Arial" w:cs="Arial" w:eastAsia="Arial" w:hAnsi="Arial"/>
          <w:sz w:val="21"/>
          <w:szCs w:val="21"/>
          <w:color w:val="auto"/>
        </w:rPr>
      </w:pPr>
    </w:p>
    <w:p>
      <w:pPr>
        <w:jc w:val="both"/>
        <w:ind w:left="1540" w:hanging="528"/>
        <w:spacing w:after="0" w:line="302" w:lineRule="auto"/>
        <w:tabs>
          <w:tab w:leader="none" w:pos="1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for the avoidance of doubt, nothing in Section 2.2.1 shall prevent any actions by GMH (or an Authorized GMH Affiliate) (i) to enforce its rights as a shareholder of PSA in respect of any breach of fiduciary duty by any member of the PSA Supervisory Board or Management Board, (ii) to enforce its rights under this Agreement or any Ancillary Agreements, (iii) to vote in its best interest on</w:t>
      </w:r>
    </w:p>
    <w:p>
      <w:pPr>
        <w:spacing w:after="0" w:line="1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1140" w:top="631" w:right="239" w:bottom="1440" w:gutter="0" w:footer="0" w:header="0"/>
        </w:sectPr>
      </w:pPr>
    </w:p>
    <w:bookmarkStart w:id="167" w:name="page168"/>
    <w:bookmarkEnd w:id="167"/>
    <w:p>
      <w:pPr>
        <w:ind w:left="2100"/>
        <w:spacing w:after="0"/>
        <w:rPr>
          <w:sz w:val="20"/>
          <w:szCs w:val="20"/>
          <w:color w:val="auto"/>
        </w:rPr>
      </w:pPr>
      <w:r>
        <w:rPr>
          <w:rFonts w:ascii="Arial" w:cs="Arial" w:eastAsia="Arial" w:hAnsi="Arial"/>
          <w:sz w:val="22"/>
          <w:szCs w:val="22"/>
          <w:color w:val="auto"/>
        </w:rPr>
        <w:t>resolutions presented to the PSA shareholders or (iv) to act as a competitor of PSA.</w:t>
      </w:r>
    </w:p>
    <w:p>
      <w:pPr>
        <w:spacing w:after="0" w:line="260"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The obligations set forth in Section 2.2.1 shall early terminate:</w:t>
      </w:r>
    </w:p>
    <w:p>
      <w:pPr>
        <w:spacing w:after="0" w:line="260" w:lineRule="exact"/>
        <w:rPr>
          <w:sz w:val="20"/>
          <w:szCs w:val="20"/>
          <w:color w:val="auto"/>
        </w:rPr>
      </w:pPr>
    </w:p>
    <w:p>
      <w:pPr>
        <w:jc w:val="both"/>
        <w:ind w:left="2220" w:hanging="648"/>
        <w:spacing w:after="0" w:line="253" w:lineRule="auto"/>
        <w:tabs>
          <w:tab w:leader="none" w:pos="22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a Competitor (together with any person (other than GMH or any Affiliate thereof) acting in concert therewith) owns, directly or indirectly, shares of PSA representing 10% or more of the issued share capital of PSA;</w:t>
      </w:r>
    </w:p>
    <w:p>
      <w:pPr>
        <w:spacing w:after="0" w:line="226" w:lineRule="exact"/>
        <w:rPr>
          <w:rFonts w:ascii="Arial" w:cs="Arial" w:eastAsia="Arial" w:hAnsi="Arial"/>
          <w:sz w:val="22"/>
          <w:szCs w:val="22"/>
          <w:color w:val="auto"/>
        </w:rPr>
      </w:pPr>
    </w:p>
    <w:p>
      <w:pPr>
        <w:jc w:val="both"/>
        <w:ind w:left="2220" w:hanging="648"/>
        <w:spacing w:after="0" w:line="250" w:lineRule="auto"/>
        <w:tabs>
          <w:tab w:leader="none" w:pos="22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if a Competitor (together with any person (other than GMH or any Affiliate thereof) acting in concert therewith) owns, directly or indirectly, shares of PSA representing 5% or more of the issued share capital of PSA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the shares of PSA held by the Peugeot Family directly or indirectly is less than 15% of the issued share capital of PSA;</w:t>
      </w:r>
    </w:p>
    <w:p>
      <w:pPr>
        <w:spacing w:after="0" w:line="228" w:lineRule="exact"/>
        <w:rPr>
          <w:rFonts w:ascii="Arial" w:cs="Arial" w:eastAsia="Arial" w:hAnsi="Arial"/>
          <w:sz w:val="22"/>
          <w:szCs w:val="22"/>
          <w:color w:val="auto"/>
        </w:rPr>
      </w:pPr>
    </w:p>
    <w:p>
      <w:pPr>
        <w:jc w:val="both"/>
        <w:ind w:left="2220" w:hanging="648"/>
        <w:spacing w:after="0" w:line="302" w:lineRule="auto"/>
        <w:tabs>
          <w:tab w:leader="none" w:pos="22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a Competitor (together with any person (other than GMH or any Affiliate thereof) acting in concert therewith) owns, directly or indirectly, shares of PSA representing 3% or more of the issued share capital of PSA if such investment by such Competitor in the share capital of PSA is made pursuant to an agreement with PSA or the Peugeot Family or at the invitation of PSA or the Peugeot Family;</w:t>
      </w:r>
    </w:p>
    <w:p>
      <w:pPr>
        <w:spacing w:after="0" w:line="183" w:lineRule="exact"/>
        <w:rPr>
          <w:rFonts w:ascii="Arial" w:cs="Arial" w:eastAsia="Arial" w:hAnsi="Arial"/>
          <w:sz w:val="19"/>
          <w:szCs w:val="19"/>
          <w:color w:val="auto"/>
        </w:rPr>
      </w:pPr>
    </w:p>
    <w:p>
      <w:pPr>
        <w:jc w:val="both"/>
        <w:ind w:left="2220" w:hanging="648"/>
        <w:spacing w:after="0" w:line="302" w:lineRule="auto"/>
        <w:tabs>
          <w:tab w:leader="none" w:pos="22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the shares of PSA held by the Peugeot Family directly or indirectly are less than 15% of the issued share capital of PSA, excluding any decrease in such shareholding that results from dilution (i.e., from any capital increase with preferential subscription rights which are not fully subscribed by the Peugeot Family) occurring any time after the date of settlement and delivery under the Rights Issue;</w:t>
      </w:r>
    </w:p>
    <w:p>
      <w:pPr>
        <w:spacing w:after="0" w:line="183" w:lineRule="exact"/>
        <w:rPr>
          <w:rFonts w:ascii="Arial" w:cs="Arial" w:eastAsia="Arial" w:hAnsi="Arial"/>
          <w:sz w:val="19"/>
          <w:szCs w:val="19"/>
          <w:color w:val="auto"/>
        </w:rPr>
      </w:pPr>
    </w:p>
    <w:p>
      <w:pPr>
        <w:jc w:val="both"/>
        <w:ind w:left="2220" w:hanging="648"/>
        <w:spacing w:after="0" w:line="253" w:lineRule="auto"/>
        <w:tabs>
          <w:tab w:leader="none" w:pos="22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if any third party (alone or in concert with any other person (other than GMH or any of its Affiliates)) shall have filed a voluntary or mandatory tender offer on the securities of PSA which shall have been cleared by the </w:t>
      </w:r>
      <w:r>
        <w:rPr>
          <w:rFonts w:ascii="Arial" w:cs="Arial" w:eastAsia="Arial" w:hAnsi="Arial"/>
          <w:sz w:val="22"/>
          <w:szCs w:val="22"/>
          <w:i w:val="1"/>
          <w:iCs w:val="1"/>
          <w:color w:val="auto"/>
        </w:rPr>
        <w:t>Autorité des marchés financiers</w:t>
      </w:r>
      <w:r>
        <w:rPr>
          <w:rFonts w:ascii="Arial" w:cs="Arial" w:eastAsia="Arial" w:hAnsi="Arial"/>
          <w:sz w:val="22"/>
          <w:szCs w:val="22"/>
          <w:color w:val="auto"/>
        </w:rPr>
        <w:t xml:space="preserve"> (the “</w:t>
      </w:r>
      <w:r>
        <w:rPr>
          <w:rFonts w:ascii="Arial" w:cs="Arial" w:eastAsia="Arial" w:hAnsi="Arial"/>
          <w:sz w:val="22"/>
          <w:szCs w:val="22"/>
          <w:b w:val="1"/>
          <w:bCs w:val="1"/>
          <w:color w:val="auto"/>
        </w:rPr>
        <w:t>AMF</w:t>
      </w:r>
      <w:r>
        <w:rPr>
          <w:rFonts w:ascii="Arial" w:cs="Arial" w:eastAsia="Arial" w:hAnsi="Arial"/>
          <w:sz w:val="22"/>
          <w:szCs w:val="22"/>
          <w:color w:val="auto"/>
        </w:rPr>
        <w:t>”); or</w:t>
      </w:r>
    </w:p>
    <w:p>
      <w:pPr>
        <w:spacing w:after="0" w:line="226" w:lineRule="exact"/>
        <w:rPr>
          <w:rFonts w:ascii="Arial" w:cs="Arial" w:eastAsia="Arial" w:hAnsi="Arial"/>
          <w:sz w:val="22"/>
          <w:szCs w:val="22"/>
          <w:color w:val="auto"/>
        </w:rPr>
      </w:pPr>
    </w:p>
    <w:p>
      <w:pPr>
        <w:ind w:left="2220" w:hanging="648"/>
        <w:spacing w:after="0"/>
        <w:tabs>
          <w:tab w:leader="none" w:pos="22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an Insolvency Event shall have occurred.</w:t>
      </w:r>
    </w:p>
    <w:p>
      <w:pPr>
        <w:spacing w:after="0" w:line="260" w:lineRule="exact"/>
        <w:rPr>
          <w:sz w:val="20"/>
          <w:szCs w:val="20"/>
          <w:color w:val="auto"/>
        </w:rPr>
      </w:pPr>
    </w:p>
    <w:p>
      <w:pPr>
        <w:jc w:val="both"/>
        <w:ind w:left="1120" w:right="20" w:hanging="647"/>
        <w:spacing w:after="0" w:line="263" w:lineRule="auto"/>
        <w:tabs>
          <w:tab w:leader="none" w:pos="1100" w:val="left"/>
        </w:tabs>
        <w:rPr>
          <w:sz w:val="20"/>
          <w:szCs w:val="20"/>
          <w:color w:val="auto"/>
        </w:rPr>
      </w:pPr>
      <w:r>
        <w:rPr>
          <w:rFonts w:ascii="Arial" w:cs="Arial" w:eastAsia="Arial" w:hAnsi="Arial"/>
          <w:sz w:val="22"/>
          <w:szCs w:val="22"/>
          <w:color w:val="auto"/>
        </w:rPr>
        <w:t>2.2.4</w:t>
        <w:tab/>
        <w:t>No waiver of this Section 2.2 may be granted without the written consent of PSA, which consent shall only be valid following the approval of the Supervisory Board and the Management Board of PSA.</w:t>
      </w:r>
    </w:p>
    <w:p>
      <w:pPr>
        <w:spacing w:after="0" w:line="20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Lock-Up</w:t>
      </w:r>
    </w:p>
    <w:p>
      <w:pPr>
        <w:spacing w:after="0" w:line="260" w:lineRule="exact"/>
        <w:rPr>
          <w:sz w:val="20"/>
          <w:szCs w:val="20"/>
          <w:color w:val="auto"/>
        </w:rPr>
      </w:pPr>
    </w:p>
    <w:p>
      <w:pPr>
        <w:jc w:val="both"/>
        <w:ind w:left="1120" w:hanging="647"/>
        <w:spacing w:after="0" w:line="290" w:lineRule="auto"/>
        <w:tabs>
          <w:tab w:leader="none" w:pos="11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As from February 29, 2012 until the date which is 90 days after February 29, 2012 (the “</w:t>
      </w:r>
      <w:r>
        <w:rPr>
          <w:rFonts w:ascii="Arial" w:cs="Arial" w:eastAsia="Arial" w:hAnsi="Arial"/>
          <w:sz w:val="19"/>
          <w:szCs w:val="19"/>
          <w:b w:val="1"/>
          <w:bCs w:val="1"/>
          <w:color w:val="auto"/>
        </w:rPr>
        <w:t>Lock-Up Period</w:t>
      </w:r>
      <w:r>
        <w:rPr>
          <w:rFonts w:ascii="Arial" w:cs="Arial" w:eastAsia="Arial" w:hAnsi="Arial"/>
          <w:sz w:val="19"/>
          <w:szCs w:val="19"/>
          <w:color w:val="auto"/>
        </w:rPr>
        <w:t>”), neither GMH (nor the Authorized GMH Affiliate if relevant) shall directly or indirectly transfer title to the Shares, grant any right or promise to, enter into any agreement or undertaking with, a third party or announce its intention</w:t>
      </w:r>
    </w:p>
    <w:p>
      <w:pPr>
        <w:spacing w:after="0" w:line="2" w:lineRule="exact"/>
        <w:rPr>
          <w:sz w:val="20"/>
          <w:szCs w:val="20"/>
          <w:color w:val="auto"/>
        </w:rPr>
      </w:pPr>
    </w:p>
    <w:p>
      <w:pPr>
        <w:jc w:val="both"/>
        <w:ind w:left="1120" w:firstLine="7"/>
        <w:spacing w:after="0" w:line="245" w:lineRule="auto"/>
        <w:tabs>
          <w:tab w:leader="none" w:pos="1383"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to transfer the ownership of, or rights in, the Shares (including securities lending, hedging, equity swaps or any other derivative) or (ii) affecting the exercise of any right attached to the Shares (in particular through a </w:t>
      </w:r>
      <w:r>
        <w:rPr>
          <w:rFonts w:ascii="Arial" w:cs="Arial" w:eastAsia="Arial" w:hAnsi="Arial"/>
          <w:sz w:val="22"/>
          <w:szCs w:val="22"/>
          <w:i w:val="1"/>
          <w:iCs w:val="1"/>
          <w:color w:val="auto"/>
        </w:rPr>
        <w:t>fiducie</w:t>
      </w:r>
      <w:r>
        <w:rPr>
          <w:rFonts w:ascii="Arial" w:cs="Arial" w:eastAsia="Arial" w:hAnsi="Arial"/>
          <w:sz w:val="22"/>
          <w:szCs w:val="22"/>
          <w:color w:val="auto"/>
        </w:rPr>
        <w:t xml:space="preserve"> or a trust), or enter into any contract, option or any other</w:t>
      </w: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580" w:top="375" w:right="239" w:bottom="1440" w:gutter="0" w:footer="0" w:header="0"/>
        </w:sectPr>
      </w:pPr>
    </w:p>
    <w:bookmarkStart w:id="168" w:name="page169"/>
    <w:bookmarkEnd w:id="168"/>
    <w:p>
      <w:pPr>
        <w:jc w:val="both"/>
        <w:ind w:left="1128"/>
        <w:spacing w:after="0" w:line="246" w:lineRule="auto"/>
        <w:rPr>
          <w:sz w:val="20"/>
          <w:szCs w:val="20"/>
          <w:color w:val="auto"/>
        </w:rPr>
      </w:pPr>
      <w:r>
        <w:rPr>
          <w:rFonts w:ascii="Arial" w:cs="Arial" w:eastAsia="Arial" w:hAnsi="Arial"/>
          <w:sz w:val="22"/>
          <w:szCs w:val="22"/>
          <w:color w:val="auto"/>
        </w:rPr>
        <w:t>agreement, commitment or undertaking to do any of the actions described above (including selling any option or contract to purchase the Shares or purchasing any option or contract to sell the Shares) or other transaction having a substantially similar effect (the “</w:t>
      </w:r>
      <w:r>
        <w:rPr>
          <w:rFonts w:ascii="Arial" w:cs="Arial" w:eastAsia="Arial" w:hAnsi="Arial"/>
          <w:sz w:val="22"/>
          <w:szCs w:val="22"/>
          <w:b w:val="1"/>
          <w:bCs w:val="1"/>
          <w:color w:val="auto"/>
        </w:rPr>
        <w:t>Lock-Up</w:t>
      </w:r>
      <w:r>
        <w:rPr>
          <w:rFonts w:ascii="Arial" w:cs="Arial" w:eastAsia="Arial" w:hAnsi="Arial"/>
          <w:sz w:val="22"/>
          <w:szCs w:val="22"/>
          <w:color w:val="auto"/>
        </w:rPr>
        <w:t>”). Notwithstanding the foregoing, GMH shall be authorized to (i) transfer the Shares to an Authorized GMH Affiliate (subject to such Authorized GMH Affiliate agreeing to continue to comply with the Lock-Up and such Authorized GMH Affiliate continuing to be qualified as Authorized GMH Affiliate during its holding of the Shares) and (ii) tender the Shares to an offeror in connection with a tender offer for all the shares of PSA recommended by the Supervisory Board of PSA and cleared by the AMF.</w:t>
      </w:r>
    </w:p>
    <w:p>
      <w:pPr>
        <w:spacing w:after="0" w:line="235" w:lineRule="exact"/>
        <w:rPr>
          <w:sz w:val="20"/>
          <w:szCs w:val="20"/>
          <w:color w:val="auto"/>
        </w:rPr>
      </w:pPr>
    </w:p>
    <w:p>
      <w:pPr>
        <w:jc w:val="both"/>
        <w:ind w:left="1128" w:hanging="647"/>
        <w:spacing w:after="0" w:line="263" w:lineRule="auto"/>
        <w:tabs>
          <w:tab w:leader="none" w:pos="1107" w:val="left"/>
        </w:tabs>
        <w:rPr>
          <w:sz w:val="20"/>
          <w:szCs w:val="20"/>
          <w:color w:val="auto"/>
        </w:rPr>
      </w:pPr>
      <w:r>
        <w:rPr>
          <w:rFonts w:ascii="Arial" w:cs="Arial" w:eastAsia="Arial" w:hAnsi="Arial"/>
          <w:sz w:val="22"/>
          <w:szCs w:val="22"/>
          <w:color w:val="auto"/>
        </w:rPr>
        <w:t>2.3.2</w:t>
        <w:tab/>
        <w:t>Notwithstanding any of the foregoing, the Lock-Up shall automatically terminate in the event of termination of this Agreement in accordance with the terms hereof.</w:t>
      </w:r>
    </w:p>
    <w:p>
      <w:pPr>
        <w:spacing w:after="0" w:line="215" w:lineRule="exact"/>
        <w:rPr>
          <w:sz w:val="20"/>
          <w:szCs w:val="20"/>
          <w:color w:val="auto"/>
        </w:rPr>
      </w:pPr>
    </w:p>
    <w:p>
      <w:pPr>
        <w:jc w:val="both"/>
        <w:ind w:left="1128" w:hanging="647"/>
        <w:spacing w:after="0" w:line="263" w:lineRule="auto"/>
        <w:tabs>
          <w:tab w:leader="none" w:pos="1107"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1"/>
          <w:szCs w:val="21"/>
          <w:color w:val="auto"/>
        </w:rPr>
        <w:t xml:space="preserve">Following the expiration of the Lock-Up, neither GMH nor the relevant Authorized GMH Affiliate shall sell or transfer any Shares to any Competitor (or any person acting in concert therewith, if such concert action has been publicly declared or if GMH is otherwise aware of such concert 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GMH or an Authorized GMH Affiliate from tendering its shares in any tender offer for all the shares of PSA recommended by the Supervisory Board of PSA and cleared by the AMF.</w:t>
      </w:r>
    </w:p>
    <w:p>
      <w:pPr>
        <w:spacing w:after="0" w:line="210" w:lineRule="exact"/>
        <w:rPr>
          <w:sz w:val="20"/>
          <w:szCs w:val="20"/>
          <w:color w:val="auto"/>
        </w:rPr>
      </w:pPr>
    </w:p>
    <w:p>
      <w:pPr>
        <w:ind w:left="488" w:hanging="488"/>
        <w:spacing w:after="0"/>
        <w:tabs>
          <w:tab w:leader="none" w:pos="488"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JOINT PRODUCT DEVELOPMENT</w:t>
      </w:r>
    </w:p>
    <w:p>
      <w:pPr>
        <w:spacing w:after="0" w:line="260" w:lineRule="exact"/>
        <w:rPr>
          <w:sz w:val="20"/>
          <w:szCs w:val="20"/>
          <w:color w:val="auto"/>
        </w:rPr>
      </w:pPr>
    </w:p>
    <w:p>
      <w:pPr>
        <w:jc w:val="both"/>
        <w:ind w:left="488" w:hanging="485"/>
        <w:spacing w:after="0" w:line="250" w:lineRule="auto"/>
        <w:tabs>
          <w:tab w:leader="none" w:pos="467"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2"/>
          <w:szCs w:val="22"/>
          <w:color w:val="auto"/>
        </w:rPr>
        <w:t>The Parties shall continue to market and sell their vehicles independently and on a competitive basis under their respective brands. With respect to platforms and their components, the Parties shall cooperate on the development of vehicles and their components on shared selected platforms, aiming at the convergence of modules and components, in order to leverage volumes, advance technologies and reduce emissions.</w:t>
      </w:r>
    </w:p>
    <w:p>
      <w:pPr>
        <w:spacing w:after="0" w:line="229" w:lineRule="exact"/>
        <w:rPr>
          <w:sz w:val="20"/>
          <w:szCs w:val="20"/>
          <w:color w:val="auto"/>
        </w:rPr>
      </w:pPr>
    </w:p>
    <w:p>
      <w:pPr>
        <w:ind w:left="8"/>
        <w:spacing w:after="0"/>
        <w:tabs>
          <w:tab w:leader="none" w:pos="467"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color w:val="auto"/>
        </w:rPr>
        <w:t>In order to implement the foregoing, the Parties or their appropriate Affiliates shall enter into:</w:t>
      </w:r>
    </w:p>
    <w:p>
      <w:pPr>
        <w:spacing w:after="0" w:line="266" w:lineRule="exact"/>
        <w:rPr>
          <w:sz w:val="20"/>
          <w:szCs w:val="20"/>
          <w:color w:val="auto"/>
        </w:rPr>
      </w:pPr>
    </w:p>
    <w:p>
      <w:pPr>
        <w:jc w:val="both"/>
        <w:ind w:left="1588" w:hanging="656"/>
        <w:spacing w:after="0" w:line="248" w:lineRule="auto"/>
        <w:tabs>
          <w:tab w:leader="none" w:pos="1588" w:val="left"/>
        </w:tabs>
        <w:numPr>
          <w:ilvl w:val="1"/>
          <w:numId w:val="85"/>
        </w:numPr>
        <w:rPr>
          <w:rFonts w:ascii="Arial" w:cs="Arial" w:eastAsia="Arial" w:hAnsi="Arial"/>
          <w:sz w:val="22"/>
          <w:szCs w:val="22"/>
          <w:color w:val="auto"/>
        </w:rPr>
      </w:pPr>
      <w:r>
        <w:rPr>
          <w:rFonts w:ascii="Arial" w:cs="Arial" w:eastAsia="Arial" w:hAnsi="Arial"/>
          <w:sz w:val="22"/>
          <w:szCs w:val="22"/>
          <w:color w:val="auto"/>
        </w:rPr>
        <w:t>a framework development agreement concerning the development of the Products and the ownership and licensing of Intellectual Property relating to the Products, including the terms (other than industrialization and transfer pricing) set out in Exhibit 2 (the “</w:t>
      </w:r>
      <w:r>
        <w:rPr>
          <w:rFonts w:ascii="Arial" w:cs="Arial" w:eastAsia="Arial" w:hAnsi="Arial"/>
          <w:sz w:val="22"/>
          <w:szCs w:val="22"/>
          <w:b w:val="1"/>
          <w:bCs w:val="1"/>
          <w:color w:val="auto"/>
        </w:rPr>
        <w:t>Development Agreement</w:t>
      </w:r>
      <w:r>
        <w:rPr>
          <w:rFonts w:ascii="Arial" w:cs="Arial" w:eastAsia="Arial" w:hAnsi="Arial"/>
          <w:sz w:val="22"/>
          <w:szCs w:val="22"/>
          <w:color w:val="auto"/>
        </w:rPr>
        <w:t>”): the Parties confirm that the Development Agreement executed by the Parties on the date hereof satisfies entirely the obligations of the Parties under this Section 3.2(i);</w:t>
      </w:r>
    </w:p>
    <w:p>
      <w:pPr>
        <w:spacing w:after="0" w:line="232" w:lineRule="exact"/>
        <w:rPr>
          <w:rFonts w:ascii="Arial" w:cs="Arial" w:eastAsia="Arial" w:hAnsi="Arial"/>
          <w:sz w:val="22"/>
          <w:szCs w:val="22"/>
          <w:color w:val="auto"/>
        </w:rPr>
      </w:pPr>
    </w:p>
    <w:p>
      <w:pPr>
        <w:ind w:left="1588" w:hanging="656"/>
        <w:spacing w:after="0" w:line="263" w:lineRule="auto"/>
        <w:tabs>
          <w:tab w:leader="none" w:pos="1588"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supply agreements concerning the supply of the Products, including the terms concerning industrialization and transfer pricing set out in </w:t>
      </w:r>
      <w:r>
        <w:rPr>
          <w:rFonts w:ascii="Arial" w:cs="Arial" w:eastAsia="Arial" w:hAnsi="Arial"/>
          <w:sz w:val="22"/>
          <w:szCs w:val="22"/>
          <w:u w:val="single" w:color="auto"/>
          <w:color w:val="auto"/>
        </w:rPr>
        <w:t>Exhibit 2</w:t>
      </w:r>
      <w:r>
        <w:rPr>
          <w:rFonts w:ascii="Arial" w:cs="Arial" w:eastAsia="Arial" w:hAnsi="Arial"/>
          <w:sz w:val="22"/>
          <w:szCs w:val="22"/>
          <w:color w:val="auto"/>
        </w:rPr>
        <w:t xml:space="preserve"> (the “</w:t>
      </w:r>
      <w:r>
        <w:rPr>
          <w:rFonts w:ascii="Arial" w:cs="Arial" w:eastAsia="Arial" w:hAnsi="Arial"/>
          <w:sz w:val="22"/>
          <w:szCs w:val="22"/>
          <w:b w:val="1"/>
          <w:bCs w:val="1"/>
          <w:color w:val="auto"/>
        </w:rPr>
        <w:t>Supply Agreements</w:t>
      </w:r>
      <w:r>
        <w:rPr>
          <w:rFonts w:ascii="Arial" w:cs="Arial" w:eastAsia="Arial" w:hAnsi="Arial"/>
          <w:sz w:val="22"/>
          <w:szCs w:val="22"/>
          <w:color w:val="auto"/>
        </w:rPr>
        <w:t>”); and</w:t>
      </w:r>
    </w:p>
    <w:p>
      <w:pPr>
        <w:spacing w:after="0" w:line="215" w:lineRule="exact"/>
        <w:rPr>
          <w:rFonts w:ascii="Arial" w:cs="Arial" w:eastAsia="Arial" w:hAnsi="Arial"/>
          <w:sz w:val="22"/>
          <w:szCs w:val="22"/>
          <w:color w:val="auto"/>
        </w:rPr>
      </w:pPr>
    </w:p>
    <w:p>
      <w:pPr>
        <w:jc w:val="both"/>
        <w:ind w:left="1588" w:hanging="656"/>
        <w:spacing w:after="0" w:line="253" w:lineRule="auto"/>
        <w:tabs>
          <w:tab w:leader="none" w:pos="1588"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powertrain supply agreements concerning the supply of engines and transmissions to be installed in the Products, including the terms concerning industrialization and transfer pricing set out in </w:t>
      </w:r>
      <w:r>
        <w:rPr>
          <w:rFonts w:ascii="Arial" w:cs="Arial" w:eastAsia="Arial" w:hAnsi="Arial"/>
          <w:sz w:val="22"/>
          <w:szCs w:val="22"/>
          <w:u w:val="single" w:color="auto"/>
          <w:color w:val="auto"/>
        </w:rPr>
        <w:t>Exhibit 2</w:t>
      </w:r>
      <w:r>
        <w:rPr>
          <w:rFonts w:ascii="Arial" w:cs="Arial" w:eastAsia="Arial" w:hAnsi="Arial"/>
          <w:sz w:val="22"/>
          <w:szCs w:val="22"/>
          <w:color w:val="auto"/>
        </w:rPr>
        <w:t xml:space="preserve"> (the “</w:t>
      </w:r>
      <w:r>
        <w:rPr>
          <w:rFonts w:ascii="Arial" w:cs="Arial" w:eastAsia="Arial" w:hAnsi="Arial"/>
          <w:sz w:val="22"/>
          <w:szCs w:val="22"/>
          <w:b w:val="1"/>
          <w:bCs w:val="1"/>
          <w:color w:val="auto"/>
        </w:rPr>
        <w:t>Powertrain Supply Agreements</w:t>
      </w:r>
      <w:r>
        <w:rPr>
          <w:rFonts w:ascii="Arial" w:cs="Arial" w:eastAsia="Arial" w:hAnsi="Arial"/>
          <w:sz w:val="22"/>
          <w:szCs w:val="22"/>
          <w:color w:val="auto"/>
        </w:rPr>
        <w:t>”).</w:t>
      </w:r>
    </w:p>
    <w:p>
      <w:pPr>
        <w:spacing w:after="0" w:line="220" w:lineRule="exact"/>
        <w:rPr>
          <w:rFonts w:ascii="Arial" w:cs="Arial" w:eastAsia="Arial" w:hAnsi="Arial"/>
          <w:sz w:val="22"/>
          <w:szCs w:val="22"/>
          <w:color w:val="auto"/>
        </w:rPr>
      </w:pPr>
    </w:p>
    <w:p>
      <w:pPr>
        <w:ind w:left="488" w:hanging="488"/>
        <w:spacing w:after="0"/>
        <w:tabs>
          <w:tab w:leader="none" w:pos="488"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JOINT PURCHASING</w:t>
      </w:r>
    </w:p>
    <w:p>
      <w:pPr>
        <w:spacing w:after="0" w:line="200" w:lineRule="exact"/>
        <w:rPr>
          <w:sz w:val="20"/>
          <w:szCs w:val="20"/>
          <w:color w:val="auto"/>
        </w:rPr>
      </w:pPr>
    </w:p>
    <w:p>
      <w:pPr>
        <w:spacing w:after="0" w:line="30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8"/>
          </w:cols>
          <w:pgMar w:left="572" w:top="375" w:right="239" w:bottom="1440" w:gutter="0" w:footer="0" w:header="0"/>
        </w:sectPr>
      </w:pPr>
    </w:p>
    <w:bookmarkStart w:id="169" w:name="page170"/>
    <w:bookmarkEnd w:id="169"/>
    <w:p>
      <w:pPr>
        <w:jc w:val="both"/>
        <w:ind w:left="488" w:hanging="485"/>
        <w:spacing w:after="0" w:line="253" w:lineRule="auto"/>
        <w:tabs>
          <w:tab w:leader="none" w:pos="467"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2"/>
          <w:szCs w:val="22"/>
          <w:color w:val="auto"/>
        </w:rPr>
        <w:t>The strategic intent of the Parties is to operate as a global purchasing organisation in order to enhance the value creation for both Parties. To that effect they shall cooperate with respect to the sourcing of commodities, components and other goods and services from suppliers.</w:t>
      </w:r>
    </w:p>
    <w:p>
      <w:pPr>
        <w:spacing w:after="0" w:line="226" w:lineRule="exact"/>
        <w:rPr>
          <w:sz w:val="20"/>
          <w:szCs w:val="20"/>
          <w:color w:val="auto"/>
        </w:rPr>
      </w:pPr>
    </w:p>
    <w:p>
      <w:pPr>
        <w:jc w:val="both"/>
        <w:ind w:left="488" w:hanging="485"/>
        <w:spacing w:after="0" w:line="295" w:lineRule="auto"/>
        <w:tabs>
          <w:tab w:leader="none" w:pos="467"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color w:val="auto"/>
        </w:rPr>
        <w:t>The Parties shall enter into one or more agreements (the “</w:t>
      </w:r>
      <w:r>
        <w:rPr>
          <w:rFonts w:ascii="Arial" w:cs="Arial" w:eastAsia="Arial" w:hAnsi="Arial"/>
          <w:sz w:val="19"/>
          <w:szCs w:val="19"/>
          <w:b w:val="1"/>
          <w:bCs w:val="1"/>
          <w:color w:val="auto"/>
        </w:rPr>
        <w:t>Purchasing Agreements</w:t>
      </w:r>
      <w:r>
        <w:rPr>
          <w:rFonts w:ascii="Arial" w:cs="Arial" w:eastAsia="Arial" w:hAnsi="Arial"/>
          <w:sz w:val="19"/>
          <w:szCs w:val="19"/>
          <w:color w:val="auto"/>
        </w:rPr>
        <w:t xml:space="preserve">”) providing for the cooperation on an exclusive basis (within the meaning and subject to certain exceptions as set forth in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between them or certain Affiliates in purchasing of commodities, components and other goods and services, which shall contain the terms and conditions attached as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and such other terms and conditions as may be agreed to by the Parties. The Parties confirm that the Purchasing Agreement executed by the Parties on the date hereof satisfies entirely the obligations of the Parties under Sections 4.1 and 4.2, including on the global reach and the exclusivity of the purchasing organization.</w:t>
      </w:r>
    </w:p>
    <w:p>
      <w:pPr>
        <w:spacing w:after="0" w:line="185" w:lineRule="exact"/>
        <w:rPr>
          <w:sz w:val="20"/>
          <w:szCs w:val="20"/>
          <w:color w:val="auto"/>
        </w:rPr>
      </w:pPr>
    </w:p>
    <w:p>
      <w:pPr>
        <w:jc w:val="both"/>
        <w:ind w:left="488" w:hanging="485"/>
        <w:spacing w:after="0" w:line="263" w:lineRule="auto"/>
        <w:tabs>
          <w:tab w:leader="none" w:pos="467"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2"/>
          <w:szCs w:val="22"/>
          <w:color w:val="auto"/>
        </w:rPr>
        <w:t>The Purchasing Agreements shall not contemplate mechanisms to measure and balance the benefits of the Alliance for the Parties, but rather focus on enhanced value creation for both Parties.</w:t>
      </w:r>
    </w:p>
    <w:p>
      <w:pPr>
        <w:spacing w:after="0" w:line="215" w:lineRule="exact"/>
        <w:rPr>
          <w:sz w:val="20"/>
          <w:szCs w:val="20"/>
          <w:color w:val="auto"/>
        </w:rPr>
      </w:pPr>
    </w:p>
    <w:p>
      <w:pPr>
        <w:jc w:val="both"/>
        <w:ind w:left="488" w:hanging="485"/>
        <w:spacing w:after="0" w:line="304" w:lineRule="auto"/>
        <w:tabs>
          <w:tab w:leader="none" w:pos="467"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color w:val="auto"/>
        </w:rPr>
        <w:t>The Parties shall establish an equally owned purchasing joint venture company (the “</w:t>
      </w:r>
      <w:r>
        <w:rPr>
          <w:rFonts w:ascii="Arial" w:cs="Arial" w:eastAsia="Arial" w:hAnsi="Arial"/>
          <w:sz w:val="19"/>
          <w:szCs w:val="19"/>
          <w:b w:val="1"/>
          <w:bCs w:val="1"/>
          <w:color w:val="auto"/>
        </w:rPr>
        <w:t>Purchasing JV</w:t>
      </w:r>
      <w:r>
        <w:rPr>
          <w:rFonts w:ascii="Arial" w:cs="Arial" w:eastAsia="Arial" w:hAnsi="Arial"/>
          <w:sz w:val="19"/>
          <w:szCs w:val="19"/>
          <w:color w:val="auto"/>
        </w:rPr>
        <w:t>”) with minimal capital, funding and staffing requirements, also considering (for purposes of determining the minimal capital, funding and staffing) the relevant regulatory implications. The Parties shall define the roles and responsibilities of such company within the Alliance and decide to staff it accordingly, with balanced leadership between GMH and PSA.</w:t>
      </w:r>
    </w:p>
    <w:p>
      <w:pPr>
        <w:spacing w:after="0" w:line="176" w:lineRule="exact"/>
        <w:rPr>
          <w:sz w:val="20"/>
          <w:szCs w:val="20"/>
          <w:color w:val="auto"/>
        </w:rPr>
      </w:pPr>
    </w:p>
    <w:p>
      <w:pPr>
        <w:ind w:left="488" w:hanging="488"/>
        <w:spacing w:after="0"/>
        <w:tabs>
          <w:tab w:leader="none" w:pos="488"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LOGISTICS</w:t>
      </w:r>
    </w:p>
    <w:p>
      <w:pPr>
        <w:spacing w:after="0" w:line="260" w:lineRule="exact"/>
        <w:rPr>
          <w:sz w:val="20"/>
          <w:szCs w:val="20"/>
          <w:color w:val="auto"/>
        </w:rPr>
      </w:pPr>
    </w:p>
    <w:p>
      <w:pPr>
        <w:jc w:val="both"/>
        <w:ind w:left="488" w:right="20" w:hanging="485"/>
        <w:spacing w:after="0" w:line="263" w:lineRule="auto"/>
        <w:tabs>
          <w:tab w:leader="none" w:pos="467"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2"/>
          <w:szCs w:val="22"/>
          <w:color w:val="auto"/>
        </w:rPr>
        <w:t>GMH and PSA shall establish a strategic, commercial cooperation between GMH and Gefco for the logistics services needs of GMH in certain territories.</w:t>
      </w:r>
    </w:p>
    <w:p>
      <w:pPr>
        <w:spacing w:after="0" w:line="215" w:lineRule="exact"/>
        <w:rPr>
          <w:sz w:val="20"/>
          <w:szCs w:val="20"/>
          <w:color w:val="auto"/>
        </w:rPr>
      </w:pPr>
    </w:p>
    <w:p>
      <w:pPr>
        <w:jc w:val="both"/>
        <w:ind w:left="488" w:hanging="485"/>
        <w:spacing w:after="0" w:line="265" w:lineRule="auto"/>
        <w:tabs>
          <w:tab w:leader="none" w:pos="467"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1"/>
          <w:szCs w:val="21"/>
          <w:color w:val="auto"/>
        </w:rPr>
        <w:t>To that effect GMH and Gefco shall enter into an agreement pursuant to which Gefco shall be the exclusive (in agreed territories) third-party provider of logistics and related services, including logistics architecture, logistics service purchases and operational logistics services in such territories, providing (a) incremental business to Gefco and (b) cost savings and most favoured nation treatment to GMH (the “</w:t>
      </w:r>
      <w:r>
        <w:rPr>
          <w:rFonts w:ascii="Arial" w:cs="Arial" w:eastAsia="Arial" w:hAnsi="Arial"/>
          <w:sz w:val="21"/>
          <w:szCs w:val="21"/>
          <w:b w:val="1"/>
          <w:bCs w:val="1"/>
          <w:color w:val="auto"/>
        </w:rPr>
        <w:t>Logistics Agreement</w:t>
      </w:r>
      <w:r>
        <w:rPr>
          <w:rFonts w:ascii="Arial" w:cs="Arial" w:eastAsia="Arial" w:hAnsi="Arial"/>
          <w:sz w:val="21"/>
          <w:szCs w:val="21"/>
          <w:color w:val="auto"/>
        </w:rPr>
        <w:t>”).</w:t>
      </w:r>
    </w:p>
    <w:p>
      <w:pPr>
        <w:spacing w:after="0" w:line="216" w:lineRule="exact"/>
        <w:rPr>
          <w:sz w:val="20"/>
          <w:szCs w:val="20"/>
          <w:color w:val="auto"/>
        </w:rPr>
      </w:pPr>
    </w:p>
    <w:p>
      <w:pPr>
        <w:ind w:left="8" w:right="6980" w:hanging="8"/>
        <w:spacing w:after="0" w:line="489" w:lineRule="auto"/>
        <w:tabs>
          <w:tab w:leader="none" w:pos="494"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 OF THE ALLIANCE 6.1 General</w:t>
      </w:r>
    </w:p>
    <w:p>
      <w:pPr>
        <w:spacing w:after="0" w:line="2" w:lineRule="exact"/>
        <w:rPr>
          <w:sz w:val="20"/>
          <w:szCs w:val="20"/>
          <w:color w:val="auto"/>
        </w:rPr>
      </w:pPr>
    </w:p>
    <w:p>
      <w:pPr>
        <w:jc w:val="both"/>
        <w:ind w:left="1128" w:hanging="647"/>
        <w:spacing w:after="0" w:line="302" w:lineRule="auto"/>
        <w:tabs>
          <w:tab w:leader="none" w:pos="1107"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The Parties shall place a high priority upon the cooperative and harmonious implementation and governance of the Alliance with a view to achieving a successful cooperation via the Alliance in the long-term interest of both Parties. The Chief Executive Officer of GMH and the Chairman of the Managing Board of PSA shall meet from time to time as appropriate to ensure the smooth and efficient functioning of the Alliance.</w:t>
      </w:r>
    </w:p>
    <w:p>
      <w:pPr>
        <w:spacing w:after="0" w:line="183" w:lineRule="exact"/>
        <w:rPr>
          <w:sz w:val="20"/>
          <w:szCs w:val="20"/>
          <w:color w:val="auto"/>
        </w:rPr>
      </w:pPr>
    </w:p>
    <w:p>
      <w:pPr>
        <w:jc w:val="both"/>
        <w:ind w:left="1128" w:right="20" w:hanging="647"/>
        <w:spacing w:after="0" w:line="343" w:lineRule="auto"/>
        <w:tabs>
          <w:tab w:leader="none" w:pos="1107"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color w:val="auto"/>
        </w:rPr>
        <w:t>The Steering Committee (defined below) shall perform its activities in accordance with all legal requirements applicable to the cooperation of independent companies, including all applicable antitrust and securities laws.</w:t>
      </w:r>
    </w:p>
    <w:p>
      <w:pPr>
        <w:spacing w:after="0" w:line="139" w:lineRule="exact"/>
        <w:rPr>
          <w:sz w:val="20"/>
          <w:szCs w:val="20"/>
          <w:color w:val="auto"/>
        </w:rPr>
      </w:pPr>
    </w:p>
    <w:p>
      <w:pPr>
        <w:ind w:left="8"/>
        <w:spacing w:after="0"/>
        <w:tabs>
          <w:tab w:leader="none" w:pos="467"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Steering Committee</w:t>
      </w:r>
    </w:p>
    <w:p>
      <w:pPr>
        <w:spacing w:after="0" w:line="200" w:lineRule="exact"/>
        <w:rPr>
          <w:sz w:val="20"/>
          <w:szCs w:val="20"/>
          <w:color w:val="auto"/>
        </w:rPr>
      </w:pPr>
    </w:p>
    <w:p>
      <w:pPr>
        <w:spacing w:after="0" w:line="30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8"/>
          </w:cols>
          <w:pgMar w:left="572" w:top="369" w:right="239" w:bottom="1440" w:gutter="0" w:footer="0" w:header="0"/>
        </w:sectPr>
      </w:pPr>
    </w:p>
    <w:bookmarkStart w:id="170" w:name="page171"/>
    <w:bookmarkEnd w:id="170"/>
    <w:p>
      <w:pPr>
        <w:spacing w:after="0"/>
        <w:tabs>
          <w:tab w:leader="none" w:pos="620" w:val="left"/>
        </w:tabs>
        <w:rPr>
          <w:sz w:val="20"/>
          <w:szCs w:val="20"/>
          <w:color w:val="auto"/>
        </w:rPr>
      </w:pPr>
      <w:r>
        <w:rPr>
          <w:rFonts w:ascii="Arial" w:cs="Arial" w:eastAsia="Arial" w:hAnsi="Arial"/>
          <w:sz w:val="22"/>
          <w:szCs w:val="22"/>
          <w:color w:val="auto"/>
        </w:rPr>
        <w:t>6.2.1</w:t>
      </w:r>
      <w:r>
        <w:rPr>
          <w:sz w:val="20"/>
          <w:szCs w:val="20"/>
          <w:color w:val="auto"/>
        </w:rPr>
        <w:tab/>
      </w:r>
      <w:r>
        <w:rPr>
          <w:rFonts w:ascii="Arial" w:cs="Arial" w:eastAsia="Arial" w:hAnsi="Arial"/>
          <w:sz w:val="19"/>
          <w:szCs w:val="19"/>
          <w:color w:val="auto"/>
        </w:rPr>
        <w:t>The Parties shall establish a steering committee (the “</w:t>
      </w:r>
      <w:r>
        <w:rPr>
          <w:rFonts w:ascii="Arial" w:cs="Arial" w:eastAsia="Arial" w:hAnsi="Arial"/>
          <w:sz w:val="19"/>
          <w:szCs w:val="19"/>
          <w:b w:val="1"/>
          <w:bCs w:val="1"/>
          <w:color w:val="auto"/>
        </w:rPr>
        <w:t>Steering Committee</w:t>
      </w:r>
      <w:r>
        <w:rPr>
          <w:rFonts w:ascii="Arial" w:cs="Arial" w:eastAsia="Arial" w:hAnsi="Arial"/>
          <w:sz w:val="19"/>
          <w:szCs w:val="19"/>
          <w:color w:val="auto"/>
        </w:rPr>
        <w:t>”) to:</w:t>
      </w:r>
    </w:p>
    <w:p>
      <w:pPr>
        <w:spacing w:after="0" w:line="266" w:lineRule="exact"/>
        <w:rPr>
          <w:sz w:val="20"/>
          <w:szCs w:val="20"/>
          <w:color w:val="auto"/>
        </w:rPr>
      </w:pPr>
    </w:p>
    <w:p>
      <w:pPr>
        <w:ind w:left="1780" w:hanging="647"/>
        <w:spacing w:after="0" w:line="263" w:lineRule="auto"/>
        <w:tabs>
          <w:tab w:leader="none" w:pos="17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oversee the implementation of the Alliance and promote its balanced implementation for the benefit of both Parties;</w:t>
      </w:r>
    </w:p>
    <w:p>
      <w:pPr>
        <w:spacing w:after="0" w:line="215" w:lineRule="exact"/>
        <w:rPr>
          <w:rFonts w:ascii="Arial" w:cs="Arial" w:eastAsia="Arial" w:hAnsi="Arial"/>
          <w:sz w:val="22"/>
          <w:szCs w:val="22"/>
          <w:color w:val="auto"/>
        </w:rPr>
      </w:pPr>
    </w:p>
    <w:p>
      <w:pPr>
        <w:jc w:val="both"/>
        <w:ind w:left="1780" w:hanging="647"/>
        <w:spacing w:after="0" w:line="271" w:lineRule="auto"/>
        <w:tabs>
          <w:tab w:leader="none" w:pos="17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resolve any controversy or dispute arising out or in connection with this Agreement, the Development Agreement (but only to the extent specified in the Development Agreement), or the Purchasing Agreements (but only to the extent specified in the Purchasing Agreements);</w:t>
      </w:r>
    </w:p>
    <w:p>
      <w:pPr>
        <w:spacing w:after="0" w:line="208" w:lineRule="exact"/>
        <w:rPr>
          <w:rFonts w:ascii="Arial" w:cs="Arial" w:eastAsia="Arial" w:hAnsi="Arial"/>
          <w:sz w:val="21"/>
          <w:szCs w:val="21"/>
          <w:color w:val="auto"/>
        </w:rPr>
      </w:pPr>
    </w:p>
    <w:p>
      <w:pPr>
        <w:jc w:val="both"/>
        <w:ind w:left="1780" w:hanging="647"/>
        <w:spacing w:after="0" w:line="250" w:lineRule="auto"/>
        <w:tabs>
          <w:tab w:leader="none" w:pos="17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establish as deemed necessary by the Steering Committee one or more operational committees, each consisting of an equal number of GMH and PSA nominees, to oversee the day-to-day operations and management of the Development Agreement based on guidelines established by the Steering Committee; and</w:t>
      </w:r>
    </w:p>
    <w:p>
      <w:pPr>
        <w:spacing w:after="0" w:line="228" w:lineRule="exact"/>
        <w:rPr>
          <w:rFonts w:ascii="Arial" w:cs="Arial" w:eastAsia="Arial" w:hAnsi="Arial"/>
          <w:sz w:val="22"/>
          <w:szCs w:val="22"/>
          <w:color w:val="auto"/>
        </w:rPr>
      </w:pPr>
    </w:p>
    <w:p>
      <w:pPr>
        <w:jc w:val="both"/>
        <w:ind w:left="1780" w:hanging="647"/>
        <w:spacing w:after="0" w:line="253" w:lineRule="auto"/>
        <w:tabs>
          <w:tab w:leader="none" w:pos="17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examine any potential new Products, services, projects or areas of cooperation to be integrated within the scope of the Alliance,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Parties intend to expand the scope of the Alliance to their future activities.</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6.2.2</w:t>
      </w:r>
      <w:r>
        <w:rPr>
          <w:sz w:val="20"/>
          <w:szCs w:val="20"/>
          <w:color w:val="auto"/>
        </w:rPr>
        <w:tab/>
      </w:r>
      <w:r>
        <w:rPr>
          <w:rFonts w:ascii="Arial" w:cs="Arial" w:eastAsia="Arial" w:hAnsi="Arial"/>
          <w:sz w:val="19"/>
          <w:szCs w:val="19"/>
          <w:color w:val="auto"/>
        </w:rPr>
        <w:t>Composition of the Steering Committee</w:t>
      </w:r>
    </w:p>
    <w:p>
      <w:pPr>
        <w:spacing w:after="0" w:line="254" w:lineRule="exact"/>
        <w:rPr>
          <w:sz w:val="20"/>
          <w:szCs w:val="20"/>
          <w:color w:val="auto"/>
        </w:rPr>
      </w:pPr>
    </w:p>
    <w:p>
      <w:pPr>
        <w:jc w:val="both"/>
        <w:ind w:left="1620" w:hanging="528"/>
        <w:spacing w:after="0" w:line="256" w:lineRule="auto"/>
        <w:tabs>
          <w:tab w:leader="none" w:pos="16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steering committee shall be composed of ten (10) individuals (the “</w:t>
      </w:r>
      <w:r>
        <w:rPr>
          <w:rFonts w:ascii="Arial" w:cs="Arial" w:eastAsia="Arial" w:hAnsi="Arial"/>
          <w:sz w:val="22"/>
          <w:szCs w:val="22"/>
          <w:b w:val="1"/>
          <w:bCs w:val="1"/>
          <w:color w:val="auto"/>
        </w:rPr>
        <w:t>SC Members</w:t>
      </w:r>
      <w:r>
        <w:rPr>
          <w:rFonts w:ascii="Arial" w:cs="Arial" w:eastAsia="Arial" w:hAnsi="Arial"/>
          <w:sz w:val="22"/>
          <w:szCs w:val="22"/>
          <w:color w:val="auto"/>
        </w:rPr>
        <w:t>”), five (5) of whom shall be designated by GMH and five (5) of whom shall be designated by PSA, including the Chief Financial Officers of each Party.</w:t>
      </w:r>
    </w:p>
    <w:p>
      <w:pPr>
        <w:spacing w:after="0" w:line="222" w:lineRule="exact"/>
        <w:rPr>
          <w:rFonts w:ascii="Arial" w:cs="Arial" w:eastAsia="Arial" w:hAnsi="Arial"/>
          <w:sz w:val="22"/>
          <w:szCs w:val="22"/>
          <w:color w:val="auto"/>
        </w:rPr>
      </w:pPr>
    </w:p>
    <w:p>
      <w:pPr>
        <w:ind w:left="1620" w:hanging="528"/>
        <w:spacing w:after="0" w:line="343" w:lineRule="auto"/>
        <w:tabs>
          <w:tab w:leader="none" w:pos="16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Each Party at any time shall have the right to request the removal of the SC Members designated by it and designate another person to be appointed as a SC Member in his or her place.</w:t>
      </w:r>
    </w:p>
    <w:p>
      <w:pPr>
        <w:spacing w:after="0" w:line="145" w:lineRule="exact"/>
        <w:rPr>
          <w:rFonts w:ascii="Arial" w:cs="Arial" w:eastAsia="Arial" w:hAnsi="Arial"/>
          <w:sz w:val="19"/>
          <w:szCs w:val="19"/>
          <w:color w:val="auto"/>
        </w:rPr>
      </w:pPr>
    </w:p>
    <w:p>
      <w:pPr>
        <w:jc w:val="both"/>
        <w:ind w:left="1620" w:hanging="528"/>
        <w:spacing w:after="0" w:line="253" w:lineRule="auto"/>
        <w:tabs>
          <w:tab w:leader="none" w:pos="16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At any time a vacancy is created on the Steering Committee by reason of resignation or any other reason, the Party which originally designated such SC Member shall designate a nominee to fill such vacancy.</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6.2.3</w:t>
      </w:r>
      <w:r>
        <w:rPr>
          <w:sz w:val="20"/>
          <w:szCs w:val="20"/>
          <w:color w:val="auto"/>
        </w:rPr>
        <w:tab/>
      </w:r>
      <w:r>
        <w:rPr>
          <w:rFonts w:ascii="Arial" w:cs="Arial" w:eastAsia="Arial" w:hAnsi="Arial"/>
          <w:sz w:val="19"/>
          <w:szCs w:val="19"/>
          <w:color w:val="auto"/>
        </w:rPr>
        <w:t>Meetings of the Steering Committee</w:t>
      </w:r>
    </w:p>
    <w:p>
      <w:pPr>
        <w:spacing w:after="0" w:line="260" w:lineRule="exact"/>
        <w:rPr>
          <w:sz w:val="20"/>
          <w:szCs w:val="20"/>
          <w:color w:val="auto"/>
        </w:rPr>
      </w:pPr>
    </w:p>
    <w:p>
      <w:pPr>
        <w:jc w:val="both"/>
        <w:ind w:left="1620" w:hanging="528"/>
        <w:spacing w:after="0" w:line="289" w:lineRule="auto"/>
        <w:tabs>
          <w:tab w:leader="none" w:pos="16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Steering Committee shall meet as often as necessary upon written notice by or on behalf of any member of the Steering Committee and in any case shall meet at least four times per year. Any notice of any meeting of the Steering Committee shall be sent to each SC Member, and such notice may be sent by any means (including by email), and such notice shall include an agenda identifying in reasonable detail the matters to be discussed at such meeting together with copies of any relevant documents to be discussed at such meeting. Except in the case of emergency for which a shorter notice period is necessary (in which case reasonable advance notice shall be given to the SC Members sufficient for them to have an opportunity to attend such meeting), the notice of meetings of the Steering Committee shall be sent at least five (5) Business Days before such meeting.</w:t>
      </w: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00"/>
          </w:cols>
          <w:pgMar w:left="1060" w:top="369" w:right="239" w:bottom="1440" w:gutter="0" w:footer="0" w:header="0"/>
        </w:sectPr>
      </w:pPr>
    </w:p>
    <w:bookmarkStart w:id="171" w:name="page172"/>
    <w:bookmarkEnd w:id="171"/>
    <w:p>
      <w:pPr>
        <w:jc w:val="both"/>
        <w:ind w:left="2108" w:hanging="528"/>
        <w:spacing w:after="0" w:line="250" w:lineRule="auto"/>
        <w:tabs>
          <w:tab w:leader="none" w:pos="2108" w:val="left"/>
        </w:tabs>
        <w:numPr>
          <w:ilvl w:val="0"/>
          <w:numId w:val="92"/>
        </w:numPr>
        <w:rPr>
          <w:rFonts w:ascii="Arial" w:cs="Arial" w:eastAsia="Arial" w:hAnsi="Arial"/>
          <w:sz w:val="22"/>
          <w:szCs w:val="22"/>
          <w:color w:val="auto"/>
        </w:rPr>
      </w:pPr>
      <w:r>
        <w:rPr>
          <w:rFonts w:ascii="Arial" w:cs="Arial" w:eastAsia="Arial" w:hAnsi="Arial"/>
          <w:sz w:val="22"/>
          <w:szCs w:val="22"/>
          <w:color w:val="auto"/>
        </w:rPr>
        <w:t>SC Members participating in meetings of the Steering Committee by telephone conference or video conference shall be considered present for the purposes of calculating the quorum for a meeting and the votes on a decision. SC Members may further be represented with proxy by any other individual of their choice.</w:t>
      </w:r>
    </w:p>
    <w:p>
      <w:pPr>
        <w:spacing w:after="0" w:line="228" w:lineRule="exact"/>
        <w:rPr>
          <w:rFonts w:ascii="Arial" w:cs="Arial" w:eastAsia="Arial" w:hAnsi="Arial"/>
          <w:sz w:val="22"/>
          <w:szCs w:val="22"/>
          <w:color w:val="auto"/>
        </w:rPr>
      </w:pPr>
    </w:p>
    <w:p>
      <w:pPr>
        <w:ind w:left="2108" w:hanging="528"/>
        <w:spacing w:after="0" w:line="263" w:lineRule="auto"/>
        <w:tabs>
          <w:tab w:leader="none" w:pos="2108"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venue of the meetings of the Steering Committee shall be on a rotating basis at the headquarters of GMH in Detroit or the headquarters of PSA in Paris.</w:t>
      </w:r>
    </w:p>
    <w:p>
      <w:pPr>
        <w:spacing w:after="0" w:line="215" w:lineRule="exact"/>
        <w:rPr>
          <w:rFonts w:ascii="Arial" w:cs="Arial" w:eastAsia="Arial" w:hAnsi="Arial"/>
          <w:sz w:val="22"/>
          <w:szCs w:val="22"/>
          <w:color w:val="auto"/>
        </w:rPr>
      </w:pPr>
    </w:p>
    <w:p>
      <w:pPr>
        <w:ind w:left="2108" w:hanging="528"/>
        <w:spacing w:after="0" w:line="263" w:lineRule="auto"/>
        <w:tabs>
          <w:tab w:leader="none" w:pos="2108"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Information provided to the Steering Committee shall be limited to that necessary for the Steering Committee to achieve its objectives as set forth above.</w:t>
      </w:r>
    </w:p>
    <w:p>
      <w:pPr>
        <w:spacing w:after="0" w:line="215" w:lineRule="exact"/>
        <w:rPr>
          <w:sz w:val="20"/>
          <w:szCs w:val="20"/>
          <w:color w:val="auto"/>
        </w:rPr>
      </w:pPr>
    </w:p>
    <w:p>
      <w:pPr>
        <w:ind w:left="488"/>
        <w:spacing w:after="0"/>
        <w:tabs>
          <w:tab w:leader="none" w:pos="1107" w:val="left"/>
        </w:tabs>
        <w:rPr>
          <w:sz w:val="20"/>
          <w:szCs w:val="20"/>
          <w:color w:val="auto"/>
        </w:rPr>
      </w:pPr>
      <w:r>
        <w:rPr>
          <w:rFonts w:ascii="Arial" w:cs="Arial" w:eastAsia="Arial" w:hAnsi="Arial"/>
          <w:sz w:val="22"/>
          <w:szCs w:val="22"/>
          <w:color w:val="auto"/>
        </w:rPr>
        <w:t>6.2.4</w:t>
      </w:r>
      <w:r>
        <w:rPr>
          <w:sz w:val="20"/>
          <w:szCs w:val="20"/>
          <w:color w:val="auto"/>
        </w:rPr>
        <w:tab/>
      </w:r>
      <w:r>
        <w:rPr>
          <w:rFonts w:ascii="Arial" w:cs="Arial" w:eastAsia="Arial" w:hAnsi="Arial"/>
          <w:sz w:val="19"/>
          <w:szCs w:val="19"/>
          <w:color w:val="auto"/>
        </w:rPr>
        <w:t>Decisions of the Steering Committee</w:t>
      </w:r>
    </w:p>
    <w:p>
      <w:pPr>
        <w:spacing w:after="0" w:line="260" w:lineRule="exact"/>
        <w:rPr>
          <w:sz w:val="20"/>
          <w:szCs w:val="20"/>
          <w:color w:val="auto"/>
        </w:rPr>
      </w:pPr>
    </w:p>
    <w:p>
      <w:pPr>
        <w:jc w:val="both"/>
        <w:ind w:left="2108" w:hanging="528"/>
        <w:spacing w:after="0" w:line="297" w:lineRule="auto"/>
        <w:tabs>
          <w:tab w:leader="none" w:pos="2108"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quorum for the decisions of the Steering Committee shall be reached when at least three SC Members appointed by each of the Parties shall be present or represented at the meeting. The decisions of the Steering Committee shall be validly passed by the unanimity of all the SC Members present or represented at the meeting. The language of the meetings of the Steering Committee shall be English and minutes of the meetings shall be written in English and signed by the SC Executives.</w:t>
      </w:r>
    </w:p>
    <w:p>
      <w:pPr>
        <w:spacing w:after="0" w:line="187" w:lineRule="exact"/>
        <w:rPr>
          <w:rFonts w:ascii="Arial" w:cs="Arial" w:eastAsia="Arial" w:hAnsi="Arial"/>
          <w:sz w:val="19"/>
          <w:szCs w:val="19"/>
          <w:color w:val="auto"/>
        </w:rPr>
      </w:pPr>
    </w:p>
    <w:p>
      <w:pPr>
        <w:jc w:val="both"/>
        <w:ind w:left="2108" w:hanging="528"/>
        <w:spacing w:after="0" w:line="271" w:lineRule="auto"/>
        <w:tabs>
          <w:tab w:leader="none" w:pos="2108"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Parties shall endeavour to ensure that their respective representatives at the Steering Committee shall reach a common position on any matter subject to the decision of the Steering Committee and that they shall not unreasonably withhold their decision as to any matter.</w:t>
      </w:r>
    </w:p>
    <w:p>
      <w:pPr>
        <w:spacing w:after="0" w:line="208" w:lineRule="exact"/>
        <w:rPr>
          <w:rFonts w:ascii="Arial" w:cs="Arial" w:eastAsia="Arial" w:hAnsi="Arial"/>
          <w:sz w:val="21"/>
          <w:szCs w:val="21"/>
          <w:color w:val="auto"/>
        </w:rPr>
      </w:pPr>
    </w:p>
    <w:p>
      <w:pPr>
        <w:jc w:val="both"/>
        <w:ind w:left="2108" w:hanging="528"/>
        <w:spacing w:after="0" w:line="248" w:lineRule="auto"/>
        <w:tabs>
          <w:tab w:leader="none" w:pos="21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 the event of disagreement on a subject matter after two successive meetings of the Steering Committee, this subject matter shall be elevated by the SC Executives for the decision by the CEO’s. In such event, unless they are able to agree with respect to such issue within one week after such elevation, they shall meet together physically at a mutually acceptable location within two weeks after such elevation to discuss such issue.</w:t>
      </w:r>
    </w:p>
    <w:p>
      <w:pPr>
        <w:spacing w:after="0" w:line="227" w:lineRule="exact"/>
        <w:rPr>
          <w:sz w:val="20"/>
          <w:szCs w:val="20"/>
          <w:color w:val="auto"/>
        </w:rPr>
      </w:pPr>
    </w:p>
    <w:p>
      <w:pPr>
        <w:ind w:left="648" w:hanging="648"/>
        <w:spacing w:after="0"/>
        <w:tabs>
          <w:tab w:leader="none" w:pos="64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w:t>
      </w:r>
    </w:p>
    <w:p>
      <w:pPr>
        <w:spacing w:after="0" w:line="260" w:lineRule="exact"/>
        <w:rPr>
          <w:sz w:val="20"/>
          <w:szCs w:val="20"/>
          <w:color w:val="auto"/>
        </w:rPr>
      </w:pPr>
    </w:p>
    <w:p>
      <w:pPr>
        <w:ind w:left="8"/>
        <w:spacing w:after="0"/>
        <w:tabs>
          <w:tab w:leader="none" w:pos="547"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color w:val="auto"/>
        </w:rPr>
        <w:t>The implementation of the Alliance and the Ancillary Agreements are subject to the following conditions:</w:t>
      </w:r>
    </w:p>
    <w:p>
      <w:pPr>
        <w:spacing w:after="0" w:line="266" w:lineRule="exact"/>
        <w:rPr>
          <w:sz w:val="20"/>
          <w:szCs w:val="20"/>
          <w:color w:val="auto"/>
        </w:rPr>
      </w:pPr>
    </w:p>
    <w:p>
      <w:pPr>
        <w:ind w:left="1468" w:hanging="536"/>
        <w:spacing w:after="0" w:line="263" w:lineRule="auto"/>
        <w:tabs>
          <w:tab w:leader="none" w:pos="146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as condition precedent, any required and relevant clearance by any antitrust authorities or other regulatory body (“</w:t>
      </w:r>
      <w:r>
        <w:rPr>
          <w:rFonts w:ascii="Arial" w:cs="Arial" w:eastAsia="Arial" w:hAnsi="Arial"/>
          <w:sz w:val="22"/>
          <w:szCs w:val="22"/>
          <w:b w:val="1"/>
          <w:bCs w:val="1"/>
          <w:color w:val="auto"/>
        </w:rPr>
        <w:t>Regulatory Clearances</w:t>
      </w:r>
      <w:r>
        <w:rPr>
          <w:rFonts w:ascii="Arial" w:cs="Arial" w:eastAsia="Arial" w:hAnsi="Arial"/>
          <w:sz w:val="22"/>
          <w:szCs w:val="22"/>
          <w:color w:val="auto"/>
        </w:rPr>
        <w:t>”); and</w:t>
      </w:r>
    </w:p>
    <w:p>
      <w:pPr>
        <w:spacing w:after="0" w:line="215" w:lineRule="exact"/>
        <w:rPr>
          <w:rFonts w:ascii="Arial" w:cs="Arial" w:eastAsia="Arial" w:hAnsi="Arial"/>
          <w:sz w:val="22"/>
          <w:szCs w:val="22"/>
          <w:color w:val="auto"/>
        </w:rPr>
      </w:pPr>
    </w:p>
    <w:p>
      <w:pPr>
        <w:jc w:val="both"/>
        <w:ind w:left="1468" w:hanging="536"/>
        <w:spacing w:after="0" w:line="253" w:lineRule="auto"/>
        <w:tabs>
          <w:tab w:leader="none" w:pos="146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as condition subsequent, the full implementation of the Equity Investment by no later than April 20, 2012. If the Equity Investment is not implemented within such term, unless the Parties agree otherwise, this Agreement shall be terminated and the provisions of Section 10 shall apply.</w:t>
      </w:r>
    </w:p>
    <w:p>
      <w:pPr>
        <w:spacing w:after="0" w:line="220" w:lineRule="exact"/>
        <w:rPr>
          <w:sz w:val="20"/>
          <w:szCs w:val="20"/>
          <w:color w:val="auto"/>
        </w:rPr>
      </w:pPr>
    </w:p>
    <w:p>
      <w:pPr>
        <w:ind w:left="8"/>
        <w:spacing w:after="0"/>
        <w:tabs>
          <w:tab w:leader="none" w:pos="467"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Responsibility for Satisfaction</w:t>
      </w:r>
    </w:p>
    <w:p>
      <w:pPr>
        <w:spacing w:after="0" w:line="266" w:lineRule="exact"/>
        <w:rPr>
          <w:sz w:val="20"/>
          <w:szCs w:val="20"/>
          <w:color w:val="auto"/>
        </w:rPr>
      </w:pPr>
    </w:p>
    <w:p>
      <w:pPr>
        <w:ind w:left="488"/>
        <w:spacing w:after="0"/>
        <w:tabs>
          <w:tab w:leader="none" w:pos="1107" w:val="left"/>
        </w:tabs>
        <w:rPr>
          <w:sz w:val="20"/>
          <w:szCs w:val="20"/>
          <w:color w:val="auto"/>
        </w:rPr>
      </w:pPr>
      <w:r>
        <w:rPr>
          <w:rFonts w:ascii="Arial" w:cs="Arial" w:eastAsia="Arial" w:hAnsi="Arial"/>
          <w:sz w:val="22"/>
          <w:szCs w:val="22"/>
          <w:color w:val="auto"/>
        </w:rPr>
        <w:t>7.2.1</w:t>
      </w:r>
      <w:r>
        <w:rPr>
          <w:sz w:val="20"/>
          <w:szCs w:val="20"/>
          <w:color w:val="auto"/>
        </w:rPr>
        <w:tab/>
      </w:r>
      <w:r>
        <w:rPr>
          <w:rFonts w:ascii="Arial" w:cs="Arial" w:eastAsia="Arial" w:hAnsi="Arial"/>
          <w:sz w:val="19"/>
          <w:szCs w:val="19"/>
          <w:color w:val="auto"/>
        </w:rPr>
        <w:t>The Parties shall use reasonable endeavours to obtain the Regulatory Clearances as soon as</w:t>
      </w:r>
    </w:p>
    <w:p>
      <w:pPr>
        <w:spacing w:after="0" w:line="24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8"/>
          </w:cols>
          <w:pgMar w:left="572" w:top="375" w:right="239" w:bottom="1440" w:gutter="0" w:footer="0" w:header="0"/>
        </w:sectPr>
      </w:pPr>
    </w:p>
    <w:bookmarkStart w:id="172" w:name="page173"/>
    <w:bookmarkEnd w:id="172"/>
    <w:p>
      <w:pPr>
        <w:ind w:left="1128"/>
        <w:spacing w:after="0"/>
        <w:rPr>
          <w:sz w:val="20"/>
          <w:szCs w:val="20"/>
          <w:color w:val="auto"/>
        </w:rPr>
      </w:pPr>
      <w:r>
        <w:rPr>
          <w:rFonts w:ascii="Arial" w:cs="Arial" w:eastAsia="Arial" w:hAnsi="Arial"/>
          <w:sz w:val="22"/>
          <w:szCs w:val="22"/>
          <w:color w:val="auto"/>
        </w:rPr>
        <w:t>reasonably possible.</w:t>
      </w:r>
    </w:p>
    <w:p>
      <w:pPr>
        <w:spacing w:after="0" w:line="260" w:lineRule="exact"/>
        <w:rPr>
          <w:sz w:val="20"/>
          <w:szCs w:val="20"/>
          <w:color w:val="auto"/>
        </w:rPr>
      </w:pPr>
    </w:p>
    <w:p>
      <w:pPr>
        <w:jc w:val="both"/>
        <w:ind w:left="1128" w:hanging="647"/>
        <w:spacing w:after="0" w:line="263" w:lineRule="auto"/>
        <w:tabs>
          <w:tab w:leader="none" w:pos="1107" w:val="left"/>
        </w:tabs>
        <w:rPr>
          <w:sz w:val="20"/>
          <w:szCs w:val="20"/>
          <w:color w:val="auto"/>
        </w:rPr>
      </w:pPr>
      <w:r>
        <w:rPr>
          <w:rFonts w:ascii="Arial" w:cs="Arial" w:eastAsia="Arial" w:hAnsi="Arial"/>
          <w:sz w:val="22"/>
          <w:szCs w:val="22"/>
          <w:color w:val="auto"/>
        </w:rPr>
        <w:t>7.2.2</w:t>
        <w:tab/>
        <w:t>The Parties shall use reasonable endeavours to take promptly all actions necessary to make all such filings required to obtain the Regulatory Clearances.</w:t>
      </w:r>
    </w:p>
    <w:p>
      <w:pPr>
        <w:spacing w:after="0" w:line="215" w:lineRule="exact"/>
        <w:rPr>
          <w:sz w:val="20"/>
          <w:szCs w:val="20"/>
          <w:color w:val="auto"/>
        </w:rPr>
      </w:pPr>
    </w:p>
    <w:p>
      <w:pPr>
        <w:jc w:val="both"/>
        <w:ind w:left="1128" w:hanging="647"/>
        <w:spacing w:after="0" w:line="259" w:lineRule="auto"/>
        <w:tabs>
          <w:tab w:leader="none" w:pos="1107" w:val="left"/>
        </w:tabs>
        <w:rPr>
          <w:sz w:val="20"/>
          <w:szCs w:val="20"/>
          <w:color w:val="auto"/>
        </w:rPr>
      </w:pPr>
      <w:r>
        <w:rPr>
          <w:rFonts w:ascii="Arial" w:cs="Arial" w:eastAsia="Arial" w:hAnsi="Arial"/>
          <w:sz w:val="22"/>
          <w:szCs w:val="22"/>
          <w:color w:val="auto"/>
        </w:rPr>
        <w:t>7.2.3</w:t>
      </w:r>
      <w:r>
        <w:rPr>
          <w:sz w:val="20"/>
          <w:szCs w:val="20"/>
          <w:color w:val="auto"/>
        </w:rPr>
        <w:tab/>
      </w:r>
      <w:r>
        <w:rPr>
          <w:rFonts w:ascii="Arial" w:cs="Arial" w:eastAsia="Arial" w:hAnsi="Arial"/>
          <w:sz w:val="21"/>
          <w:szCs w:val="21"/>
          <w:color w:val="auto"/>
        </w:rPr>
        <w:t>The Parties agree that all requests and enquiries from any Governmental Authority which relate to the obtaining of the Regulatory Clearances shall be dealt with by the Parties in consultation with each other and the Parties shall promptly co-operate with and provide all necessary information and assistance reasonably required by such Governmental Authority upon being requested to do so by the other. In this respect and except where prohibited by applicable law, the Parties shall provide each other with copies of all filings or correspondence made with any Governmental Authority and to consult with the other prior to taking a position with respect to any filing pursuant hereto, permit the other Party to review and discuss in advance, and to consider in good faith the views of the other Party.</w:t>
      </w:r>
    </w:p>
    <w:p>
      <w:pPr>
        <w:spacing w:after="0" w:line="225" w:lineRule="exact"/>
        <w:rPr>
          <w:sz w:val="20"/>
          <w:szCs w:val="20"/>
          <w:color w:val="auto"/>
        </w:rPr>
      </w:pPr>
    </w:p>
    <w:p>
      <w:pPr>
        <w:jc w:val="both"/>
        <w:ind w:left="1208" w:hanging="647"/>
        <w:spacing w:after="0" w:line="253" w:lineRule="auto"/>
        <w:tabs>
          <w:tab w:leader="none" w:pos="1187" w:val="left"/>
        </w:tabs>
        <w:rPr>
          <w:sz w:val="20"/>
          <w:szCs w:val="20"/>
          <w:color w:val="auto"/>
        </w:rPr>
      </w:pPr>
      <w:r>
        <w:rPr>
          <w:rFonts w:ascii="Arial" w:cs="Arial" w:eastAsia="Arial" w:hAnsi="Arial"/>
          <w:sz w:val="22"/>
          <w:szCs w:val="22"/>
          <w:color w:val="auto"/>
        </w:rPr>
        <w:t>7.2.4</w:t>
        <w:tab/>
        <w:t>The Parties shall equally share the costs of any Regulatory Clearances required under any applicable laws, including reasonable expenses for advisors. The Parties shall present to the Steering Committee a budget for such expenses and monthly status of their accrual.</w:t>
      </w:r>
    </w:p>
    <w:p>
      <w:pPr>
        <w:spacing w:after="0" w:line="220" w:lineRule="exact"/>
        <w:rPr>
          <w:sz w:val="20"/>
          <w:szCs w:val="20"/>
          <w:color w:val="auto"/>
        </w:rPr>
      </w:pPr>
    </w:p>
    <w:p>
      <w:pPr>
        <w:ind w:left="488" w:hanging="488"/>
        <w:spacing w:after="0"/>
        <w:tabs>
          <w:tab w:leader="none" w:pos="488"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COVENANTS</w:t>
      </w:r>
    </w:p>
    <w:p>
      <w:pPr>
        <w:spacing w:after="0" w:line="260" w:lineRule="exact"/>
        <w:rPr>
          <w:sz w:val="20"/>
          <w:szCs w:val="20"/>
          <w:color w:val="auto"/>
        </w:rPr>
      </w:pPr>
    </w:p>
    <w:p>
      <w:pPr>
        <w:ind w:left="8"/>
        <w:spacing w:after="0"/>
        <w:tabs>
          <w:tab w:leader="none" w:pos="467"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Negotiation of Ancillary Agreements</w:t>
      </w:r>
    </w:p>
    <w:p>
      <w:pPr>
        <w:spacing w:after="0" w:line="266" w:lineRule="exact"/>
        <w:rPr>
          <w:sz w:val="20"/>
          <w:szCs w:val="20"/>
          <w:color w:val="auto"/>
        </w:rPr>
      </w:pPr>
    </w:p>
    <w:p>
      <w:pPr>
        <w:jc w:val="both"/>
        <w:ind w:left="1128" w:hanging="647"/>
        <w:spacing w:after="0" w:line="312" w:lineRule="auto"/>
        <w:tabs>
          <w:tab w:leader="none" w:pos="1107"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color w:val="auto"/>
        </w:rPr>
        <w:t xml:space="preserve">The Parties shall negotiate (or cause their Affiliates to negotiate, as appropriate) in good faith to finalize the terms of the Ancillary Agreements in accordance with the targeted deadlines set out in </w:t>
      </w:r>
      <w:r>
        <w:rPr>
          <w:rFonts w:ascii="Arial" w:cs="Arial" w:eastAsia="Arial" w:hAnsi="Arial"/>
          <w:sz w:val="19"/>
          <w:szCs w:val="19"/>
          <w:u w:val="single" w:color="auto"/>
          <w:color w:val="auto"/>
        </w:rPr>
        <w:t>Exhibit 4</w:t>
      </w:r>
      <w:r>
        <w:rPr>
          <w:rFonts w:ascii="Arial" w:cs="Arial" w:eastAsia="Arial" w:hAnsi="Arial"/>
          <w:sz w:val="19"/>
          <w:szCs w:val="19"/>
          <w:color w:val="auto"/>
        </w:rPr>
        <w:t>. The Parties shall establish working committees in respect of each Ancillary Agreement composed of appropriate individuals.</w:t>
      </w:r>
    </w:p>
    <w:p>
      <w:pPr>
        <w:spacing w:after="0" w:line="174" w:lineRule="exact"/>
        <w:rPr>
          <w:sz w:val="20"/>
          <w:szCs w:val="20"/>
          <w:color w:val="auto"/>
        </w:rPr>
      </w:pPr>
    </w:p>
    <w:p>
      <w:pPr>
        <w:jc w:val="both"/>
        <w:ind w:left="1128" w:hanging="647"/>
        <w:spacing w:after="0" w:line="253" w:lineRule="auto"/>
        <w:tabs>
          <w:tab w:leader="none" w:pos="1107" w:val="left"/>
        </w:tabs>
        <w:rPr>
          <w:sz w:val="20"/>
          <w:szCs w:val="20"/>
          <w:color w:val="auto"/>
        </w:rPr>
      </w:pPr>
      <w:r>
        <w:rPr>
          <w:rFonts w:ascii="Arial" w:cs="Arial" w:eastAsia="Arial" w:hAnsi="Arial"/>
          <w:sz w:val="22"/>
          <w:szCs w:val="22"/>
          <w:color w:val="auto"/>
        </w:rPr>
        <w:t>8.1.2</w:t>
        <w:tab/>
        <w:t>The Parties shall report bi-weekly to the Steering Committee regarding the progress of the negotiation and finalization of the Ancillary Agreement and the Steering Committee shall discuss and resolve issues that may be causing any delay in meeting the targeted deadlines.</w:t>
      </w:r>
    </w:p>
    <w:p>
      <w:pPr>
        <w:spacing w:after="0" w:line="226" w:lineRule="exact"/>
        <w:rPr>
          <w:sz w:val="20"/>
          <w:szCs w:val="20"/>
          <w:color w:val="auto"/>
        </w:rPr>
      </w:pPr>
    </w:p>
    <w:p>
      <w:pPr>
        <w:jc w:val="both"/>
        <w:ind w:left="1128" w:hanging="647"/>
        <w:spacing w:after="0" w:line="263" w:lineRule="auto"/>
        <w:tabs>
          <w:tab w:leader="none" w:pos="1107" w:val="left"/>
        </w:tabs>
        <w:rPr>
          <w:sz w:val="20"/>
          <w:szCs w:val="20"/>
          <w:color w:val="auto"/>
        </w:rPr>
      </w:pPr>
      <w:r>
        <w:rPr>
          <w:rFonts w:ascii="Arial" w:cs="Arial" w:eastAsia="Arial" w:hAnsi="Arial"/>
          <w:sz w:val="22"/>
          <w:szCs w:val="22"/>
          <w:color w:val="auto"/>
        </w:rPr>
        <w:t>8.1.3</w:t>
        <w:tab/>
        <w:t>The Parties have agreed that all the Initial Ancillary Agreements shall be signed (or in final form and approved by the Steering Committee) by December 31, 2012.</w:t>
      </w:r>
    </w:p>
    <w:p>
      <w:pPr>
        <w:spacing w:after="0" w:line="215" w:lineRule="exact"/>
        <w:rPr>
          <w:sz w:val="20"/>
          <w:szCs w:val="20"/>
          <w:color w:val="auto"/>
        </w:rPr>
      </w:pPr>
    </w:p>
    <w:p>
      <w:pPr>
        <w:jc w:val="both"/>
        <w:ind w:left="1128" w:hanging="647"/>
        <w:spacing w:after="0" w:line="287" w:lineRule="auto"/>
        <w:tabs>
          <w:tab w:leader="none" w:pos="1107" w:val="left"/>
        </w:tabs>
        <w:rPr>
          <w:sz w:val="20"/>
          <w:szCs w:val="20"/>
          <w:color w:val="auto"/>
        </w:rPr>
      </w:pPr>
      <w:r>
        <w:rPr>
          <w:rFonts w:ascii="Arial" w:cs="Arial" w:eastAsia="Arial" w:hAnsi="Arial"/>
          <w:sz w:val="22"/>
          <w:szCs w:val="22"/>
          <w:color w:val="auto"/>
        </w:rPr>
        <w:t>8.1.4</w:t>
      </w:r>
      <w:r>
        <w:rPr>
          <w:sz w:val="20"/>
          <w:szCs w:val="20"/>
          <w:color w:val="auto"/>
        </w:rPr>
        <w:tab/>
      </w:r>
      <w:r>
        <w:rPr>
          <w:rFonts w:ascii="Arial" w:cs="Arial" w:eastAsia="Arial" w:hAnsi="Arial"/>
          <w:sz w:val="19"/>
          <w:szCs w:val="19"/>
          <w:color w:val="auto"/>
        </w:rPr>
        <w:t>Following January 1, 2013, if for any reason whatsoever any Development Programs (as defined in the Development Agreement) concerning Products agreed under the Development Agreements are terminated, with the effect that there will be fewer than three active Development Programs (“</w:t>
      </w:r>
      <w:r>
        <w:rPr>
          <w:rFonts w:ascii="Arial" w:cs="Arial" w:eastAsia="Arial" w:hAnsi="Arial"/>
          <w:sz w:val="19"/>
          <w:szCs w:val="19"/>
          <w:b w:val="1"/>
          <w:bCs w:val="1"/>
          <w:color w:val="auto"/>
        </w:rPr>
        <w:t>Minimum Development</w:t>
      </w:r>
      <w:r>
        <w:rPr>
          <w:rFonts w:ascii="Arial" w:cs="Arial" w:eastAsia="Arial" w:hAnsi="Arial"/>
          <w:sz w:val="19"/>
          <w:szCs w:val="19"/>
          <w:color w:val="auto"/>
        </w:rPr>
        <w:t xml:space="preserve"> </w:t>
      </w:r>
      <w:r>
        <w:rPr>
          <w:rFonts w:ascii="Arial" w:cs="Arial" w:eastAsia="Arial" w:hAnsi="Arial"/>
          <w:sz w:val="19"/>
          <w:szCs w:val="19"/>
          <w:b w:val="1"/>
          <w:bCs w:val="1"/>
          <w:color w:val="auto"/>
        </w:rPr>
        <w:t>Programs</w:t>
      </w:r>
      <w:r>
        <w:rPr>
          <w:rFonts w:ascii="Arial" w:cs="Arial" w:eastAsia="Arial" w:hAnsi="Arial"/>
          <w:sz w:val="19"/>
          <w:szCs w:val="19"/>
          <w:color w:val="auto"/>
        </w:rPr>
        <w:t>”), the Parties shall replace the cancelled Development Programs with one or more new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Programs, with the objective to re-establish the Minimum Development Programs. Such new Development Programs will be determined by the Steering Committee. If the Steering Committee fails to agree on such re-establishment of Minimum Development Programs within 60 days following the termination of the relevant Development Program, the Chief Executive Officer of GMH and the Chairman of the Managing Board of PSA shall meet promptly in a mutually agreed location to discuss a solution in good faith. If within the following 40 days the Chief Executive Officer of GMH and the Chairman of the Managing Board of PSA have not agreed on such re-establishment of Minimum Development Programs, the non-breaching Party (in the event the terminated Development Program(s) was(were) terminated for breach) or either</w:t>
      </w: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8"/>
          </w:cols>
          <w:pgMar w:left="572" w:top="375" w:right="239" w:bottom="1440" w:gutter="0" w:footer="0" w:header="0"/>
        </w:sectPr>
      </w:pPr>
    </w:p>
    <w:bookmarkStart w:id="173" w:name="page174"/>
    <w:bookmarkEnd w:id="173"/>
    <w:p>
      <w:pPr>
        <w:jc w:val="both"/>
        <w:ind w:left="1280"/>
        <w:spacing w:after="0" w:line="253" w:lineRule="auto"/>
        <w:rPr>
          <w:sz w:val="20"/>
          <w:szCs w:val="20"/>
          <w:color w:val="auto"/>
        </w:rPr>
      </w:pPr>
      <w:r>
        <w:rPr>
          <w:rFonts w:ascii="Arial" w:cs="Arial" w:eastAsia="Arial" w:hAnsi="Arial"/>
          <w:sz w:val="22"/>
          <w:szCs w:val="22"/>
          <w:color w:val="auto"/>
        </w:rPr>
        <w:t>Party (in the event the Development Program(s) was(were) terminated pursuant to Section 6.5.2 of the Development Agreement or by mutual agreement) may terminate this Agreement and the Alliance, and the provisions of Section 10 shall apply;</w:t>
      </w:r>
    </w:p>
    <w:p>
      <w:pPr>
        <w:spacing w:after="0" w:line="226" w:lineRule="exact"/>
        <w:rPr>
          <w:sz w:val="20"/>
          <w:szCs w:val="20"/>
          <w:color w:val="auto"/>
        </w:rPr>
      </w:pPr>
    </w:p>
    <w:p>
      <w:pPr>
        <w:jc w:val="both"/>
        <w:ind w:left="1280"/>
        <w:spacing w:after="0" w:line="297" w:lineRule="auto"/>
        <w:rPr>
          <w:sz w:val="20"/>
          <w:szCs w:val="20"/>
          <w:color w:val="auto"/>
        </w:rPr>
      </w:pP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the event the Development Program(s) was(were) terminated pursuant to Section 6.5.2 of the Development Agreement, such termination right may only be exercised (i) if the non terminating Party has not challenged such termination pursuant to Section 8.13.3 of the Development Agreement within 30 days after the receipt of the notice of termination pursuant to such Section 6.5.2 or (ii) if the other Party has so challenged such termination, it has been finally determined by the arbitration tribunal in accordance with Section 8.13.3;</w:t>
      </w:r>
    </w:p>
    <w:p>
      <w:pPr>
        <w:spacing w:after="0" w:line="188" w:lineRule="exact"/>
        <w:rPr>
          <w:sz w:val="20"/>
          <w:szCs w:val="20"/>
          <w:color w:val="auto"/>
        </w:rPr>
      </w:pPr>
    </w:p>
    <w:p>
      <w:pPr>
        <w:jc w:val="both"/>
        <w:ind w:left="1280"/>
        <w:spacing w:after="0" w:line="289" w:lineRule="auto"/>
        <w:rPr>
          <w:sz w:val="20"/>
          <w:szCs w:val="20"/>
          <w:color w:val="auto"/>
        </w:rPr>
      </w:pPr>
      <w:r>
        <w:rPr>
          <w:rFonts w:ascii="Arial" w:cs="Arial" w:eastAsia="Arial" w:hAnsi="Arial"/>
          <w:sz w:val="19"/>
          <w:szCs w:val="19"/>
          <w:u w:val="single" w:color="auto"/>
          <w:color w:val="auto"/>
        </w:rPr>
        <w:t>provided further that</w:t>
      </w:r>
      <w:r>
        <w:rPr>
          <w:rFonts w:ascii="Arial" w:cs="Arial" w:eastAsia="Arial" w:hAnsi="Arial"/>
          <w:sz w:val="19"/>
          <w:szCs w:val="19"/>
          <w:color w:val="auto"/>
        </w:rPr>
        <w:t xml:space="preserve"> in the event of a termination by a Party of a Development Program based on a Program Material Breach (as defined in the Development Agreement), the relevant Development Program shall only be deemed to no longer be active for the purposes of this Section 8.1.4 (i) if the other Party has not challenged such termination pursuant to Section 8.13.3 of the Development Agreement within 30 days after the receipt of the notice of termination, on grounds that there was no Program Material Breach because no delay exceeding 6 months in the Program Timing SORP has been validly determined in accordance with the Development Agreement, or (ii) if the other Party has so challenged such termination, it has been finally determined by the arbitration tribunal in accordance with 8.13.3 of the Development Agreement that such delay in the Program Timing SORP was validly determined in accordance with the Development Agreement.</w:t>
      </w:r>
    </w:p>
    <w:p>
      <w:pPr>
        <w:spacing w:after="0" w:line="192"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Access to information</w:t>
      </w:r>
    </w:p>
    <w:p>
      <w:pPr>
        <w:spacing w:after="0" w:line="266" w:lineRule="exact"/>
        <w:rPr>
          <w:sz w:val="20"/>
          <w:szCs w:val="20"/>
          <w:color w:val="auto"/>
        </w:rPr>
      </w:pPr>
    </w:p>
    <w:p>
      <w:pPr>
        <w:jc w:val="both"/>
        <w:ind w:left="800"/>
        <w:spacing w:after="0" w:line="248" w:lineRule="auto"/>
        <w:rPr>
          <w:sz w:val="20"/>
          <w:szCs w:val="20"/>
          <w:color w:val="auto"/>
        </w:rPr>
      </w:pPr>
      <w:r>
        <w:rPr>
          <w:rFonts w:ascii="Arial" w:cs="Arial" w:eastAsia="Arial" w:hAnsi="Arial"/>
          <w:sz w:val="22"/>
          <w:szCs w:val="22"/>
          <w:color w:val="auto"/>
        </w:rPr>
        <w:t>To the extent permitted by applicable law (including competition and securities law) and subject to individual confidentiality undertakings in accordance with standard security procedures of each Party, between the date of this Agreement and the execution of all Ancillary Agreements, each Party shall give to the other reasonable access to the employees who shall be involved in the various aspects of the Alliance and to all reasonably necessary information to prepare and enter into the Ancillary Agreements.</w:t>
      </w:r>
    </w:p>
    <w:p>
      <w:pPr>
        <w:spacing w:after="0" w:line="22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Negotiation and execution of Ancillary Agreements</w:t>
      </w:r>
    </w:p>
    <w:p>
      <w:pPr>
        <w:spacing w:after="0" w:line="266" w:lineRule="exact"/>
        <w:rPr>
          <w:sz w:val="20"/>
          <w:szCs w:val="20"/>
          <w:color w:val="auto"/>
        </w:rPr>
      </w:pPr>
    </w:p>
    <w:p>
      <w:pPr>
        <w:jc w:val="both"/>
        <w:ind w:left="800"/>
        <w:spacing w:after="0" w:line="263" w:lineRule="auto"/>
        <w:rPr>
          <w:sz w:val="20"/>
          <w:szCs w:val="20"/>
          <w:color w:val="auto"/>
        </w:rPr>
      </w:pPr>
      <w:r>
        <w:rPr>
          <w:rFonts w:ascii="Arial" w:cs="Arial" w:eastAsia="Arial" w:hAnsi="Arial"/>
          <w:sz w:val="22"/>
          <w:szCs w:val="22"/>
          <w:color w:val="auto"/>
        </w:rPr>
        <w:t>In parallel with the negotiation and finalization of the Ancillary Agreements, the Parties will complete any required employee consultation procedures.</w:t>
      </w:r>
    </w:p>
    <w:p>
      <w:pPr>
        <w:spacing w:after="0" w:line="215" w:lineRule="exact"/>
        <w:rPr>
          <w:sz w:val="20"/>
          <w:szCs w:val="20"/>
          <w:color w:val="auto"/>
        </w:rPr>
      </w:pPr>
    </w:p>
    <w:p>
      <w:pPr>
        <w:jc w:val="both"/>
        <w:ind w:left="800"/>
        <w:spacing w:after="0" w:line="263" w:lineRule="auto"/>
        <w:rPr>
          <w:sz w:val="20"/>
          <w:szCs w:val="20"/>
          <w:color w:val="auto"/>
        </w:rPr>
      </w:pPr>
      <w:r>
        <w:rPr>
          <w:rFonts w:ascii="Arial" w:cs="Arial" w:eastAsia="Arial" w:hAnsi="Arial"/>
          <w:sz w:val="22"/>
          <w:szCs w:val="22"/>
          <w:color w:val="auto"/>
        </w:rPr>
        <w:t>The Parties shall cause each Ancillary Agreement to be signed promptly after final agreement thereon (provided that any Regulatory Clearances required in connection therewith will be obtained).</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Exclusivity</w:t>
      </w:r>
    </w:p>
    <w:p>
      <w:pPr>
        <w:spacing w:after="0" w:line="266" w:lineRule="exact"/>
        <w:rPr>
          <w:sz w:val="20"/>
          <w:szCs w:val="20"/>
          <w:color w:val="auto"/>
        </w:rPr>
      </w:pPr>
    </w:p>
    <w:p>
      <w:pPr>
        <w:jc w:val="both"/>
        <w:ind w:left="800"/>
        <w:spacing w:after="0" w:line="248" w:lineRule="auto"/>
        <w:rPr>
          <w:sz w:val="20"/>
          <w:szCs w:val="20"/>
          <w:color w:val="auto"/>
        </w:rPr>
      </w:pPr>
      <w:r>
        <w:rPr>
          <w:rFonts w:ascii="Arial" w:cs="Arial" w:eastAsia="Arial" w:hAnsi="Arial"/>
          <w:sz w:val="22"/>
          <w:szCs w:val="22"/>
          <w:color w:val="auto"/>
        </w:rPr>
        <w:t xml:space="preserve">From February 29, 2012 until December 31, 2012, neither Party nor any of their Affiliates shall engage in discussions or enter into any joint venture, alliance, partnership, cooperation agreement or similar arrangement with a Competitor relating in all or in part to the scope of the Alliance,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Party shall have the right to enter into such agreements limited in scope and that do not jeopardize the implementation of the Alliance. In respect of joint development, the</w:t>
      </w:r>
    </w:p>
    <w:p>
      <w:pPr>
        <w:spacing w:after="0" w:line="21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420" w:top="375" w:right="239" w:bottom="1440" w:gutter="0" w:footer="0" w:header="0"/>
        </w:sectPr>
      </w:pPr>
    </w:p>
    <w:bookmarkStart w:id="174" w:name="page175"/>
    <w:bookmarkEnd w:id="174"/>
    <w:p>
      <w:pPr>
        <w:jc w:val="both"/>
        <w:ind w:left="800"/>
        <w:spacing w:after="0" w:line="253" w:lineRule="auto"/>
        <w:rPr>
          <w:sz w:val="20"/>
          <w:szCs w:val="20"/>
          <w:color w:val="auto"/>
        </w:rPr>
      </w:pPr>
      <w:r>
        <w:rPr>
          <w:rFonts w:ascii="Arial" w:cs="Arial" w:eastAsia="Arial" w:hAnsi="Arial"/>
          <w:sz w:val="22"/>
          <w:szCs w:val="22"/>
          <w:color w:val="auto"/>
        </w:rPr>
        <w:t>foregoing exclusivity obligation shall be limited to product programs on which the engineering and planning teams of the two Parties are engaged in active discussions or which they have otherwise agreed to include within the scope of the Alliance</w:t>
      </w:r>
      <w:r>
        <w:rPr>
          <w:rFonts w:ascii="Arial" w:cs="Arial" w:eastAsia="Arial" w:hAnsi="Arial"/>
          <w:sz w:val="22"/>
          <w:szCs w:val="22"/>
          <w:i w:val="1"/>
          <w:iCs w:val="1"/>
          <w:color w:val="auto"/>
        </w:rPr>
        <w:t>.</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Confidentiality</w:t>
      </w:r>
    </w:p>
    <w:p>
      <w:pPr>
        <w:spacing w:after="0" w:line="266" w:lineRule="exact"/>
        <w:rPr>
          <w:sz w:val="20"/>
          <w:szCs w:val="20"/>
          <w:color w:val="auto"/>
        </w:rPr>
      </w:pPr>
    </w:p>
    <w:p>
      <w:pPr>
        <w:jc w:val="both"/>
        <w:ind w:left="1280" w:hanging="647"/>
        <w:spacing w:after="0" w:line="250" w:lineRule="auto"/>
        <w:tabs>
          <w:tab w:leader="none" w:pos="1260" w:val="left"/>
        </w:tabs>
        <w:rPr>
          <w:sz w:val="20"/>
          <w:szCs w:val="20"/>
          <w:color w:val="auto"/>
        </w:rPr>
      </w:pPr>
      <w:r>
        <w:rPr>
          <w:rFonts w:ascii="Arial" w:cs="Arial" w:eastAsia="Arial" w:hAnsi="Arial"/>
          <w:sz w:val="22"/>
          <w:szCs w:val="22"/>
          <w:color w:val="auto"/>
        </w:rPr>
        <w:t>8.5.1</w:t>
        <w:tab/>
        <w:t>Except as set forth in Section 8.5.2 and 8.5.4 below, each Party shall, and shall procure that its respective Affiliates shall, treat as strictly confidential and shall not disclose or use any information received or obtained as a result of entering into or implementing this Agreement, the Ancillary Agreements or any agreement entered into pursuant to this Agreement which relates to:</w:t>
      </w:r>
    </w:p>
    <w:p>
      <w:pPr>
        <w:spacing w:after="0" w:line="229" w:lineRule="exact"/>
        <w:rPr>
          <w:sz w:val="20"/>
          <w:szCs w:val="20"/>
          <w:color w:val="auto"/>
        </w:rPr>
      </w:pPr>
    </w:p>
    <w:p>
      <w:pPr>
        <w:ind w:left="1280" w:hanging="642"/>
        <w:spacing w:after="0" w:line="263" w:lineRule="auto"/>
        <w:tabs>
          <w:tab w:leader="none" w:pos="12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existence and provisions of the Alliance, of this Agreement, of the Equity Investment, of any Ancillary Agreement, or of any other agreement entered into pursuant to this Agreement;</w:t>
      </w:r>
    </w:p>
    <w:p>
      <w:pPr>
        <w:spacing w:after="0" w:line="215" w:lineRule="exact"/>
        <w:rPr>
          <w:rFonts w:ascii="Arial" w:cs="Arial" w:eastAsia="Arial" w:hAnsi="Arial"/>
          <w:sz w:val="22"/>
          <w:szCs w:val="22"/>
          <w:color w:val="auto"/>
        </w:rPr>
      </w:pPr>
    </w:p>
    <w:p>
      <w:pPr>
        <w:ind w:left="1280" w:hanging="642"/>
        <w:spacing w:after="0" w:line="263" w:lineRule="auto"/>
        <w:tabs>
          <w:tab w:leader="none" w:pos="12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negotiations relating to this Alliance, this Agreement, the Equity Investment, the Ancillary Agreements and any such other related agreements; or</w:t>
      </w:r>
    </w:p>
    <w:p>
      <w:pPr>
        <w:spacing w:after="0" w:line="215" w:lineRule="exact"/>
        <w:rPr>
          <w:rFonts w:ascii="Arial" w:cs="Arial" w:eastAsia="Arial" w:hAnsi="Arial"/>
          <w:sz w:val="22"/>
          <w:szCs w:val="22"/>
          <w:color w:val="auto"/>
        </w:rPr>
      </w:pPr>
    </w:p>
    <w:p>
      <w:pPr>
        <w:ind w:left="1280" w:hanging="642"/>
        <w:spacing w:after="0" w:line="263" w:lineRule="auto"/>
        <w:tabs>
          <w:tab w:leader="none" w:pos="12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information relating to the business, financial status, intellectual property, know-how, technology, trade secrets of the other Party and its Affiliates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Confidential Information</w:t>
      </w:r>
      <w:r>
        <w:rPr>
          <w:rFonts w:ascii="Arial" w:cs="Arial" w:eastAsia="Arial" w:hAnsi="Arial"/>
          <w:sz w:val="22"/>
          <w:szCs w:val="22"/>
          <w:color w:val="auto"/>
        </w:rPr>
        <w:t>”).</w:t>
      </w:r>
    </w:p>
    <w:p>
      <w:pPr>
        <w:spacing w:after="0" w:line="266" w:lineRule="exact"/>
        <w:rPr>
          <w:sz w:val="20"/>
          <w:szCs w:val="20"/>
          <w:color w:val="auto"/>
        </w:rPr>
      </w:pPr>
    </w:p>
    <w:p>
      <w:pPr>
        <w:ind w:left="1280" w:hanging="647"/>
        <w:spacing w:after="0" w:line="263" w:lineRule="auto"/>
        <w:tabs>
          <w:tab w:leader="none" w:pos="1260" w:val="left"/>
        </w:tabs>
        <w:rPr>
          <w:sz w:val="20"/>
          <w:szCs w:val="20"/>
          <w:color w:val="auto"/>
        </w:rPr>
      </w:pPr>
      <w:r>
        <w:rPr>
          <w:rFonts w:ascii="Arial" w:cs="Arial" w:eastAsia="Arial" w:hAnsi="Arial"/>
          <w:sz w:val="22"/>
          <w:szCs w:val="22"/>
          <w:color w:val="auto"/>
        </w:rPr>
        <w:t>8.5.2</w:t>
        <w:tab/>
        <w:t>The confidentiality undertaking set forth in Section 8.5.1 shall not prohibit disclosure or use of any information if and to the extent that:</w:t>
      </w:r>
    </w:p>
    <w:p>
      <w:pPr>
        <w:spacing w:after="0" w:line="215" w:lineRule="exact"/>
        <w:rPr>
          <w:sz w:val="20"/>
          <w:szCs w:val="20"/>
          <w:color w:val="auto"/>
        </w:rPr>
      </w:pPr>
    </w:p>
    <w:p>
      <w:pPr>
        <w:ind w:left="1280" w:hanging="642"/>
        <w:spacing w:after="0" w:line="263" w:lineRule="auto"/>
        <w:tabs>
          <w:tab w:leader="none" w:pos="12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disclosure or use is required in connection with the due performance of this Agreement or any Ancillary Agreement;</w:t>
      </w:r>
    </w:p>
    <w:p>
      <w:pPr>
        <w:spacing w:after="0" w:line="215" w:lineRule="exact"/>
        <w:rPr>
          <w:rFonts w:ascii="Arial" w:cs="Arial" w:eastAsia="Arial" w:hAnsi="Arial"/>
          <w:sz w:val="22"/>
          <w:szCs w:val="22"/>
          <w:color w:val="auto"/>
        </w:rPr>
      </w:pPr>
    </w:p>
    <w:p>
      <w:pPr>
        <w:jc w:val="both"/>
        <w:ind w:left="1280" w:hanging="642"/>
        <w:spacing w:after="0" w:line="260" w:lineRule="auto"/>
        <w:tabs>
          <w:tab w:leader="none" w:pos="12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such disclosure or use is required by law, any regulatory body or any stock exchange on which the shares of any Party are listed (including where this is required as part of its financial reporting requirements or any actual or potential offering, placing and/or sale of securities of any member of the GMH Group or the PSA Group), provided that any disclosure of information to the works councils of a Party or any of its Affiliates shall be limited to the extent necessary to comply with applicable law and require prior notification to the other Party (without any requirement of translation) and such other Party’s timely and reasonable comments on the content and scope of such disclosure shall be taken into consideration;</w:t>
      </w:r>
    </w:p>
    <w:p>
      <w:pPr>
        <w:spacing w:after="0" w:line="221" w:lineRule="exact"/>
        <w:rPr>
          <w:rFonts w:ascii="Arial" w:cs="Arial" w:eastAsia="Arial" w:hAnsi="Arial"/>
          <w:sz w:val="21"/>
          <w:szCs w:val="21"/>
          <w:color w:val="auto"/>
        </w:rPr>
      </w:pPr>
    </w:p>
    <w:p>
      <w:pPr>
        <w:jc w:val="both"/>
        <w:ind w:left="1280" w:hanging="642"/>
        <w:spacing w:after="0" w:line="312" w:lineRule="auto"/>
        <w:tabs>
          <w:tab w:leader="none" w:pos="12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such disclosure or use is required for the purpose of any arbitral or judicial proceedings arising out of this Agreement, the Ancillary Agreements or any other agreement entered into under or pursuant to this Agreement, or the disclosure is made to a tax authority in connection with the tax affairs of the disclosing party;</w:t>
      </w:r>
    </w:p>
    <w:p>
      <w:pPr>
        <w:spacing w:after="0" w:line="174" w:lineRule="exact"/>
        <w:rPr>
          <w:rFonts w:ascii="Arial" w:cs="Arial" w:eastAsia="Arial" w:hAnsi="Arial"/>
          <w:sz w:val="19"/>
          <w:szCs w:val="19"/>
          <w:color w:val="auto"/>
        </w:rPr>
      </w:pPr>
    </w:p>
    <w:p>
      <w:pPr>
        <w:ind w:left="1280" w:hanging="642"/>
        <w:spacing w:after="0" w:line="263" w:lineRule="auto"/>
        <w:tabs>
          <w:tab w:leader="none" w:pos="12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information is or becomes publicly available (other than by breach of the confidentiality undertakings of this Agreement);</w:t>
      </w: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420" w:top="375" w:right="239" w:bottom="1440" w:gutter="0" w:footer="0" w:header="0"/>
        </w:sectPr>
      </w:pPr>
    </w:p>
    <w:bookmarkStart w:id="175" w:name="page176"/>
    <w:bookmarkEnd w:id="175"/>
    <w:p>
      <w:pPr>
        <w:ind w:left="1280" w:hanging="642"/>
        <w:spacing w:after="0" w:line="287" w:lineRule="auto"/>
        <w:tabs>
          <w:tab w:leader="none" w:pos="12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such information is obtained free of any restrictions on use or obligations of confidentiality from a third party which is itself free of any restrictions on use or obligations of confidentiality with respect to that information;</w:t>
      </w:r>
    </w:p>
    <w:p>
      <w:pPr>
        <w:spacing w:after="0" w:line="192" w:lineRule="exact"/>
        <w:rPr>
          <w:rFonts w:ascii="Arial" w:cs="Arial" w:eastAsia="Arial" w:hAnsi="Arial"/>
          <w:sz w:val="21"/>
          <w:szCs w:val="21"/>
          <w:color w:val="auto"/>
        </w:rPr>
      </w:pPr>
    </w:p>
    <w:p>
      <w:pPr>
        <w:ind w:left="1280" w:hanging="642"/>
        <w:spacing w:after="0" w:line="263" w:lineRule="auto"/>
        <w:tabs>
          <w:tab w:leader="none" w:pos="12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such information is already in the possession of the receiving party and is not subject to obligation of confidentiality or a restriction on use;</w:t>
      </w:r>
    </w:p>
    <w:p>
      <w:pPr>
        <w:spacing w:after="0" w:line="215" w:lineRule="exact"/>
        <w:rPr>
          <w:rFonts w:ascii="Arial" w:cs="Arial" w:eastAsia="Arial" w:hAnsi="Arial"/>
          <w:sz w:val="22"/>
          <w:szCs w:val="22"/>
          <w:color w:val="auto"/>
        </w:rPr>
      </w:pPr>
    </w:p>
    <w:p>
      <w:pPr>
        <w:jc w:val="both"/>
        <w:ind w:left="1280" w:hanging="642"/>
        <w:spacing w:after="0" w:line="253" w:lineRule="auto"/>
        <w:tabs>
          <w:tab w:leader="none" w:pos="12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such information is disclosed by a Party to its Affiliates, or to the officers, employees (other than employee representatives) and advisors (including, but not limited to, financial advisors, accountants and attorneys) on a need-to-know basis, and for advisors also under confidentiality obligation; or</w:t>
      </w:r>
    </w:p>
    <w:p>
      <w:pPr>
        <w:spacing w:after="0" w:line="226" w:lineRule="exact"/>
        <w:rPr>
          <w:rFonts w:ascii="Arial" w:cs="Arial" w:eastAsia="Arial" w:hAnsi="Arial"/>
          <w:sz w:val="22"/>
          <w:szCs w:val="22"/>
          <w:color w:val="auto"/>
        </w:rPr>
      </w:pPr>
    </w:p>
    <w:p>
      <w:pPr>
        <w:jc w:val="both"/>
        <w:ind w:left="1280" w:hanging="642"/>
        <w:spacing w:after="0" w:line="250" w:lineRule="auto"/>
        <w:tabs>
          <w:tab w:leader="none" w:pos="12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such disclosure is made on a confidential basis to potential purchasers of all or part of Gefco,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PSA shall limit the disclosed information to information relevant to the activities of Gefco and in such respect shall obtain the prior consent of GMH in respect of any disclosure of this Agreement, any of the Ancillary Agreements or other agreements entered into pursuant to this Agreement;</w:t>
      </w:r>
    </w:p>
    <w:p>
      <w:pPr>
        <w:spacing w:after="0" w:line="229" w:lineRule="exact"/>
        <w:rPr>
          <w:sz w:val="20"/>
          <w:szCs w:val="20"/>
          <w:color w:val="auto"/>
        </w:rPr>
      </w:pPr>
    </w:p>
    <w:p>
      <w:pPr>
        <w:jc w:val="both"/>
        <w:ind w:left="640"/>
        <w:spacing w:after="0" w:line="265"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disclosure or use of any information pursuant to Section 8.5.2(b), the Party which intends to disclose or use any Confidential Information shall promptly notify the other Party of such requirement with reasonable notice with a view to providing the other Party with the opportunity to provide comments on such disclosure or use or otherwise to agree on the timing and contents of such disclosure or use.</w:t>
      </w:r>
    </w:p>
    <w:p>
      <w:pPr>
        <w:spacing w:after="0" w:line="216" w:lineRule="exact"/>
        <w:rPr>
          <w:sz w:val="20"/>
          <w:szCs w:val="20"/>
          <w:color w:val="auto"/>
        </w:rPr>
      </w:pPr>
    </w:p>
    <w:p>
      <w:pPr>
        <w:jc w:val="both"/>
        <w:ind w:left="1280" w:right="20" w:hanging="647"/>
        <w:spacing w:after="0" w:line="253" w:lineRule="auto"/>
        <w:tabs>
          <w:tab w:leader="none" w:pos="1260" w:val="left"/>
        </w:tabs>
        <w:rPr>
          <w:sz w:val="20"/>
          <w:szCs w:val="20"/>
          <w:color w:val="auto"/>
        </w:rPr>
      </w:pPr>
      <w:r>
        <w:rPr>
          <w:rFonts w:ascii="Arial" w:cs="Arial" w:eastAsia="Arial" w:hAnsi="Arial"/>
          <w:sz w:val="22"/>
          <w:szCs w:val="22"/>
          <w:color w:val="auto"/>
        </w:rPr>
        <w:t>8.5.3</w:t>
        <w:tab/>
        <w:t>Each Party will limit the disclosure of Confidential Information of the other Party within its organization to the appropriate individuals and to the extent necessary to achieve the objectives of the Alliance, on a need-to-know basis.</w:t>
      </w:r>
    </w:p>
    <w:p>
      <w:pPr>
        <w:spacing w:after="0" w:line="226" w:lineRule="exact"/>
        <w:rPr>
          <w:sz w:val="20"/>
          <w:szCs w:val="20"/>
          <w:color w:val="auto"/>
        </w:rPr>
      </w:pPr>
    </w:p>
    <w:p>
      <w:pPr>
        <w:jc w:val="both"/>
        <w:ind w:left="1280" w:hanging="647"/>
        <w:spacing w:after="0" w:line="250" w:lineRule="auto"/>
        <w:tabs>
          <w:tab w:leader="none" w:pos="1260" w:val="left"/>
        </w:tabs>
        <w:rPr>
          <w:sz w:val="20"/>
          <w:szCs w:val="20"/>
          <w:color w:val="auto"/>
        </w:rPr>
      </w:pPr>
      <w:r>
        <w:rPr>
          <w:rFonts w:ascii="Arial" w:cs="Arial" w:eastAsia="Arial" w:hAnsi="Arial"/>
          <w:sz w:val="22"/>
          <w:szCs w:val="22"/>
          <w:color w:val="auto"/>
        </w:rPr>
        <w:t>8.5.4</w:t>
        <w:tab/>
        <w:t>The obligations set forth in this Section 8.5 supplement any other confidentiality agreement entered into by the Parties with respect to the subject matter hereof and shall remain in full force and effect until the fifth anniversary of the termination or expiration of this Agreement (except as may otherwise be provided in the Ancillary Agreements).</w:t>
      </w:r>
    </w:p>
    <w:p>
      <w:pPr>
        <w:spacing w:after="0" w:line="229" w:lineRule="exact"/>
        <w:rPr>
          <w:sz w:val="20"/>
          <w:szCs w:val="20"/>
          <w:color w:val="auto"/>
        </w:rPr>
      </w:pPr>
    </w:p>
    <w:p>
      <w:pPr>
        <w:jc w:val="both"/>
        <w:ind w:left="1280" w:hanging="647"/>
        <w:spacing w:after="0" w:line="253" w:lineRule="auto"/>
        <w:tabs>
          <w:tab w:leader="none" w:pos="1260" w:val="left"/>
        </w:tabs>
        <w:rPr>
          <w:sz w:val="20"/>
          <w:szCs w:val="20"/>
          <w:color w:val="auto"/>
        </w:rPr>
      </w:pPr>
      <w:r>
        <w:rPr>
          <w:rFonts w:ascii="Arial" w:cs="Arial" w:eastAsia="Arial" w:hAnsi="Arial"/>
          <w:sz w:val="22"/>
          <w:szCs w:val="22"/>
          <w:color w:val="auto"/>
        </w:rPr>
        <w:t>8.5.5</w:t>
        <w:tab/>
        <w:t>Any public announcement or press release by or on behalf of any Party with respect to this Agreement or the business of the Alliance shall be agreed to in writing by both Parties in advance of such public announcement or press release.</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Interim Period</w:t>
      </w:r>
    </w:p>
    <w:p>
      <w:pPr>
        <w:spacing w:after="0" w:line="266" w:lineRule="exact"/>
        <w:rPr>
          <w:sz w:val="20"/>
          <w:szCs w:val="20"/>
          <w:color w:val="auto"/>
        </w:rPr>
      </w:pPr>
    </w:p>
    <w:p>
      <w:pPr>
        <w:jc w:val="both"/>
        <w:ind w:left="1280" w:hanging="647"/>
        <w:spacing w:after="0" w:line="250" w:lineRule="auto"/>
        <w:tabs>
          <w:tab w:leader="none" w:pos="1260" w:val="left"/>
        </w:tabs>
        <w:rPr>
          <w:sz w:val="20"/>
          <w:szCs w:val="20"/>
          <w:color w:val="auto"/>
        </w:rPr>
      </w:pPr>
      <w:r>
        <w:rPr>
          <w:rFonts w:ascii="Arial" w:cs="Arial" w:eastAsia="Arial" w:hAnsi="Arial"/>
          <w:sz w:val="22"/>
          <w:szCs w:val="22"/>
          <w:color w:val="auto"/>
        </w:rPr>
        <w:t>8.6.1</w:t>
        <w:tab/>
        <w:t>The Parties recognize that in the period of time between the execution of this Agreement and the execution of the Development Agreements (the “</w:t>
      </w:r>
      <w:r>
        <w:rPr>
          <w:rFonts w:ascii="Arial" w:cs="Arial" w:eastAsia="Arial" w:hAnsi="Arial"/>
          <w:sz w:val="22"/>
          <w:szCs w:val="22"/>
          <w:b w:val="1"/>
          <w:bCs w:val="1"/>
          <w:color w:val="auto"/>
        </w:rPr>
        <w:t>Interim Period</w:t>
      </w:r>
      <w:r>
        <w:rPr>
          <w:rFonts w:ascii="Arial" w:cs="Arial" w:eastAsia="Arial" w:hAnsi="Arial"/>
          <w:sz w:val="22"/>
          <w:szCs w:val="22"/>
          <w:color w:val="auto"/>
        </w:rPr>
        <w:t>”) they might start development or pre-development analysis and work on certain product programs on which they are engaged in advanced discussions, in anticipation of the Development Agreements.</w:t>
      </w:r>
    </w:p>
    <w:p>
      <w:pPr>
        <w:spacing w:after="0" w:line="229" w:lineRule="exact"/>
        <w:rPr>
          <w:sz w:val="20"/>
          <w:szCs w:val="20"/>
          <w:color w:val="auto"/>
        </w:rPr>
      </w:pPr>
    </w:p>
    <w:p>
      <w:pPr>
        <w:jc w:val="both"/>
        <w:ind w:left="1280" w:hanging="647"/>
        <w:spacing w:after="0" w:line="250" w:lineRule="auto"/>
        <w:tabs>
          <w:tab w:leader="none" w:pos="1260" w:val="left"/>
        </w:tabs>
        <w:rPr>
          <w:sz w:val="20"/>
          <w:szCs w:val="20"/>
          <w:color w:val="auto"/>
        </w:rPr>
      </w:pPr>
      <w:r>
        <w:rPr>
          <w:rFonts w:ascii="Arial" w:cs="Arial" w:eastAsia="Arial" w:hAnsi="Arial"/>
          <w:sz w:val="22"/>
          <w:szCs w:val="22"/>
          <w:color w:val="auto"/>
        </w:rPr>
        <w:t>8.6.2</w:t>
        <w:tab/>
        <w:t>The work carried out by the Parties in the Interim Period shall be minimized and shall not involve the transfer or license of any intellectual property rights between the Parties. Any exchange of information shall be done in accordance with Section 8.2. The Steering Committee shall monitor such activities and review forecasts for continuing analysis and work during the Interim Period.</w:t>
      </w: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420" w:top="375" w:right="239" w:bottom="1440" w:gutter="0" w:footer="0" w:header="0"/>
        </w:sectPr>
      </w:pPr>
    </w:p>
    <w:bookmarkStart w:id="176" w:name="page177"/>
    <w:bookmarkEnd w:id="176"/>
    <w:p>
      <w:pPr>
        <w:jc w:val="both"/>
        <w:ind w:left="1120" w:hanging="647"/>
        <w:spacing w:after="0" w:line="265" w:lineRule="auto"/>
        <w:tabs>
          <w:tab w:leader="none" w:pos="1100" w:val="left"/>
        </w:tabs>
        <w:rPr>
          <w:sz w:val="20"/>
          <w:szCs w:val="20"/>
          <w:color w:val="auto"/>
        </w:rPr>
      </w:pPr>
      <w:r>
        <w:rPr>
          <w:rFonts w:ascii="Arial" w:cs="Arial" w:eastAsia="Arial" w:hAnsi="Arial"/>
          <w:sz w:val="22"/>
          <w:szCs w:val="22"/>
          <w:color w:val="auto"/>
        </w:rPr>
        <w:t>8.6.3</w:t>
      </w:r>
      <w:r>
        <w:rPr>
          <w:sz w:val="20"/>
          <w:szCs w:val="20"/>
          <w:color w:val="auto"/>
        </w:rPr>
        <w:tab/>
      </w:r>
      <w:r>
        <w:rPr>
          <w:rFonts w:ascii="Arial" w:cs="Arial" w:eastAsia="Arial" w:hAnsi="Arial"/>
          <w:sz w:val="21"/>
          <w:szCs w:val="21"/>
          <w:color w:val="auto"/>
        </w:rPr>
        <w:t>The work carried out by the Parties in the Interim Period shall be retroactively governed in all respects by the Development Agreements, including on cost sharing and intellectual property rights. If for any reason the Parties do not execute the Development Agreements within the deadlines set forth in this Agreement (as such deadlines may be extended by the Parties), the Parties will apply the following rules:</w:t>
      </w:r>
    </w:p>
    <w:p>
      <w:pPr>
        <w:spacing w:after="0" w:line="216" w:lineRule="exact"/>
        <w:rPr>
          <w:sz w:val="20"/>
          <w:szCs w:val="20"/>
          <w:color w:val="auto"/>
        </w:rPr>
      </w:pPr>
    </w:p>
    <w:p>
      <w:pPr>
        <w:ind w:left="1120" w:hanging="642"/>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Parties will share development costs for common parts of any given product on a 50/50 basis;</w:t>
      </w:r>
    </w:p>
    <w:p>
      <w:pPr>
        <w:spacing w:after="0" w:line="260" w:lineRule="exact"/>
        <w:rPr>
          <w:rFonts w:ascii="Arial" w:cs="Arial" w:eastAsia="Arial" w:hAnsi="Arial"/>
          <w:sz w:val="22"/>
          <w:szCs w:val="22"/>
          <w:color w:val="auto"/>
        </w:rPr>
      </w:pPr>
    </w:p>
    <w:p>
      <w:pPr>
        <w:ind w:left="1120" w:hanging="642"/>
        <w:spacing w:after="0" w:line="263" w:lineRule="auto"/>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development costs for unique parts of any given product will be borne or reimbursed by the Party that has requested such development; and</w:t>
      </w:r>
    </w:p>
    <w:p>
      <w:pPr>
        <w:spacing w:after="0" w:line="215" w:lineRule="exact"/>
        <w:rPr>
          <w:rFonts w:ascii="Arial" w:cs="Arial" w:eastAsia="Arial" w:hAnsi="Arial"/>
          <w:sz w:val="22"/>
          <w:szCs w:val="22"/>
          <w:color w:val="auto"/>
        </w:rPr>
      </w:pPr>
    </w:p>
    <w:p>
      <w:pPr>
        <w:jc w:val="both"/>
        <w:ind w:left="1120" w:hanging="642"/>
        <w:spacing w:after="0" w:line="253" w:lineRule="auto"/>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notwithstanding the reimbursement of the above costs, no intellectual property rights shall be licensed or transferred by one Party to the other Party, unless specifically agreed in writing by the Parties on a case-by-case basis.</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Performance Reviews</w:t>
      </w:r>
    </w:p>
    <w:p>
      <w:pPr>
        <w:spacing w:after="0" w:line="266" w:lineRule="exact"/>
        <w:rPr>
          <w:sz w:val="20"/>
          <w:szCs w:val="20"/>
          <w:color w:val="auto"/>
        </w:rPr>
      </w:pPr>
    </w:p>
    <w:p>
      <w:pPr>
        <w:jc w:val="both"/>
        <w:ind w:left="1120" w:hanging="647"/>
        <w:spacing w:after="0" w:line="263" w:lineRule="auto"/>
        <w:tabs>
          <w:tab w:leader="none" w:pos="1100" w:val="left"/>
        </w:tabs>
        <w:rPr>
          <w:sz w:val="20"/>
          <w:szCs w:val="20"/>
          <w:color w:val="auto"/>
        </w:rPr>
      </w:pPr>
      <w:r>
        <w:rPr>
          <w:rFonts w:ascii="Arial" w:cs="Arial" w:eastAsia="Arial" w:hAnsi="Arial"/>
          <w:sz w:val="22"/>
          <w:szCs w:val="22"/>
          <w:color w:val="auto"/>
        </w:rPr>
        <w:t>8.7.1</w:t>
        <w:tab/>
        <w:t>The Parties recognize that this Agreement and the Alliance are aimed at achieving significant and mutual benefits for both of them.</w:t>
      </w:r>
    </w:p>
    <w:p>
      <w:pPr>
        <w:spacing w:after="0" w:line="215" w:lineRule="exact"/>
        <w:rPr>
          <w:sz w:val="20"/>
          <w:szCs w:val="20"/>
          <w:color w:val="auto"/>
        </w:rPr>
      </w:pPr>
    </w:p>
    <w:p>
      <w:pPr>
        <w:jc w:val="both"/>
        <w:ind w:left="1120" w:hanging="647"/>
        <w:spacing w:after="0" w:line="287" w:lineRule="auto"/>
        <w:tabs>
          <w:tab w:leader="none" w:pos="1100" w:val="left"/>
        </w:tabs>
        <w:rPr>
          <w:sz w:val="20"/>
          <w:szCs w:val="20"/>
          <w:color w:val="auto"/>
        </w:rPr>
      </w:pPr>
      <w:r>
        <w:rPr>
          <w:rFonts w:ascii="Arial" w:cs="Arial" w:eastAsia="Arial" w:hAnsi="Arial"/>
          <w:sz w:val="22"/>
          <w:szCs w:val="22"/>
          <w:color w:val="auto"/>
        </w:rPr>
        <w:t>8.7.2</w:t>
      </w:r>
      <w:r>
        <w:rPr>
          <w:sz w:val="20"/>
          <w:szCs w:val="20"/>
          <w:color w:val="auto"/>
        </w:rPr>
        <w:tab/>
      </w:r>
      <w:r>
        <w:rPr>
          <w:rFonts w:ascii="Arial" w:cs="Arial" w:eastAsia="Arial" w:hAnsi="Arial"/>
          <w:sz w:val="21"/>
          <w:szCs w:val="21"/>
          <w:color w:val="auto"/>
        </w:rPr>
        <w:t>The Steering Committee will record annually the progress and performance of the Alliance based on objective performance criteria and will report annually on such progress and performance to the CEOs.</w:t>
      </w:r>
    </w:p>
    <w:p>
      <w:pPr>
        <w:spacing w:after="0" w:line="192" w:lineRule="exact"/>
        <w:rPr>
          <w:sz w:val="20"/>
          <w:szCs w:val="20"/>
          <w:color w:val="auto"/>
        </w:rPr>
      </w:pPr>
    </w:p>
    <w:p>
      <w:pPr>
        <w:jc w:val="both"/>
        <w:ind w:left="1120" w:hanging="647"/>
        <w:spacing w:after="0" w:line="253" w:lineRule="auto"/>
        <w:tabs>
          <w:tab w:leader="none" w:pos="1100" w:val="left"/>
        </w:tabs>
        <w:rPr>
          <w:sz w:val="20"/>
          <w:szCs w:val="20"/>
          <w:color w:val="auto"/>
        </w:rPr>
      </w:pPr>
      <w:r>
        <w:rPr>
          <w:rFonts w:ascii="Arial" w:cs="Arial" w:eastAsia="Arial" w:hAnsi="Arial"/>
          <w:sz w:val="22"/>
          <w:szCs w:val="22"/>
          <w:color w:val="auto"/>
        </w:rPr>
        <w:t>8.7.3</w:t>
        <w:tab/>
        <w:t>The performance criteria for the initial 4-year period of the Alliance (i.e., ending on March 5, 2016) shall be that at least four (4) Products shall be in series production or planned to be in series production within the following thirty-six (36) months.</w:t>
      </w:r>
    </w:p>
    <w:p>
      <w:pPr>
        <w:spacing w:after="0" w:line="226" w:lineRule="exact"/>
        <w:rPr>
          <w:sz w:val="20"/>
          <w:szCs w:val="20"/>
          <w:color w:val="auto"/>
        </w:rPr>
      </w:pPr>
    </w:p>
    <w:p>
      <w:pPr>
        <w:jc w:val="both"/>
        <w:ind w:left="1120" w:hanging="647"/>
        <w:spacing w:after="0" w:line="263" w:lineRule="auto"/>
        <w:tabs>
          <w:tab w:leader="none" w:pos="1100" w:val="left"/>
        </w:tabs>
        <w:rPr>
          <w:sz w:val="20"/>
          <w:szCs w:val="20"/>
          <w:color w:val="auto"/>
        </w:rPr>
      </w:pPr>
      <w:r>
        <w:rPr>
          <w:rFonts w:ascii="Arial" w:cs="Arial" w:eastAsia="Arial" w:hAnsi="Arial"/>
          <w:sz w:val="22"/>
          <w:szCs w:val="22"/>
          <w:color w:val="auto"/>
        </w:rPr>
        <w:t>8.7.4</w:t>
      </w:r>
      <w:r>
        <w:rPr>
          <w:sz w:val="20"/>
          <w:szCs w:val="20"/>
          <w:color w:val="auto"/>
        </w:rPr>
        <w:tab/>
      </w:r>
      <w:r>
        <w:rPr>
          <w:rFonts w:ascii="Arial" w:cs="Arial" w:eastAsia="Arial" w:hAnsi="Arial"/>
          <w:sz w:val="21"/>
          <w:szCs w:val="21"/>
          <w:color w:val="auto"/>
        </w:rPr>
        <w:t>The Parties expect to realize (i) meaningful yearly cost savings on purchasing of commodities, components, other goods and services compared to their previous standalone purchasing performance; and (ii) meaningful yearly cost savings on logistics in Europe for GMH, compared to the yearly cost of logistic services before the exclusive relationship with Gefco. Assessment of the progress in realization of these meaningful savings will be part of the annual review of the progress of the Alliance.</w:t>
      </w:r>
    </w:p>
    <w:p>
      <w:pPr>
        <w:spacing w:after="0" w:line="216" w:lineRule="exact"/>
        <w:rPr>
          <w:sz w:val="20"/>
          <w:szCs w:val="20"/>
          <w:color w:val="auto"/>
        </w:rPr>
      </w:pPr>
    </w:p>
    <w:p>
      <w:pPr>
        <w:jc w:val="both"/>
        <w:ind w:left="1120" w:hanging="647"/>
        <w:spacing w:after="0" w:line="265" w:lineRule="auto"/>
        <w:tabs>
          <w:tab w:leader="none" w:pos="1100" w:val="left"/>
        </w:tabs>
        <w:rPr>
          <w:sz w:val="20"/>
          <w:szCs w:val="20"/>
          <w:color w:val="auto"/>
        </w:rPr>
      </w:pPr>
      <w:r>
        <w:rPr>
          <w:rFonts w:ascii="Arial" w:cs="Arial" w:eastAsia="Arial" w:hAnsi="Arial"/>
          <w:sz w:val="22"/>
          <w:szCs w:val="22"/>
          <w:color w:val="auto"/>
        </w:rPr>
        <w:t>8.7.5</w:t>
      </w:r>
      <w:r>
        <w:rPr>
          <w:sz w:val="20"/>
          <w:szCs w:val="20"/>
          <w:color w:val="auto"/>
        </w:rPr>
        <w:tab/>
      </w:r>
      <w:r>
        <w:rPr>
          <w:rFonts w:ascii="Arial" w:cs="Arial" w:eastAsia="Arial" w:hAnsi="Arial"/>
          <w:sz w:val="21"/>
          <w:szCs w:val="21"/>
          <w:color w:val="auto"/>
        </w:rPr>
        <w:t>At the end of such initial 4-year period, the Steering Committee shall determine the relevant criteria for the subsequent 2-year period (and, at the end of each such 2-year period, the Steering Committee shall determine the relevant criteria for the subsequent 2-year period). The relevant criteria for each such 2-year period shall comprise the execution of Development Agreements for new or renewed projects.</w:t>
      </w:r>
    </w:p>
    <w:p>
      <w:pPr>
        <w:spacing w:after="0" w:line="216"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22"/>
          <w:szCs w:val="22"/>
          <w:color w:val="auto"/>
        </w:rPr>
        <w:t>8.7.6</w:t>
      </w:r>
      <w:r>
        <w:rPr>
          <w:sz w:val="20"/>
          <w:szCs w:val="20"/>
          <w:color w:val="auto"/>
        </w:rPr>
        <w:tab/>
      </w:r>
      <w:r>
        <w:rPr>
          <w:rFonts w:ascii="Arial" w:cs="Arial" w:eastAsia="Arial" w:hAnsi="Arial"/>
          <w:sz w:val="19"/>
          <w:szCs w:val="19"/>
          <w:color w:val="auto"/>
        </w:rPr>
        <w:t>The Parties shall use reasonable endeavours to achieve the performance criteria agreed by the Steering Committee</w:t>
      </w:r>
    </w:p>
    <w:p>
      <w:pPr>
        <w:spacing w:after="0" w:line="260" w:lineRule="exact"/>
        <w:rPr>
          <w:sz w:val="20"/>
          <w:szCs w:val="20"/>
          <w:color w:val="auto"/>
        </w:rPr>
      </w:pPr>
    </w:p>
    <w:p>
      <w:pPr>
        <w:jc w:val="both"/>
        <w:ind w:left="1120" w:hanging="647"/>
        <w:spacing w:after="0" w:line="263" w:lineRule="auto"/>
        <w:tabs>
          <w:tab w:leader="none" w:pos="1100" w:val="left"/>
        </w:tabs>
        <w:rPr>
          <w:sz w:val="20"/>
          <w:szCs w:val="20"/>
          <w:color w:val="auto"/>
        </w:rPr>
      </w:pPr>
      <w:r>
        <w:rPr>
          <w:rFonts w:ascii="Arial" w:cs="Arial" w:eastAsia="Arial" w:hAnsi="Arial"/>
          <w:sz w:val="22"/>
          <w:szCs w:val="22"/>
          <w:color w:val="auto"/>
        </w:rPr>
        <w:t>8.7.7</w:t>
        <w:tab/>
        <w:t>At the end of the initial 4-year period and each subsequent 2-year period, the Steering Committee shall report to the CEO’s regarding the achievement of the relevant performance criteria.</w:t>
      </w:r>
    </w:p>
    <w:p>
      <w:pPr>
        <w:spacing w:after="0" w:line="1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580" w:top="631" w:right="239" w:bottom="1440" w:gutter="0" w:footer="0" w:header="0"/>
        </w:sectPr>
      </w:pPr>
    </w:p>
    <w:bookmarkStart w:id="177" w:name="page178"/>
    <w:bookmarkEnd w:id="177"/>
    <w:p>
      <w:pPr>
        <w:jc w:val="both"/>
        <w:ind w:left="1128" w:right="20" w:hanging="647"/>
        <w:spacing w:after="0" w:line="285" w:lineRule="auto"/>
        <w:tabs>
          <w:tab w:leader="none" w:pos="1107" w:val="left"/>
        </w:tabs>
        <w:rPr>
          <w:sz w:val="20"/>
          <w:szCs w:val="20"/>
          <w:color w:val="auto"/>
        </w:rPr>
      </w:pPr>
      <w:r>
        <w:rPr>
          <w:rFonts w:ascii="Arial" w:cs="Arial" w:eastAsia="Arial" w:hAnsi="Arial"/>
          <w:sz w:val="22"/>
          <w:szCs w:val="22"/>
          <w:color w:val="auto"/>
        </w:rPr>
        <w:t>8.7.8</w:t>
      </w:r>
      <w:r>
        <w:rPr>
          <w:sz w:val="20"/>
          <w:szCs w:val="20"/>
          <w:color w:val="auto"/>
        </w:rPr>
        <w:tab/>
      </w:r>
      <w:r>
        <w:rPr>
          <w:rFonts w:ascii="Arial" w:cs="Arial" w:eastAsia="Arial" w:hAnsi="Arial"/>
          <w:sz w:val="20"/>
          <w:szCs w:val="20"/>
          <w:color w:val="auto"/>
        </w:rPr>
        <w:t>If the Alliance has failed to meet the relevant criteria at the end of the initial 4-year period or any subsequent 2-year period, GMH or PSA may request an urgent meeting of the Steering Committee to discuss and agree upon corrective action in order for the Alliance to meet such performance criteria within the next 1-year period (i.e., on or before the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year anniversary, the 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year anniversary and the 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year anniversary of February 29, 2012).</w:t>
      </w:r>
    </w:p>
    <w:p>
      <w:pPr>
        <w:spacing w:after="0" w:line="109" w:lineRule="exact"/>
        <w:rPr>
          <w:sz w:val="20"/>
          <w:szCs w:val="20"/>
          <w:color w:val="auto"/>
        </w:rPr>
      </w:pPr>
    </w:p>
    <w:p>
      <w:pPr>
        <w:jc w:val="both"/>
        <w:ind w:left="1128" w:hanging="647"/>
        <w:spacing w:after="0" w:line="312" w:lineRule="auto"/>
        <w:tabs>
          <w:tab w:leader="none" w:pos="1107" w:val="left"/>
        </w:tabs>
        <w:rPr>
          <w:sz w:val="20"/>
          <w:szCs w:val="20"/>
          <w:color w:val="auto"/>
        </w:rPr>
      </w:pPr>
      <w:r>
        <w:rPr>
          <w:rFonts w:ascii="Arial" w:cs="Arial" w:eastAsia="Arial" w:hAnsi="Arial"/>
          <w:sz w:val="22"/>
          <w:szCs w:val="22"/>
          <w:color w:val="auto"/>
        </w:rPr>
        <w:t>8.7.9</w:t>
      </w:r>
      <w:r>
        <w:rPr>
          <w:sz w:val="20"/>
          <w:szCs w:val="20"/>
          <w:color w:val="auto"/>
        </w:rPr>
        <w:tab/>
      </w:r>
      <w:r>
        <w:rPr>
          <w:rFonts w:ascii="Arial" w:cs="Arial" w:eastAsia="Arial" w:hAnsi="Arial"/>
          <w:sz w:val="19"/>
          <w:szCs w:val="19"/>
          <w:color w:val="auto"/>
        </w:rPr>
        <w:t>At the end of any such 1-year period, the Steering Committee shall report to the CEO’s regarding the achievement of the relevant performance criteria. If the Alliance has still failed to meet the performance criteria, either Party may terminate this Agreement and the Alliance and in such event the provisions of Section 10 shall apply.</w:t>
      </w:r>
    </w:p>
    <w:p>
      <w:pPr>
        <w:spacing w:after="0" w:line="168" w:lineRule="exact"/>
        <w:rPr>
          <w:sz w:val="20"/>
          <w:szCs w:val="20"/>
          <w:color w:val="auto"/>
        </w:rPr>
      </w:pPr>
    </w:p>
    <w:p>
      <w:pPr>
        <w:ind w:left="488" w:hanging="488"/>
        <w:spacing w:after="0"/>
        <w:tabs>
          <w:tab w:leader="none" w:pos="488"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CHANGE OF CONTROL</w:t>
      </w:r>
    </w:p>
    <w:p>
      <w:pPr>
        <w:spacing w:after="0" w:line="266" w:lineRule="exact"/>
        <w:rPr>
          <w:rFonts w:ascii="Arial" w:cs="Arial" w:eastAsia="Arial" w:hAnsi="Arial"/>
          <w:sz w:val="22"/>
          <w:szCs w:val="22"/>
          <w:b w:val="1"/>
          <w:bCs w:val="1"/>
          <w:color w:val="auto"/>
        </w:rPr>
      </w:pPr>
    </w:p>
    <w:p>
      <w:pPr>
        <w:ind w:left="488" w:right="2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Any Party shall be entitled to terminate this Agreement and the Ancillary Agreements upon any Change of Control of the other Party and in the event of any such termination the provisions of Section 10 shall apply.</w:t>
      </w:r>
    </w:p>
    <w:p>
      <w:pPr>
        <w:spacing w:after="0" w:line="209" w:lineRule="exact"/>
        <w:rPr>
          <w:rFonts w:ascii="Arial" w:cs="Arial" w:eastAsia="Arial" w:hAnsi="Arial"/>
          <w:sz w:val="22"/>
          <w:szCs w:val="22"/>
          <w:b w:val="1"/>
          <w:bCs w:val="1"/>
          <w:color w:val="auto"/>
        </w:rPr>
      </w:pPr>
    </w:p>
    <w:p>
      <w:pPr>
        <w:jc w:val="both"/>
        <w:ind w:left="488"/>
        <w:spacing w:after="0" w:line="288" w:lineRule="auto"/>
        <w:rPr>
          <w:rFonts w:ascii="Arial" w:cs="Arial" w:eastAsia="Arial" w:hAnsi="Arial"/>
          <w:sz w:val="22"/>
          <w:szCs w:val="22"/>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(i) the acquisition by a third party (excluding for the avoidance of doubt in respect of PSA, the Peugeot Family) of the control of a Party, or (ii) in respect of PSA, the acquisition, directly or indirectly by a Competitor (or any person (other than GMH or any Affiliate thereof) acting in concert therewith) of a shareholding interest in PSA if (A) such investment is pursuant to an agreement with PSA (or the Peugeot Family), or at the invitation of PSA or the Peugeot Family and (B) such shareholding represents at least 10% of the total voting rights of PSA or (iii) in respect of GMH, the acquisition, directly or indirectly by a Competitor (or any person (other than PSA, the Peugeot Family or any Affiliate thereof) acting in concert therewith) of a shareholding interest in GMH or GMC if (A) such investment is pursuant to an agreement with GMH or GMC or at the invitation of GMH or GMC and (B) such shareholding represents at least 10% of the total voting rights of GMH. For the avoidance of doubt, for so long as EPF and/or FFP control PSA, the acquisition by a third party (excluding for avoidance of doubt any member of the Peugeot family) of the control (within the meaning of Article L 233-3 of the French Commercial Code) of EPF and/or FFP, as a result of which such third party indirectly controls PSA, is a Change of Control of PSA.</w:t>
      </w:r>
    </w:p>
    <w:p>
      <w:pPr>
        <w:spacing w:after="0" w:line="189" w:lineRule="exact"/>
        <w:rPr>
          <w:rFonts w:ascii="Arial" w:cs="Arial" w:eastAsia="Arial" w:hAnsi="Arial"/>
          <w:sz w:val="22"/>
          <w:szCs w:val="22"/>
          <w:b w:val="1"/>
          <w:bCs w:val="1"/>
          <w:color w:val="auto"/>
        </w:rPr>
      </w:pPr>
    </w:p>
    <w:p>
      <w:pPr>
        <w:ind w:left="488" w:hanging="488"/>
        <w:spacing w:after="0"/>
        <w:tabs>
          <w:tab w:leader="none" w:pos="488"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60" w:lineRule="exact"/>
        <w:rPr>
          <w:sz w:val="20"/>
          <w:szCs w:val="20"/>
          <w:color w:val="auto"/>
        </w:rPr>
      </w:pPr>
    </w:p>
    <w:p>
      <w:pPr>
        <w:jc w:val="both"/>
        <w:ind w:left="488" w:hanging="485"/>
        <w:spacing w:after="0" w:line="252"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color w:val="auto"/>
        </w:rPr>
        <w:t>Unless early terminated in accordance with the terms hereof, this Agreement shall continue in effect for a period of ten</w:t>
      </w:r>
      <w:r>
        <w:rPr>
          <w:rFonts w:ascii="Arial" w:cs="Arial" w:eastAsia="Arial" w:hAnsi="Arial"/>
          <w:sz w:val="22"/>
          <w:szCs w:val="22"/>
          <w:b w:val="1"/>
          <w:bCs w:val="1"/>
          <w:color w:val="auto"/>
        </w:rPr>
        <w:t xml:space="preserve"> </w:t>
      </w:r>
      <w:r>
        <w:rPr>
          <w:rFonts w:ascii="Arial" w:cs="Arial" w:eastAsia="Arial" w:hAnsi="Arial"/>
          <w:sz w:val="22"/>
          <w:szCs w:val="22"/>
          <w:color w:val="auto"/>
        </w:rPr>
        <w:t>years and shall, unless previously terminated by written non-renewal notice sent by either Party to the other Party at least twelve (12) months prior to the expiration of the initial ten years period or any renewal period, automatically renew for three years periods.</w:t>
      </w:r>
    </w:p>
    <w:p>
      <w:pPr>
        <w:spacing w:after="0" w:line="221" w:lineRule="exact"/>
        <w:rPr>
          <w:sz w:val="20"/>
          <w:szCs w:val="20"/>
          <w:color w:val="auto"/>
        </w:rPr>
      </w:pPr>
    </w:p>
    <w:p>
      <w:pPr>
        <w:jc w:val="both"/>
        <w:ind w:left="488" w:hanging="485"/>
        <w:spacing w:after="0" w:line="315"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color w:val="auto"/>
        </w:rPr>
        <w:t>Either Party shall be entitled to initiate arbitration proceedings in accordance with the terms of this Agreement to seek</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thereof in the event of a Fundamental Breach by the other Party that has not been cured within sixty (60) Business Days after receipt by the Party in breach of a written notice notifying such Fundamental Breach.</w:t>
      </w:r>
    </w:p>
    <w:p>
      <w:pPr>
        <w:spacing w:after="0" w:line="166" w:lineRule="exact"/>
        <w:rPr>
          <w:sz w:val="20"/>
          <w:szCs w:val="20"/>
          <w:color w:val="auto"/>
        </w:rPr>
      </w:pPr>
    </w:p>
    <w:p>
      <w:pPr>
        <w:jc w:val="both"/>
        <w:ind w:left="488" w:hanging="485"/>
        <w:spacing w:after="0" w:line="293" w:lineRule="auto"/>
        <w:rPr>
          <w:sz w:val="20"/>
          <w:szCs w:val="20"/>
          <w:color w:val="auto"/>
        </w:rPr>
      </w:pPr>
      <w:r>
        <w:rPr>
          <w:rFonts w:ascii="Arial" w:cs="Arial" w:eastAsia="Arial" w:hAnsi="Arial"/>
          <w:sz w:val="21"/>
          <w:szCs w:val="21"/>
          <w:b w:val="1"/>
          <w:bCs w:val="1"/>
          <w:color w:val="auto"/>
        </w:rPr>
        <w:t xml:space="preserve">10.3 </w:t>
      </w:r>
      <w:r>
        <w:rPr>
          <w:rFonts w:ascii="Arial" w:cs="Arial" w:eastAsia="Arial" w:hAnsi="Arial"/>
          <w:sz w:val="21"/>
          <w:szCs w:val="21"/>
          <w:color w:val="auto"/>
        </w:rPr>
        <w:t>Any termination of the Master Agreement shall be without prejudice to any obligations of any Party which are</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at the date of such termination or any claim for damages relating to any breach of this Agreement.</w:t>
      </w:r>
    </w:p>
    <w:p>
      <w:pPr>
        <w:spacing w:after="0" w:line="16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8"/>
          </w:cols>
          <w:pgMar w:left="572" w:top="632" w:right="239" w:bottom="1440" w:gutter="0" w:footer="0" w:header="0"/>
        </w:sectPr>
      </w:pPr>
    </w:p>
    <w:bookmarkStart w:id="178" w:name="page179"/>
    <w:bookmarkEnd w:id="178"/>
    <w:p>
      <w:pPr>
        <w:jc w:val="both"/>
        <w:ind w:left="488" w:hanging="485"/>
        <w:spacing w:after="0" w:line="295" w:lineRule="auto"/>
        <w:rPr>
          <w:sz w:val="20"/>
          <w:szCs w:val="20"/>
          <w:color w:val="auto"/>
        </w:rPr>
      </w:pPr>
      <w:r>
        <w:rPr>
          <w:rFonts w:ascii="Arial" w:cs="Arial" w:eastAsia="Arial" w:hAnsi="Arial"/>
          <w:sz w:val="19"/>
          <w:szCs w:val="19"/>
          <w:b w:val="1"/>
          <w:bCs w:val="1"/>
          <w:color w:val="auto"/>
        </w:rPr>
        <w:t xml:space="preserve">10.4 </w:t>
      </w:r>
      <w:r>
        <w:rPr>
          <w:rFonts w:ascii="Arial" w:cs="Arial" w:eastAsia="Arial" w:hAnsi="Arial"/>
          <w:sz w:val="19"/>
          <w:szCs w:val="19"/>
          <w:color w:val="auto"/>
        </w:rPr>
        <w:t>Upon any termination in accordance with the provisions of this Section 10 (including, for the avoidance of doubt,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Section 8.1.4, Section 8.7.9, or Section 9, the Parties shall implement and cause their Affiliates to implement an orderly unwinding of the Alliance and the Ancillary Agreements (excluding for the avoidance of doubt the Logistics Agreement). The Ancillary Agreements will include terms governing such orderly unwinding, including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the survival of licenses of Intellectual Property related to Products, as well as reasonable periods of continued development, manufacturing and related logistics services and supply of spare parts to avoid disruptive effects.</w:t>
      </w:r>
    </w:p>
    <w:p>
      <w:pPr>
        <w:spacing w:after="0" w:line="185" w:lineRule="exact"/>
        <w:rPr>
          <w:sz w:val="20"/>
          <w:szCs w:val="20"/>
          <w:color w:val="auto"/>
        </w:rPr>
      </w:pPr>
    </w:p>
    <w:p>
      <w:pPr>
        <w:ind w:left="488" w:hanging="488"/>
        <w:spacing w:after="0"/>
        <w:tabs>
          <w:tab w:leader="none" w:pos="488"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AUDIT</w:t>
      </w:r>
    </w:p>
    <w:p>
      <w:pPr>
        <w:spacing w:after="0" w:line="266" w:lineRule="exact"/>
        <w:rPr>
          <w:rFonts w:ascii="Arial" w:cs="Arial" w:eastAsia="Arial" w:hAnsi="Arial"/>
          <w:sz w:val="22"/>
          <w:szCs w:val="22"/>
          <w:b w:val="1"/>
          <w:bCs w:val="1"/>
          <w:color w:val="auto"/>
        </w:rPr>
      </w:pPr>
    </w:p>
    <w:p>
      <w:pPr>
        <w:jc w:val="both"/>
        <w:ind w:left="488"/>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Each Party shall agree to keep all proper records and books of account and all proper entries relating to the Products and the services covered by the Alliance for a period of five (5) years. Either Party may cause an audit to be made, at its expense, of the other Party’s applicable records no more than once per year for each area of the Alliance. Such audit shall be conducted by a third party auditor appointed by the Party requesting the audit under confidentiality obligation, after not less than ten (10) Business Days prior written notice to the other Party and shall be conducted during business hours at the relevant premises of the Party whose information is the subject of the audit and in such a manner as not to interfere with such Party’s normal business activities. Any such audit shall be conducted in a manner that is fully compliant with applicable laws (including competition and securities laws).</w:t>
      </w:r>
    </w:p>
    <w:p>
      <w:pPr>
        <w:spacing w:after="0" w:line="218" w:lineRule="exact"/>
        <w:rPr>
          <w:rFonts w:ascii="Arial" w:cs="Arial" w:eastAsia="Arial" w:hAnsi="Arial"/>
          <w:sz w:val="22"/>
          <w:szCs w:val="22"/>
          <w:b w:val="1"/>
          <w:bCs w:val="1"/>
          <w:color w:val="auto"/>
        </w:rPr>
      </w:pPr>
    </w:p>
    <w:p>
      <w:pPr>
        <w:ind w:left="488" w:hanging="488"/>
        <w:spacing w:after="0"/>
        <w:tabs>
          <w:tab w:leader="none" w:pos="488"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w:t>
      </w:r>
    </w:p>
    <w:p>
      <w:pPr>
        <w:spacing w:after="0" w:line="266" w:lineRule="exact"/>
        <w:rPr>
          <w:rFonts w:ascii="Arial" w:cs="Arial" w:eastAsia="Arial" w:hAnsi="Arial"/>
          <w:sz w:val="22"/>
          <w:szCs w:val="22"/>
          <w:b w:val="1"/>
          <w:bCs w:val="1"/>
          <w:color w:val="auto"/>
        </w:rPr>
      </w:pPr>
    </w:p>
    <w:p>
      <w:pPr>
        <w:jc w:val="both"/>
        <w:ind w:left="488"/>
        <w:spacing w:after="0" w:line="247" w:lineRule="auto"/>
        <w:rPr>
          <w:rFonts w:ascii="Arial" w:cs="Arial" w:eastAsia="Arial" w:hAnsi="Arial"/>
          <w:sz w:val="22"/>
          <w:szCs w:val="22"/>
          <w:b w:val="1"/>
          <w:bCs w:val="1"/>
          <w:color w:val="auto"/>
        </w:rPr>
      </w:pPr>
      <w:r>
        <w:rPr>
          <w:rFonts w:ascii="Arial" w:cs="Arial" w:eastAsia="Arial" w:hAnsi="Arial"/>
          <w:sz w:val="22"/>
          <w:szCs w:val="22"/>
          <w:color w:val="auto"/>
        </w:rPr>
        <w:t>The Alliance, the Ancillary Agreements and any joint venture activity, partnership, or company resulting therefrom shall be implemented and governed in compliance with applicable laws and in line with the compliance policies of both Parties, including compliance with ethics codes, anti-bribery policies, anti-trust compliance and export control and sanctions policies.</w:t>
      </w:r>
    </w:p>
    <w:p>
      <w:pPr>
        <w:spacing w:after="0" w:line="2" w:lineRule="exact"/>
        <w:rPr>
          <w:rFonts w:ascii="Arial" w:cs="Arial" w:eastAsia="Arial" w:hAnsi="Arial"/>
          <w:sz w:val="22"/>
          <w:szCs w:val="22"/>
          <w:b w:val="1"/>
          <w:bCs w:val="1"/>
          <w:color w:val="auto"/>
        </w:rPr>
      </w:pPr>
    </w:p>
    <w:p>
      <w:pPr>
        <w:jc w:val="both"/>
        <w:ind w:left="488"/>
        <w:spacing w:after="0" w:line="257" w:lineRule="auto"/>
        <w:rPr>
          <w:rFonts w:ascii="Arial" w:cs="Arial" w:eastAsia="Arial" w:hAnsi="Arial"/>
          <w:sz w:val="22"/>
          <w:szCs w:val="22"/>
          <w:b w:val="1"/>
          <w:bCs w:val="1"/>
          <w:color w:val="auto"/>
        </w:rPr>
      </w:pPr>
      <w:r>
        <w:rPr>
          <w:rFonts w:ascii="Arial" w:cs="Arial" w:eastAsia="Arial" w:hAnsi="Arial"/>
          <w:sz w:val="21"/>
          <w:szCs w:val="21"/>
          <w:color w:val="auto"/>
        </w:rPr>
        <w:t>In this regard, PSA has represented to GM that i) PSA and its Affiliates have suspended their existing activities in Iran and ii) PSA and its Affiliates do not intend to, and will not, engage in any activity in or with Iran, or with any Iranian entity as long as such activity is prohibited under any export control or sanctions law or regulation with which any of GM or PSA must comply. Any entity specifically excluded as an Affiliate shall not participate in any activities contemplated by this Agreement, and the rights and benefits provided hereunder will in no way inure to the benefit of such excluded entity. PSA agrees promptly to provide GM with such information concerning such Affiliates' or excluded entities’ activities in this regard as GM may reasonably request.</w:t>
      </w:r>
    </w:p>
    <w:p>
      <w:pPr>
        <w:spacing w:after="0" w:line="218" w:lineRule="exact"/>
        <w:rPr>
          <w:rFonts w:ascii="Arial" w:cs="Arial" w:eastAsia="Arial" w:hAnsi="Arial"/>
          <w:sz w:val="22"/>
          <w:szCs w:val="22"/>
          <w:b w:val="1"/>
          <w:bCs w:val="1"/>
          <w:color w:val="auto"/>
        </w:rPr>
      </w:pPr>
    </w:p>
    <w:p>
      <w:pPr>
        <w:ind w:left="488" w:hanging="488"/>
        <w:spacing w:after="0"/>
        <w:tabs>
          <w:tab w:leader="none" w:pos="488"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 FURTHER ASSURANCES</w:t>
      </w:r>
    </w:p>
    <w:p>
      <w:pPr>
        <w:spacing w:after="0" w:line="260" w:lineRule="exact"/>
        <w:rPr>
          <w:sz w:val="20"/>
          <w:szCs w:val="20"/>
          <w:color w:val="auto"/>
        </w:rPr>
      </w:pPr>
    </w:p>
    <w:p>
      <w:pPr>
        <w:jc w:val="both"/>
        <w:ind w:left="488" w:hanging="485"/>
        <w:spacing w:after="0" w:line="262" w:lineRule="auto"/>
        <w:rPr>
          <w:sz w:val="20"/>
          <w:szCs w:val="20"/>
          <w:color w:val="auto"/>
        </w:rPr>
      </w:pPr>
      <w:r>
        <w:rPr>
          <w:rFonts w:ascii="Arial" w:cs="Arial" w:eastAsia="Arial" w:hAnsi="Arial"/>
          <w:sz w:val="21"/>
          <w:szCs w:val="21"/>
          <w:b w:val="1"/>
          <w:bCs w:val="1"/>
          <w:color w:val="auto"/>
        </w:rPr>
        <w:t xml:space="preserve">13.1 </w:t>
      </w:r>
      <w:r>
        <w:rPr>
          <w:rFonts w:ascii="Arial" w:cs="Arial" w:eastAsia="Arial" w:hAnsi="Arial"/>
          <w:sz w:val="21"/>
          <w:szCs w:val="21"/>
          <w:color w:val="auto"/>
        </w:rPr>
        <w:t>GMH hereby represents and warrants to PSA that (i) GMH is a validly existing company, duly incorporated and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laws of Delaware, and has the legal right and full power and authority to enter into and perform this Agreement and any other documents to be executed by it pursuant to or in connection with this Agreement, (ii) GMH is not insolvent or subject to any proceedings under any applicable bankruptcy, insolvency, moratorium, reorganization or similar law affecting the rights of creditors generally and the availability of equitable remedies, and (iii) this Agreement constitutes valid and binding obligations on GMH in accordance with its terms.</w:t>
      </w:r>
    </w:p>
    <w:p>
      <w:pPr>
        <w:spacing w:after="0" w:line="200" w:lineRule="exact"/>
        <w:rPr>
          <w:sz w:val="20"/>
          <w:szCs w:val="20"/>
          <w:color w:val="auto"/>
        </w:rPr>
      </w:pPr>
    </w:p>
    <w:p>
      <w:pPr>
        <w:spacing w:after="0" w:line="25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8"/>
          </w:cols>
          <w:pgMar w:left="572" w:top="625" w:right="239" w:bottom="1440" w:gutter="0" w:footer="0" w:header="0"/>
        </w:sectPr>
      </w:pPr>
    </w:p>
    <w:bookmarkStart w:id="179" w:name="page180"/>
    <w:bookmarkEnd w:id="179"/>
    <w:p>
      <w:pPr>
        <w:jc w:val="both"/>
        <w:ind w:left="488" w:hanging="485"/>
        <w:spacing w:after="0" w:line="262" w:lineRule="auto"/>
        <w:rPr>
          <w:sz w:val="20"/>
          <w:szCs w:val="20"/>
          <w:color w:val="auto"/>
        </w:rPr>
      </w:pPr>
      <w:r>
        <w:rPr>
          <w:rFonts w:ascii="Arial" w:cs="Arial" w:eastAsia="Arial" w:hAnsi="Arial"/>
          <w:sz w:val="21"/>
          <w:szCs w:val="21"/>
          <w:b w:val="1"/>
          <w:bCs w:val="1"/>
          <w:color w:val="auto"/>
        </w:rPr>
        <w:t xml:space="preserve">13.2 </w:t>
      </w:r>
      <w:r>
        <w:rPr>
          <w:rFonts w:ascii="Arial" w:cs="Arial" w:eastAsia="Arial" w:hAnsi="Arial"/>
          <w:sz w:val="21"/>
          <w:szCs w:val="21"/>
          <w:color w:val="auto"/>
        </w:rPr>
        <w:t>PSA hereby represents and warrants to GMH that (i) PSA is a validly existing company, duly incorporated and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laws of France, and has the legal right and full power and authority to enter into and perform this Agreement and any other documents to be executed by it pursuant to or in connection with this Agreement, (ii) PSA is not insolvent or subject to any proceedings under any applicable bankruptcy, insolvency, moratorium, reorganization or similar laws affecting the rights of creditors generally and the availability of equitable remedies, and (iii) this Agreement constitutes valid and binding obligations on PSA in accordance with its terms.</w:t>
      </w:r>
    </w:p>
    <w:p>
      <w:pPr>
        <w:spacing w:after="0" w:line="214" w:lineRule="exact"/>
        <w:rPr>
          <w:sz w:val="20"/>
          <w:szCs w:val="20"/>
          <w:color w:val="auto"/>
        </w:rPr>
      </w:pPr>
    </w:p>
    <w:p>
      <w:pPr>
        <w:jc w:val="both"/>
        <w:ind w:left="488" w:hanging="485"/>
        <w:spacing w:after="0" w:line="274" w:lineRule="auto"/>
        <w:rPr>
          <w:sz w:val="20"/>
          <w:szCs w:val="20"/>
          <w:color w:val="auto"/>
        </w:rPr>
      </w:pPr>
      <w:r>
        <w:rPr>
          <w:rFonts w:ascii="Arial" w:cs="Arial" w:eastAsia="Arial" w:hAnsi="Arial"/>
          <w:sz w:val="21"/>
          <w:szCs w:val="21"/>
          <w:b w:val="1"/>
          <w:bCs w:val="1"/>
          <w:color w:val="auto"/>
        </w:rPr>
        <w:t xml:space="preserve">13.3 </w:t>
      </w:r>
      <w:r>
        <w:rPr>
          <w:rFonts w:ascii="Arial" w:cs="Arial" w:eastAsia="Arial" w:hAnsi="Arial"/>
          <w:sz w:val="21"/>
          <w:szCs w:val="21"/>
          <w:color w:val="auto"/>
        </w:rPr>
        <w:t>The Parties agree to perform (or procure the performance of) all further acts and execute and deliver (or procure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and delivery of) such further documents, as may be required by law, whether on or after February 29, 2012 to implement and/or give effect to this Agreement and the transactions contemplated therein.</w:t>
      </w:r>
    </w:p>
    <w:p>
      <w:pPr>
        <w:spacing w:after="0" w:line="199" w:lineRule="exact"/>
        <w:rPr>
          <w:sz w:val="20"/>
          <w:szCs w:val="20"/>
          <w:color w:val="auto"/>
        </w:rPr>
      </w:pPr>
    </w:p>
    <w:p>
      <w:pPr>
        <w:ind w:left="8" w:right="8700" w:hanging="8"/>
        <w:spacing w:after="0" w:line="513" w:lineRule="auto"/>
        <w:tabs>
          <w:tab w:leader="none" w:pos="494"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 14.1 EXPENSES</w:t>
      </w:r>
    </w:p>
    <w:p>
      <w:pPr>
        <w:jc w:val="both"/>
        <w:ind w:left="488"/>
        <w:spacing w:after="0" w:line="312" w:lineRule="auto"/>
        <w:rPr>
          <w:sz w:val="20"/>
          <w:szCs w:val="20"/>
          <w:color w:val="auto"/>
        </w:rPr>
      </w:pPr>
      <w:r>
        <w:rPr>
          <w:rFonts w:ascii="Arial" w:cs="Arial" w:eastAsia="Arial" w:hAnsi="Arial"/>
          <w:sz w:val="19"/>
          <w:szCs w:val="19"/>
          <w:color w:val="auto"/>
        </w:rPr>
        <w:t>Except for the sharing of the costs for Regulatory Clearances set out in Section 7.2.4, each Party shall be solely responsible for all of its own expenses, including, without limitation, expenses of legal counsel, accountants and other advisors incurred in connection with the preparation and execution of this Agreement and the Ancillary Agreements.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14.2 MODIFICATION; WAIVER</w:t>
      </w:r>
    </w:p>
    <w:p>
      <w:pPr>
        <w:spacing w:after="0" w:line="266" w:lineRule="exact"/>
        <w:rPr>
          <w:sz w:val="20"/>
          <w:szCs w:val="20"/>
          <w:color w:val="auto"/>
        </w:rPr>
      </w:pPr>
    </w:p>
    <w:p>
      <w:pPr>
        <w:jc w:val="both"/>
        <w:ind w:left="1128" w:hanging="647"/>
        <w:spacing w:after="0" w:line="250" w:lineRule="auto"/>
        <w:rPr>
          <w:sz w:val="20"/>
          <w:szCs w:val="20"/>
          <w:color w:val="auto"/>
        </w:rPr>
      </w:pPr>
      <w:r>
        <w:rPr>
          <w:rFonts w:ascii="Arial" w:cs="Arial" w:eastAsia="Arial" w:hAnsi="Arial"/>
          <w:sz w:val="22"/>
          <w:szCs w:val="22"/>
          <w:color w:val="auto"/>
        </w:rPr>
        <w:t>14.2.1 This Agreement amends and supersedes the Master Agreement signed between the Parties on February 29, 2012. No modification of this Agreement shall be valid unless it is in writing and signed by or on behalf of each Party. The expression “modification” shall include any modification, supplement, deletion or replacement however effected.</w:t>
      </w:r>
    </w:p>
    <w:p>
      <w:pPr>
        <w:spacing w:after="0" w:line="229" w:lineRule="exact"/>
        <w:rPr>
          <w:sz w:val="20"/>
          <w:szCs w:val="20"/>
          <w:color w:val="auto"/>
        </w:rPr>
      </w:pPr>
    </w:p>
    <w:p>
      <w:pPr>
        <w:jc w:val="both"/>
        <w:ind w:left="1128" w:hanging="647"/>
        <w:spacing w:after="0" w:line="302" w:lineRule="auto"/>
        <w:rPr>
          <w:sz w:val="20"/>
          <w:szCs w:val="20"/>
          <w:color w:val="auto"/>
        </w:rPr>
      </w:pPr>
      <w:r>
        <w:rPr>
          <w:rFonts w:ascii="Arial" w:cs="Arial" w:eastAsia="Arial" w:hAnsi="Arial"/>
          <w:sz w:val="19"/>
          <w:szCs w:val="19"/>
          <w:color w:val="auto"/>
        </w:rPr>
        <w:t>14.2.2 Unless expressly agreed, no modification shall constitute a general waiver of any provisions of this Agreement, nor shall it affect any rights, obligations or liabilities under or pursuant to this Agreement which have already accrued up to the date of modification, and the rights and obligations of the Parties under or pursuant to this Agreement shall remain in full force and effect, except and only to the extent that they are so modified.</w:t>
      </w:r>
    </w:p>
    <w:p>
      <w:pPr>
        <w:spacing w:after="0" w:line="183" w:lineRule="exact"/>
        <w:rPr>
          <w:sz w:val="20"/>
          <w:szCs w:val="20"/>
          <w:color w:val="auto"/>
        </w:rPr>
      </w:pPr>
    </w:p>
    <w:p>
      <w:pPr>
        <w:jc w:val="both"/>
        <w:ind w:left="1128" w:hanging="647"/>
        <w:spacing w:after="0" w:line="263" w:lineRule="auto"/>
        <w:rPr>
          <w:sz w:val="20"/>
          <w:szCs w:val="20"/>
          <w:color w:val="auto"/>
        </w:rPr>
      </w:pPr>
      <w:r>
        <w:rPr>
          <w:rFonts w:ascii="Arial" w:cs="Arial" w:eastAsia="Arial" w:hAnsi="Arial"/>
          <w:sz w:val="22"/>
          <w:szCs w:val="22"/>
          <w:color w:val="auto"/>
        </w:rPr>
        <w:t>14.2.3 Any waiver relating to a provision of this Agreement (unless otherwise specified) shall only be a waiver in the particular instance and for the particular purpose for which it was given.</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14.3 ASSIGNS AND SUCCESSORS</w:t>
      </w:r>
    </w:p>
    <w:p>
      <w:pPr>
        <w:spacing w:after="0" w:line="266" w:lineRule="exact"/>
        <w:rPr>
          <w:sz w:val="20"/>
          <w:szCs w:val="20"/>
          <w:color w:val="auto"/>
        </w:rPr>
      </w:pPr>
    </w:p>
    <w:p>
      <w:pPr>
        <w:jc w:val="both"/>
        <w:ind w:left="1128" w:hanging="647"/>
        <w:spacing w:after="0" w:line="343" w:lineRule="auto"/>
        <w:rPr>
          <w:sz w:val="20"/>
          <w:szCs w:val="20"/>
          <w:color w:val="auto"/>
        </w:rPr>
      </w:pPr>
      <w:r>
        <w:rPr>
          <w:rFonts w:ascii="Arial" w:cs="Arial" w:eastAsia="Arial" w:hAnsi="Arial"/>
          <w:sz w:val="19"/>
          <w:szCs w:val="19"/>
          <w:color w:val="auto"/>
        </w:rPr>
        <w:t>14.3.1 The Parties may not assign or transfer or purport to assign or transfer any of their rights or obligations under this Agreement except as otherwise provided in this Agreement or with the express written consent of the other Parties.</w:t>
      </w:r>
    </w:p>
    <w:p>
      <w:pPr>
        <w:spacing w:after="0" w:line="145" w:lineRule="exact"/>
        <w:rPr>
          <w:sz w:val="20"/>
          <w:szCs w:val="20"/>
          <w:color w:val="auto"/>
        </w:rPr>
      </w:pPr>
    </w:p>
    <w:p>
      <w:pPr>
        <w:jc w:val="both"/>
        <w:ind w:left="1128" w:right="20" w:hanging="647"/>
        <w:spacing w:after="0" w:line="263" w:lineRule="auto"/>
        <w:rPr>
          <w:sz w:val="20"/>
          <w:szCs w:val="20"/>
          <w:color w:val="auto"/>
        </w:rPr>
      </w:pPr>
      <w:r>
        <w:rPr>
          <w:rFonts w:ascii="Arial" w:cs="Arial" w:eastAsia="Arial" w:hAnsi="Arial"/>
          <w:sz w:val="22"/>
          <w:szCs w:val="22"/>
          <w:color w:val="auto"/>
        </w:rPr>
        <w:t>14.3.2 The provisions of this Agreement shall be binding upon and inure to the benefit of the Parties, their successors and permitted assigns.</w:t>
      </w:r>
    </w:p>
    <w:p>
      <w:pPr>
        <w:spacing w:after="0" w:line="215" w:lineRule="exact"/>
        <w:rPr>
          <w:sz w:val="20"/>
          <w:szCs w:val="20"/>
          <w:color w:val="auto"/>
        </w:rPr>
      </w:pPr>
    </w:p>
    <w:p>
      <w:pPr>
        <w:jc w:val="both"/>
        <w:ind w:left="1128" w:hanging="647"/>
        <w:spacing w:after="0" w:line="263" w:lineRule="auto"/>
        <w:rPr>
          <w:sz w:val="20"/>
          <w:szCs w:val="20"/>
          <w:color w:val="auto"/>
        </w:rPr>
      </w:pPr>
      <w:r>
        <w:rPr>
          <w:rFonts w:ascii="Arial" w:cs="Arial" w:eastAsia="Arial" w:hAnsi="Arial"/>
          <w:sz w:val="22"/>
          <w:szCs w:val="22"/>
          <w:color w:val="auto"/>
        </w:rPr>
        <w:t>14.3.3 Notwithstanding the use in this Agreement of the terms “GMH” and “PSA”, (i) each of the rights and obligations arising pursuant to this Agreement are applicable to and for the benefit</w:t>
      </w:r>
    </w:p>
    <w:p>
      <w:pPr>
        <w:spacing w:after="0" w:line="19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8"/>
          </w:cols>
          <w:pgMar w:left="572" w:top="369" w:right="239" w:bottom="1440" w:gutter="0" w:footer="0" w:header="0"/>
        </w:sectPr>
      </w:pPr>
    </w:p>
    <w:bookmarkStart w:id="180" w:name="page181"/>
    <w:bookmarkEnd w:id="180"/>
    <w:p>
      <w:pPr>
        <w:jc w:val="both"/>
        <w:ind w:left="1120"/>
        <w:spacing w:after="0" w:line="261" w:lineRule="auto"/>
        <w:rPr>
          <w:sz w:val="20"/>
          <w:szCs w:val="20"/>
          <w:color w:val="auto"/>
        </w:rPr>
      </w:pPr>
      <w:r>
        <w:rPr>
          <w:rFonts w:ascii="Arial" w:cs="Arial" w:eastAsia="Arial" w:hAnsi="Arial"/>
          <w:sz w:val="21"/>
          <w:szCs w:val="21"/>
          <w:color w:val="auto"/>
        </w:rPr>
        <w:t>of each Party and its applicable Affiliates; (ii) each Party has the right to designate any of its Affiliate(s) to provide or perform any of such Party’s obligations under this Agreement, the Master Agreement or any Ancillary Agreement and to execute the Master Agreement or any Ancillary Agreement (</w:t>
      </w:r>
      <w:r>
        <w:rPr>
          <w:rFonts w:ascii="Arial" w:cs="Arial" w:eastAsia="Arial" w:hAnsi="Arial"/>
          <w:sz w:val="21"/>
          <w:szCs w:val="21"/>
          <w:u w:val="single" w:color="auto"/>
          <w:color w:val="auto"/>
        </w:rPr>
        <w:t>provided</w:t>
      </w:r>
      <w:r>
        <w:rPr>
          <w:rFonts w:ascii="Arial" w:cs="Arial" w:eastAsia="Arial" w:hAnsi="Arial"/>
          <w:sz w:val="21"/>
          <w:szCs w:val="21"/>
          <w:color w:val="auto"/>
        </w:rPr>
        <w:t>, that GMH may assign certain of its rights and obligations hereunder only to an Authorized GMH Affiliate, as specifically provided herein); and (iii) each of GMH and PSA shall be responsible for the obligations to be performed by its respective Affiliates under this Agreement and the Ancillary Agreements.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14.4 NO THIRD PARTY RIGHTS</w:t>
      </w:r>
    </w:p>
    <w:p>
      <w:pPr>
        <w:spacing w:after="0" w:line="266" w:lineRule="exact"/>
        <w:rPr>
          <w:sz w:val="20"/>
          <w:szCs w:val="20"/>
          <w:color w:val="auto"/>
        </w:rPr>
      </w:pPr>
    </w:p>
    <w:p>
      <w:pPr>
        <w:jc w:val="both"/>
        <w:ind w:left="480"/>
        <w:spacing w:after="0" w:line="263" w:lineRule="auto"/>
        <w:rPr>
          <w:sz w:val="20"/>
          <w:szCs w:val="20"/>
          <w:color w:val="auto"/>
        </w:rPr>
      </w:pPr>
      <w:r>
        <w:rPr>
          <w:rFonts w:ascii="Arial" w:cs="Arial" w:eastAsia="Arial" w:hAnsi="Arial"/>
          <w:sz w:val="22"/>
          <w:szCs w:val="22"/>
          <w:color w:val="auto"/>
        </w:rPr>
        <w:t>The Parties acknowledge and agree that this Agreement shall not confer any rights or obligations on any other person except for the Parties and each of their permitted successors and assigns.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14.5 INVALIDITY</w:t>
      </w:r>
    </w:p>
    <w:p>
      <w:pPr>
        <w:spacing w:after="0" w:line="266" w:lineRule="exact"/>
        <w:rPr>
          <w:sz w:val="20"/>
          <w:szCs w:val="20"/>
          <w:color w:val="auto"/>
        </w:rPr>
      </w:pPr>
    </w:p>
    <w:p>
      <w:pPr>
        <w:jc w:val="both"/>
        <w:ind w:left="1120" w:hanging="647"/>
        <w:spacing w:after="0" w:line="253" w:lineRule="auto"/>
        <w:rPr>
          <w:sz w:val="20"/>
          <w:szCs w:val="20"/>
          <w:color w:val="auto"/>
        </w:rPr>
      </w:pPr>
      <w:r>
        <w:rPr>
          <w:rFonts w:ascii="Arial" w:cs="Arial" w:eastAsia="Arial" w:hAnsi="Arial"/>
          <w:sz w:val="22"/>
          <w:szCs w:val="22"/>
          <w:color w:val="auto"/>
        </w:rPr>
        <w:t>14.5.1 If any provision of this Agreement is or becomes illegal, invalid or unenforceable in any respect, such provision shall to that extent be deemed not to form part of this Agreement without affecting or impairing the legality, validity and enforceability of the remaining provisions.</w:t>
      </w:r>
    </w:p>
    <w:p>
      <w:pPr>
        <w:spacing w:after="0" w:line="226" w:lineRule="exact"/>
        <w:rPr>
          <w:sz w:val="20"/>
          <w:szCs w:val="20"/>
          <w:color w:val="auto"/>
        </w:rPr>
      </w:pPr>
    </w:p>
    <w:p>
      <w:pPr>
        <w:jc w:val="both"/>
        <w:ind w:left="1120" w:hanging="647"/>
        <w:spacing w:after="0" w:line="250" w:lineRule="auto"/>
        <w:rPr>
          <w:sz w:val="20"/>
          <w:szCs w:val="20"/>
          <w:color w:val="auto"/>
        </w:rPr>
      </w:pPr>
      <w:r>
        <w:rPr>
          <w:rFonts w:ascii="Arial" w:cs="Arial" w:eastAsia="Arial" w:hAnsi="Arial"/>
          <w:sz w:val="22"/>
          <w:szCs w:val="22"/>
          <w:color w:val="auto"/>
        </w:rPr>
        <w:t>14.5.2 The Parties shall negotiate in good faith in order to substitute in the shortest time possible a suitable provision for any such illegal, invalid or unenforceable provision hereof so as to effect the original intent of the Parties as closely as possible in an acceptable manner so that the transactions contemplated herein be consummated as originally contemplated to the fullest extent possible.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14.6 REMEDIES</w:t>
      </w:r>
    </w:p>
    <w:p>
      <w:pPr>
        <w:spacing w:after="0" w:line="266" w:lineRule="exact"/>
        <w:rPr>
          <w:sz w:val="20"/>
          <w:szCs w:val="20"/>
          <w:color w:val="auto"/>
        </w:rPr>
      </w:pPr>
    </w:p>
    <w:p>
      <w:pPr>
        <w:jc w:val="both"/>
        <w:ind w:left="480" w:right="20"/>
        <w:spacing w:after="0" w:line="253" w:lineRule="auto"/>
        <w:rPr>
          <w:sz w:val="20"/>
          <w:szCs w:val="20"/>
          <w:color w:val="auto"/>
        </w:rPr>
      </w:pPr>
      <w:r>
        <w:rPr>
          <w:rFonts w:ascii="Arial" w:cs="Arial" w:eastAsia="Arial" w:hAnsi="Arial"/>
          <w:sz w:val="22"/>
          <w:szCs w:val="22"/>
          <w:color w:val="auto"/>
        </w:rPr>
        <w:t>The Parties acknowledge that money damages may not be an appropriate remedy for any breach of this Agreement or the Ancillary Agreements and the Parties may therefore seek equitable remedies, including specific performance and injunctive relief, in respect of any breach hereof and thereof.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14.7 NOTICES</w:t>
      </w:r>
    </w:p>
    <w:p>
      <w:pPr>
        <w:spacing w:after="0" w:line="266" w:lineRule="exact"/>
        <w:rPr>
          <w:sz w:val="20"/>
          <w:szCs w:val="20"/>
          <w:color w:val="auto"/>
        </w:rPr>
      </w:pPr>
    </w:p>
    <w:p>
      <w:pPr>
        <w:jc w:val="both"/>
        <w:ind w:left="1120" w:hanging="647"/>
        <w:spacing w:after="0" w:line="263" w:lineRule="auto"/>
        <w:rPr>
          <w:sz w:val="20"/>
          <w:szCs w:val="20"/>
          <w:color w:val="auto"/>
        </w:rPr>
      </w:pPr>
      <w:r>
        <w:rPr>
          <w:rFonts w:ascii="Arial" w:cs="Arial" w:eastAsia="Arial" w:hAnsi="Arial"/>
          <w:sz w:val="22"/>
          <w:szCs w:val="22"/>
          <w:color w:val="auto"/>
        </w:rPr>
        <w:t>14.7.1 Any notice or other communication in connection with this Agreement (including any documents attached to such notices) shall be:</w:t>
      </w:r>
    </w:p>
    <w:p>
      <w:pPr>
        <w:spacing w:after="0" w:line="215" w:lineRule="exact"/>
        <w:rPr>
          <w:sz w:val="20"/>
          <w:szCs w:val="20"/>
          <w:color w:val="auto"/>
        </w:rPr>
      </w:pPr>
    </w:p>
    <w:p>
      <w:pPr>
        <w:ind w:left="1120" w:hanging="561"/>
        <w:spacing w:after="0"/>
        <w:tabs>
          <w:tab w:leader="none" w:pos="11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writing in English;</w:t>
      </w:r>
    </w:p>
    <w:p>
      <w:pPr>
        <w:spacing w:after="0" w:line="260" w:lineRule="exact"/>
        <w:rPr>
          <w:rFonts w:ascii="Arial" w:cs="Arial" w:eastAsia="Arial" w:hAnsi="Arial"/>
          <w:sz w:val="22"/>
          <w:szCs w:val="22"/>
          <w:color w:val="auto"/>
        </w:rPr>
      </w:pPr>
    </w:p>
    <w:p>
      <w:pPr>
        <w:ind w:left="1120" w:hanging="561"/>
        <w:spacing w:after="0"/>
        <w:tabs>
          <w:tab w:leader="none" w:pos="11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delivered by hand, fax, or by courier using an internationally recognised courier company; and</w:t>
      </w:r>
    </w:p>
    <w:p>
      <w:pPr>
        <w:spacing w:after="0" w:line="260" w:lineRule="exact"/>
        <w:rPr>
          <w:rFonts w:ascii="Arial" w:cs="Arial" w:eastAsia="Arial" w:hAnsi="Arial"/>
          <w:sz w:val="22"/>
          <w:szCs w:val="22"/>
          <w:color w:val="auto"/>
        </w:rPr>
      </w:pPr>
    </w:p>
    <w:p>
      <w:pPr>
        <w:ind w:left="1120" w:hanging="561"/>
        <w:spacing w:after="0"/>
        <w:tabs>
          <w:tab w:leader="none" w:pos="11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accompanied by a notice by email.</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For GMH:</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22"/>
          <w:szCs w:val="22"/>
          <w:color w:val="auto"/>
        </w:rPr>
        <w:t>General Motors Holdings LLC</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Detroit, MI 48265</w:t>
      </w: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580" w:top="375" w:right="239" w:bottom="1440" w:gutter="0" w:footer="0" w:header="0"/>
        </w:sectPr>
      </w:pPr>
    </w:p>
    <w:bookmarkStart w:id="181" w:name="page182"/>
    <w:bookmarkEnd w:id="181"/>
    <w:p>
      <w:pPr>
        <w:ind w:left="480"/>
        <w:spacing w:after="0"/>
        <w:rPr>
          <w:sz w:val="20"/>
          <w:szCs w:val="20"/>
          <w:color w:val="auto"/>
        </w:rPr>
      </w:pPr>
      <w:r>
        <w:rPr>
          <w:rFonts w:ascii="Arial" w:cs="Arial" w:eastAsia="Arial" w:hAnsi="Arial"/>
          <w:sz w:val="22"/>
          <w:szCs w:val="22"/>
          <w:color w:val="auto"/>
        </w:rPr>
        <w:t>USA</w:t>
      </w:r>
    </w:p>
    <w:p>
      <w:pPr>
        <w:spacing w:after="0" w:line="26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Attention: General Counsel</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Fax: +1 248 267 4497</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Email: michael.millikin@gm.com</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For PSA:</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PSA</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75 Avenue de la Grande Armée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75116 Paris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France</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Attention: General Secretary</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Fax: + 33 1 40 66 44 21</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Email: pierre.todorov@mpsa.com</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14.7.2 A notice shall be effective upon receipt and shall be deemed to have been received:</w:t>
      </w:r>
    </w:p>
    <w:p>
      <w:pPr>
        <w:spacing w:after="0" w:line="260" w:lineRule="exact"/>
        <w:rPr>
          <w:sz w:val="20"/>
          <w:szCs w:val="20"/>
          <w:color w:val="auto"/>
        </w:rPr>
      </w:pPr>
    </w:p>
    <w:p>
      <w:pPr>
        <w:ind w:left="1200" w:hanging="641"/>
        <w:spacing w:after="0"/>
        <w:tabs>
          <w:tab w:leader="none" w:pos="12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at the time of delivery, if delivered by hand or courier; and</w:t>
      </w:r>
    </w:p>
    <w:p>
      <w:pPr>
        <w:spacing w:after="0" w:line="260" w:lineRule="exact"/>
        <w:rPr>
          <w:rFonts w:ascii="Arial" w:cs="Arial" w:eastAsia="Arial" w:hAnsi="Arial"/>
          <w:sz w:val="22"/>
          <w:szCs w:val="22"/>
          <w:color w:val="auto"/>
        </w:rPr>
      </w:pPr>
    </w:p>
    <w:p>
      <w:pPr>
        <w:ind w:left="1200" w:hanging="641"/>
        <w:spacing w:after="0" w:line="263" w:lineRule="auto"/>
        <w:tabs>
          <w:tab w:leader="none" w:pos="12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at the time of transmission in legible form, if delivered by fax and if confirmation of receipt shall have been received.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14.8 NON-SOLICITATION</w:t>
      </w:r>
    </w:p>
    <w:p>
      <w:pPr>
        <w:spacing w:after="0" w:line="266" w:lineRule="exact"/>
        <w:rPr>
          <w:sz w:val="20"/>
          <w:szCs w:val="20"/>
          <w:color w:val="auto"/>
        </w:rPr>
      </w:pPr>
    </w:p>
    <w:p>
      <w:pPr>
        <w:jc w:val="both"/>
        <w:ind w:left="1120" w:hanging="647"/>
        <w:spacing w:after="0" w:line="290" w:lineRule="auto"/>
        <w:rPr>
          <w:sz w:val="20"/>
          <w:szCs w:val="20"/>
          <w:color w:val="auto"/>
        </w:rPr>
      </w:pPr>
      <w:r>
        <w:rPr>
          <w:rFonts w:ascii="Arial" w:cs="Arial" w:eastAsia="Arial" w:hAnsi="Arial"/>
          <w:sz w:val="19"/>
          <w:szCs w:val="19"/>
          <w:color w:val="auto"/>
        </w:rPr>
        <w:t>14.8.1 The Parties agree that, during the term of this Agreement and twelve months thereafter, neither Party nor any of its Affiliates (the “</w:t>
      </w:r>
      <w:r>
        <w:rPr>
          <w:rFonts w:ascii="Arial" w:cs="Arial" w:eastAsia="Arial" w:hAnsi="Arial"/>
          <w:sz w:val="19"/>
          <w:szCs w:val="19"/>
          <w:b w:val="1"/>
          <w:bCs w:val="1"/>
          <w:color w:val="auto"/>
        </w:rPr>
        <w:t>Soliciting Party</w:t>
      </w:r>
      <w:r>
        <w:rPr>
          <w:rFonts w:ascii="Arial" w:cs="Arial" w:eastAsia="Arial" w:hAnsi="Arial"/>
          <w:sz w:val="19"/>
          <w:szCs w:val="19"/>
          <w:color w:val="auto"/>
        </w:rPr>
        <w:t>”) shall, whether directly or indirectly (including through an external recruitment agency or a head hunter) solicit or entice away, or endeavor to solicit or entice away, any person employed by the other Party or any of its Affiliates (the “</w:t>
      </w:r>
      <w:r>
        <w:rPr>
          <w:rFonts w:ascii="Arial" w:cs="Arial" w:eastAsia="Arial" w:hAnsi="Arial"/>
          <w:sz w:val="19"/>
          <w:szCs w:val="19"/>
          <w:b w:val="1"/>
          <w:bCs w:val="1"/>
          <w:color w:val="auto"/>
        </w:rPr>
        <w:t>Non-Soliciting Party</w:t>
      </w:r>
      <w:r>
        <w:rPr>
          <w:rFonts w:ascii="Arial" w:cs="Arial" w:eastAsia="Arial" w:hAnsi="Arial"/>
          <w:sz w:val="19"/>
          <w:szCs w:val="19"/>
          <w:color w:val="auto"/>
        </w:rPr>
        <w:t xml:space="preserve">”) whose activities are related to the Alliance, with a view to inducing that person to leave such employment and to act for the Soliciting Party, including in respect of any such person who is a part of the senior leadership of the other Group (for the PSA Group, a </w:t>
      </w:r>
      <w:r>
        <w:rPr>
          <w:rFonts w:ascii="Arial" w:cs="Arial" w:eastAsia="Arial" w:hAnsi="Arial"/>
          <w:sz w:val="19"/>
          <w:szCs w:val="19"/>
          <w:i w:val="1"/>
          <w:iCs w:val="1"/>
          <w:color w:val="auto"/>
        </w:rPr>
        <w:t>cadre suprieur</w:t>
      </w:r>
      <w:r>
        <w:rPr>
          <w:rFonts w:ascii="Arial" w:cs="Arial" w:eastAsia="Arial" w:hAnsi="Arial"/>
          <w:sz w:val="19"/>
          <w:szCs w:val="19"/>
          <w:color w:val="auto"/>
        </w:rPr>
        <w:t xml:space="preserve"> or a </w:t>
      </w:r>
      <w:r>
        <w:rPr>
          <w:rFonts w:ascii="Arial" w:cs="Arial" w:eastAsia="Arial" w:hAnsi="Arial"/>
          <w:sz w:val="19"/>
          <w:szCs w:val="19"/>
          <w:i w:val="1"/>
          <w:iCs w:val="1"/>
          <w:color w:val="auto"/>
        </w:rPr>
        <w:t xml:space="preserve">cadre dirigeant </w:t>
      </w:r>
      <w:r>
        <w:rPr>
          <w:rFonts w:ascii="Arial" w:cs="Arial" w:eastAsia="Arial" w:hAnsi="Arial"/>
          <w:sz w:val="19"/>
          <w:szCs w:val="19"/>
          <w:color w:val="auto"/>
        </w:rPr>
        <w:t>and for the GMH Group, an</w:t>
      </w:r>
      <w:r>
        <w:rPr>
          <w:rFonts w:ascii="Arial" w:cs="Arial" w:eastAsia="Arial" w:hAnsi="Arial"/>
          <w:sz w:val="19"/>
          <w:szCs w:val="19"/>
          <w:i w:val="1"/>
          <w:iCs w:val="1"/>
          <w:color w:val="auto"/>
        </w:rPr>
        <w:t xml:space="preserve"> executive</w:t>
      </w:r>
      <w:r>
        <w:rPr>
          <w:rFonts w:ascii="Arial" w:cs="Arial" w:eastAsia="Arial" w:hAnsi="Arial"/>
          <w:sz w:val="19"/>
          <w:szCs w:val="19"/>
          <w:color w:val="auto"/>
        </w:rPr>
        <w:t>) (a “</w:t>
      </w:r>
      <w:r>
        <w:rPr>
          <w:rFonts w:ascii="Arial" w:cs="Arial" w:eastAsia="Arial" w:hAnsi="Arial"/>
          <w:sz w:val="19"/>
          <w:szCs w:val="19"/>
          <w:b w:val="1"/>
          <w:bCs w:val="1"/>
          <w:color w:val="auto"/>
        </w:rPr>
        <w:t>Senior Employee</w:t>
      </w:r>
      <w:r>
        <w:rPr>
          <w:rFonts w:ascii="Arial" w:cs="Arial" w:eastAsia="Arial" w:hAnsi="Arial"/>
          <w:sz w:val="19"/>
          <w:szCs w:val="19"/>
          <w:color w:val="auto"/>
        </w:rPr>
        <w:t>”), or hire such person, unless in each</w:t>
      </w:r>
      <w:r>
        <w:rPr>
          <w:rFonts w:ascii="Arial" w:cs="Arial" w:eastAsia="Arial" w:hAnsi="Arial"/>
          <w:sz w:val="19"/>
          <w:szCs w:val="19"/>
          <w:i w:val="1"/>
          <w:iCs w:val="1"/>
          <w:color w:val="auto"/>
        </w:rPr>
        <w:t xml:space="preserve"> </w:t>
      </w:r>
      <w:r>
        <w:rPr>
          <w:rFonts w:ascii="Arial" w:cs="Arial" w:eastAsia="Arial" w:hAnsi="Arial"/>
          <w:sz w:val="19"/>
          <w:szCs w:val="19"/>
          <w:color w:val="auto"/>
        </w:rPr>
        <w:t>case such Soliciting Party has obtained the prior written consent of the Non-Soliciting Party.</w:t>
      </w:r>
    </w:p>
    <w:p>
      <w:pPr>
        <w:spacing w:after="0" w:line="197" w:lineRule="exact"/>
        <w:rPr>
          <w:sz w:val="20"/>
          <w:szCs w:val="20"/>
          <w:color w:val="auto"/>
        </w:rPr>
      </w:pPr>
    </w:p>
    <w:p>
      <w:pPr>
        <w:jc w:val="both"/>
        <w:ind w:left="1120" w:hanging="647"/>
        <w:spacing w:after="0" w:line="263" w:lineRule="auto"/>
        <w:rPr>
          <w:sz w:val="20"/>
          <w:szCs w:val="20"/>
          <w:color w:val="auto"/>
        </w:rPr>
      </w:pPr>
      <w:r>
        <w:rPr>
          <w:rFonts w:ascii="Arial" w:cs="Arial" w:eastAsia="Arial" w:hAnsi="Arial"/>
          <w:sz w:val="22"/>
          <w:szCs w:val="22"/>
          <w:color w:val="auto"/>
        </w:rPr>
        <w:t>14.8.2 Except in respect of a Senior Employee, the foregoing shall not apply to the extent such person has been recruited by way of bona fide advertising.</w:t>
      </w:r>
    </w:p>
    <w:p>
      <w:pPr>
        <w:spacing w:after="0" w:line="215" w:lineRule="exact"/>
        <w:rPr>
          <w:sz w:val="20"/>
          <w:szCs w:val="20"/>
          <w:color w:val="auto"/>
        </w:rPr>
      </w:pPr>
    </w:p>
    <w:p>
      <w:pPr>
        <w:jc w:val="both"/>
        <w:ind w:left="1120" w:hanging="647"/>
        <w:spacing w:after="0" w:line="294" w:lineRule="auto"/>
        <w:rPr>
          <w:sz w:val="20"/>
          <w:szCs w:val="20"/>
          <w:color w:val="auto"/>
        </w:rPr>
      </w:pPr>
      <w:r>
        <w:rPr>
          <w:rFonts w:ascii="Arial" w:cs="Arial" w:eastAsia="Arial" w:hAnsi="Arial"/>
          <w:sz w:val="19"/>
          <w:szCs w:val="19"/>
          <w:color w:val="auto"/>
        </w:rPr>
        <w:t>14.8.3 As an exception to the duration set forth in Article 14.8.1, in the event of (i) termination of this Agreement for Fundamental Breach of either Party or as a consequence of termination of the Development Agreement for breach by either Party or (ii) termination of this Agreement as a consequence of termination of the Development Agreement for Material Adverse Event, the obligations of the breaching Party (in the case of (i)) and the obligations of the terminating Party (in the case of (ii)), set forth in this Section 14.8 shall continue until twelve months after the date on which this Agreement would have expired if it had not been terminated.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14.9 HARMONIZATION</w:t>
      </w:r>
    </w:p>
    <w:p>
      <w:pPr>
        <w:spacing w:after="0" w:line="24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580" w:top="375" w:right="239" w:bottom="1440" w:gutter="0" w:footer="0" w:header="0"/>
        </w:sectPr>
      </w:pPr>
    </w:p>
    <w:bookmarkStart w:id="182" w:name="page183"/>
    <w:bookmarkEnd w:id="182"/>
    <w:p>
      <w:pPr>
        <w:jc w:val="both"/>
        <w:ind w:left="820"/>
        <w:spacing w:after="0" w:line="253" w:lineRule="auto"/>
        <w:rPr>
          <w:sz w:val="20"/>
          <w:szCs w:val="20"/>
          <w:color w:val="auto"/>
        </w:rPr>
      </w:pPr>
      <w:r>
        <w:rPr>
          <w:rFonts w:ascii="Arial" w:cs="Arial" w:eastAsia="Arial" w:hAnsi="Arial"/>
          <w:sz w:val="22"/>
          <w:szCs w:val="22"/>
          <w:color w:val="auto"/>
        </w:rPr>
        <w:t>In the event of any conflict or ambiguity between this Agreement and any Ancillary Agreement regarding the subject matter of such Ancillary Agreement, the Ancillary Agreement (including any schedules, annexes or appendixes thereto) shall prevail.</w:t>
      </w:r>
    </w:p>
    <w:p>
      <w:pPr>
        <w:spacing w:after="0" w:line="220" w:lineRule="exact"/>
        <w:rPr>
          <w:sz w:val="20"/>
          <w:szCs w:val="20"/>
          <w:color w:val="auto"/>
        </w:rPr>
      </w:pPr>
    </w:p>
    <w:p>
      <w:pPr>
        <w:ind w:left="820" w:hanging="488"/>
        <w:spacing w:after="0"/>
        <w:tabs>
          <w:tab w:leader="none" w:pos="82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DISPUTE RESOLUTION</w:t>
      </w:r>
    </w:p>
    <w:p>
      <w:pPr>
        <w:spacing w:after="0" w:line="260" w:lineRule="exact"/>
        <w:rPr>
          <w:sz w:val="20"/>
          <w:szCs w:val="20"/>
          <w:color w:val="auto"/>
        </w:rPr>
      </w:pPr>
    </w:p>
    <w:p>
      <w:pPr>
        <w:jc w:val="both"/>
        <w:ind w:left="900" w:hanging="566"/>
        <w:spacing w:after="0" w:line="247" w:lineRule="auto"/>
        <w:tabs>
          <w:tab w:leader="none" w:pos="88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22"/>
          <w:szCs w:val="22"/>
          <w:color w:val="auto"/>
        </w:rPr>
        <w:t>This Agreement is governed by, and construed in accordance with, the laws of Switzerland. Nothing in this Agreement shall be interpreted to constitute a partnership between the Parties within the meaning set out in the Swiss Code of Obligations. In any case, in the event that the Alliance qualifies as “simple partnership” within the meaning of articles 530 and following of the Swiss Code of Obligations, the Parties expressly derogate and exclude the application to this Agreement and the Ancillary Agreements of articles 535, 543, 544 and 545, paragraphs 1.1 to 1.6 of the Swiss Code of Obligations.</w:t>
      </w:r>
    </w:p>
    <w:p>
      <w:pPr>
        <w:spacing w:after="0" w:line="234" w:lineRule="exact"/>
        <w:rPr>
          <w:sz w:val="20"/>
          <w:szCs w:val="20"/>
          <w:color w:val="auto"/>
        </w:rPr>
      </w:pPr>
    </w:p>
    <w:p>
      <w:pPr>
        <w:jc w:val="both"/>
        <w:ind w:left="900" w:hanging="566"/>
        <w:spacing w:after="0" w:line="292" w:lineRule="auto"/>
        <w:tabs>
          <w:tab w:leader="none" w:pos="8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color w:val="auto"/>
        </w:rPr>
        <w:t>Notwithstanding any other provision to the contrary contained in this Agreement, any dispute arising out of or in connection with this Agreement, including a dispute as to the validity, existence or termination of this Agreement or this Section 15 or any obligation arising out of or in connection with this Agreement, shall be resolved exclusively by arbitration in Geneva, Switzerland conducted in English by three arbitrators pursuant to the rules of the International Chamber of Commerce in effect at the time of the submission of the dispute to arbitration. The arbitration award shall be final, binding on all Parties and not subject to appeal on any grounds before the Swiss Federal Tribunal within the meaning of article 192 paragraph 1 of the Swiss Federal Act on private international law.</w:t>
      </w:r>
    </w:p>
    <w:p>
      <w:pPr>
        <w:spacing w:after="0" w:line="192" w:lineRule="exact"/>
        <w:rPr>
          <w:sz w:val="20"/>
          <w:szCs w:val="20"/>
          <w:color w:val="auto"/>
        </w:rPr>
      </w:pPr>
    </w:p>
    <w:p>
      <w:pPr>
        <w:jc w:val="both"/>
        <w:ind w:left="900" w:hanging="566"/>
        <w:spacing w:after="0" w:line="250" w:lineRule="auto"/>
        <w:tabs>
          <w:tab w:leader="none" w:pos="8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22"/>
          <w:szCs w:val="22"/>
          <w:color w:val="auto"/>
        </w:rPr>
        <w:t>The Parties acknowledge that nothing in Section 15 shall prevent a Party from referring to any competent courts in any appropriate jurisdiction prior to or after the initiation of an arbitration procedure under this Section 15 any request for an interim protection or conservatory order. Pending a dispute resolution under Section 6.2.4(c,) the Parties may not start arbitration under Section 15.2.</w:t>
      </w:r>
    </w:p>
    <w:p>
      <w:pPr>
        <w:spacing w:after="0" w:line="229" w:lineRule="exact"/>
        <w:rPr>
          <w:sz w:val="20"/>
          <w:szCs w:val="20"/>
          <w:color w:val="auto"/>
        </w:rPr>
      </w:pPr>
    </w:p>
    <w:p>
      <w:pPr>
        <w:jc w:val="both"/>
        <w:ind w:left="900" w:hanging="566"/>
        <w:spacing w:after="0" w:line="246" w:lineRule="auto"/>
        <w:tabs>
          <w:tab w:leader="none" w:pos="88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22"/>
          <w:szCs w:val="22"/>
          <w:color w:val="auto"/>
        </w:rPr>
        <w:t>The Parties contemplate that the governing law and dispute resolution provisions set forth in this Section 15 shall apply mutatis mutandis to the Development Agreements, the Supply Agreements, the Powertrain Supply Agreements and the Purchasing Agreements. The Logistics Agreement (including for the purpose of this Section also the relevant Local Participation Agreements, as defined in the Logistics Agreement) will be governed by the law agreed between the Parties therein and any dispute arising out of or in connection with the Logistics Agreement, including a dispute as to the validity, existence or termination of the Logistics Agreement or any obligation arising out of or in connection with the Logistics Agreement, also in connection with Section 5 of this Agreement, shall be resolved exclusively in accordance with the provisions on the dispute resolution set out in the Logistics Agreement, excluding any application of this section 15.</w:t>
      </w:r>
    </w:p>
    <w:p>
      <w:pPr>
        <w:spacing w:after="0" w:line="23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21"/>
          <w:szCs w:val="21"/>
          <w:b w:val="1"/>
          <w:bCs w:val="1"/>
          <w:color w:val="auto"/>
        </w:rPr>
        <w:t>MEDIA AND PUBLIC ANNOUNCEMENTS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public announcement concerning the execution of this Agreement or any of the Ancillary Agreements, including media releases, material for press conferences and communications to suppliers, dealers, or customers, shall be agreed in writing between the Parties.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Signed on December 19, 2012, in two (2) originals.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32" w:right="239" w:bottom="1440" w:gutter="0" w:footer="0" w:header="0"/>
        </w:sectPr>
      </w:pPr>
    </w:p>
    <w:bookmarkStart w:id="183" w:name="page184"/>
    <w:bookmarkEnd w:id="183"/>
    <w:p>
      <w:pPr>
        <w:spacing w:after="0"/>
        <w:rPr>
          <w:sz w:val="20"/>
          <w:szCs w:val="20"/>
          <w:color w:val="auto"/>
        </w:rPr>
      </w:pPr>
      <w:r>
        <w:rPr>
          <w:rFonts w:ascii="Arial" w:cs="Arial" w:eastAsia="Arial" w:hAnsi="Arial"/>
          <w:sz w:val="21"/>
          <w:szCs w:val="21"/>
          <w:b w:val="1"/>
          <w:bCs w:val="1"/>
          <w:color w:val="auto"/>
        </w:rPr>
        <w:t>GENERAL MOTORS HOLDINGS LLC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PEUGEOT S.A.</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Title:</w:t>
      </w:r>
    </w:p>
    <w:p>
      <w:pPr>
        <w:sectPr>
          <w:pgSz w:w="11900" w:h="16838" w:orient="portrait"/>
          <w:cols w:equalWidth="0" w:num="1">
            <w:col w:w="10219"/>
          </w:cols>
          <w:pgMar w:left="240" w:top="625" w:right="1440"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“acting in concert”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“Affiliate”</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Arial" w:cs="Arial" w:eastAsia="Arial" w:hAnsi="Arial"/>
          <w:sz w:val="22"/>
          <w:szCs w:val="22"/>
          <w:color w:val="auto"/>
        </w:rPr>
        <w:t>EXHIBIT 1</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shall have the meaning as set forth in Article L.233-10 of the French </w:t>
      </w:r>
      <w:r>
        <w:rPr>
          <w:rFonts w:ascii="Arial" w:cs="Arial" w:eastAsia="Arial" w:hAnsi="Arial"/>
          <w:sz w:val="22"/>
          <w:szCs w:val="22"/>
          <w:i w:val="1"/>
          <w:iCs w:val="1"/>
          <w:color w:val="auto"/>
        </w:rPr>
        <w:t>Code</w:t>
      </w:r>
      <w:r>
        <w:rPr>
          <w:rFonts w:ascii="Arial" w:cs="Arial" w:eastAsia="Arial" w:hAnsi="Arial"/>
          <w:sz w:val="22"/>
          <w:szCs w:val="22"/>
          <w:color w:val="auto"/>
        </w:rPr>
        <w:t xml:space="preserve"> </w:t>
      </w:r>
      <w:r>
        <w:rPr>
          <w:rFonts w:ascii="Arial" w:cs="Arial" w:eastAsia="Arial" w:hAnsi="Arial"/>
          <w:sz w:val="22"/>
          <w:szCs w:val="22"/>
          <w:i w:val="1"/>
          <w:iCs w:val="1"/>
          <w:color w:val="auto"/>
        </w:rPr>
        <w:t>de commerce</w:t>
      </w:r>
      <w:r>
        <w:rPr>
          <w:rFonts w:ascii="Arial" w:cs="Arial" w:eastAsia="Arial" w:hAnsi="Arial"/>
          <w:sz w:val="22"/>
          <w:szCs w:val="22"/>
          <w:color w:val="auto"/>
        </w:rPr>
        <w:t>.</w:t>
      </w:r>
    </w:p>
    <w:p>
      <w:pPr>
        <w:spacing w:after="0" w:line="11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means, with respect to any Party or other person, any company or other entity in respect of which such Party or other person has either (a) the ownership of more than 50% of the total voting rights or (b) the right to appoint the majority of the members of the board of directors (or similar corporate organ);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Affiliate of GMH shall include any Affiliate of GMC. Further, the Parties agree that Faurecia and its subsidiaries (collectively “Faurecia”) will not be considered Affiliates for purposes of this Agreement.</w:t>
      </w:r>
    </w:p>
    <w:p>
      <w:pPr>
        <w:spacing w:after="0" w:line="74" w:lineRule="exact"/>
        <w:rPr>
          <w:sz w:val="20"/>
          <w:szCs w:val="20"/>
          <w:color w:val="auto"/>
        </w:rPr>
      </w:pPr>
    </w:p>
    <w:p>
      <w:pPr>
        <w:sectPr>
          <w:pgSz w:w="11900" w:h="16838" w:orient="portrait"/>
          <w:cols w:equalWidth="0" w:num="2">
            <w:col w:w="2020" w:space="720"/>
            <w:col w:w="6640"/>
          </w:cols>
          <w:pgMar w:left="1260" w:top="375" w:right="1259" w:bottom="1440" w:gutter="0" w:footer="0" w:header="0"/>
        </w:sectPr>
      </w:pPr>
    </w:p>
    <w:p>
      <w:pPr>
        <w:spacing w:after="0"/>
        <w:tabs>
          <w:tab w:leader="none" w:pos="2720" w:val="left"/>
        </w:tabs>
        <w:rPr>
          <w:sz w:val="20"/>
          <w:szCs w:val="20"/>
          <w:color w:val="auto"/>
        </w:rPr>
      </w:pPr>
      <w:r>
        <w:rPr>
          <w:rFonts w:ascii="Arial" w:cs="Arial" w:eastAsia="Arial" w:hAnsi="Arial"/>
          <w:sz w:val="19"/>
          <w:szCs w:val="19"/>
          <w:b w:val="1"/>
          <w:bCs w:val="1"/>
          <w:color w:val="auto"/>
        </w:rPr>
        <w:t>“Alliance”</w:t>
      </w:r>
      <w:r>
        <w:rPr>
          <w:sz w:val="20"/>
          <w:szCs w:val="20"/>
          <w:color w:val="auto"/>
        </w:rPr>
        <w:tab/>
      </w:r>
      <w:r>
        <w:rPr>
          <w:rFonts w:ascii="Arial" w:cs="Arial" w:eastAsia="Arial" w:hAnsi="Arial"/>
          <w:sz w:val="19"/>
          <w:szCs w:val="19"/>
          <w:color w:val="auto"/>
        </w:rPr>
        <w:t>means (a) the joint development described in Section 3, (b) the joint global</w:t>
      </w:r>
    </w:p>
    <w:p>
      <w:pPr>
        <w:spacing w:after="0" w:line="49" w:lineRule="exact"/>
        <w:rPr>
          <w:sz w:val="20"/>
          <w:szCs w:val="20"/>
          <w:color w:val="auto"/>
        </w:rPr>
      </w:pPr>
    </w:p>
    <w:p>
      <w:pPr>
        <w:ind w:left="2740"/>
        <w:spacing w:after="0" w:line="237" w:lineRule="auto"/>
        <w:rPr>
          <w:sz w:val="20"/>
          <w:szCs w:val="20"/>
          <w:color w:val="auto"/>
        </w:rPr>
      </w:pPr>
      <w:r>
        <w:rPr>
          <w:rFonts w:ascii="Arial" w:cs="Arial" w:eastAsia="Arial" w:hAnsi="Arial"/>
          <w:sz w:val="22"/>
          <w:szCs w:val="22"/>
          <w:color w:val="auto"/>
        </w:rPr>
        <w:t>purchasing platform described in Section 4, and (c) the commercial cooperation between GMH and Gefco described in Section 5.</w:t>
      </w:r>
    </w:p>
    <w:p>
      <w:pPr>
        <w:sectPr>
          <w:pgSz w:w="11900" w:h="16838" w:orient="portrait"/>
          <w:cols w:equalWidth="0" w:num="1">
            <w:col w:w="9380"/>
          </w:cols>
          <w:pgMar w:left="1260" w:top="375" w:right="12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“AMF”</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Ancillary Agreements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2.2.3.</w:t>
      </w:r>
    </w:p>
    <w:p>
      <w:pPr>
        <w:spacing w:after="0" w:line="44" w:lineRule="exact"/>
        <w:rPr>
          <w:sz w:val="20"/>
          <w:szCs w:val="20"/>
          <w:color w:val="auto"/>
        </w:rPr>
      </w:pPr>
    </w:p>
    <w:p>
      <w:pPr>
        <w:jc w:val="both"/>
        <w:spacing w:after="0"/>
        <w:rPr>
          <w:sz w:val="20"/>
          <w:szCs w:val="20"/>
          <w:color w:val="auto"/>
        </w:rPr>
      </w:pPr>
      <w:r>
        <w:rPr>
          <w:rFonts w:ascii="Arial" w:cs="Arial" w:eastAsia="Arial" w:hAnsi="Arial"/>
          <w:sz w:val="22"/>
          <w:szCs w:val="22"/>
          <w:color w:val="auto"/>
        </w:rPr>
        <w:t>means the Development Agreements, the Supply Agreements, the Powertrain Supply Agreements, the Purchasing Agreements and the Logistics Agreement.</w:t>
      </w:r>
    </w:p>
    <w:p>
      <w:pPr>
        <w:spacing w:after="0" w:line="18" w:lineRule="exact"/>
        <w:rPr>
          <w:sz w:val="20"/>
          <w:szCs w:val="20"/>
          <w:color w:val="auto"/>
        </w:rPr>
      </w:pPr>
    </w:p>
    <w:p>
      <w:pPr>
        <w:sectPr>
          <w:pgSz w:w="11900" w:h="16838" w:orient="portrait"/>
          <w:cols w:equalWidth="0" w:num="2">
            <w:col w:w="2220" w:space="520"/>
            <w:col w:w="6640"/>
          </w:cols>
          <w:pgMar w:left="1260" w:top="375" w:right="125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“Authorized GMH Affiliate”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means an entity wholly-owned by GMH with the words “General Motors” or “GM” in its corporate name (other than Adam Opel AG, Chevrolet Europe GmbH or subsidiaries thereof).</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means any day other than (i) a Saturday or a Sunday or (ii) a public holiday in Detroit or in Paris.</w:t>
      </w:r>
    </w:p>
    <w:p>
      <w:pPr>
        <w:spacing w:after="0" w:line="5" w:lineRule="exact"/>
        <w:rPr>
          <w:sz w:val="20"/>
          <w:szCs w:val="20"/>
          <w:color w:val="auto"/>
        </w:rPr>
      </w:pPr>
    </w:p>
    <w:p>
      <w:pPr>
        <w:sectPr>
          <w:pgSz w:w="11900" w:h="16838" w:orient="portrait"/>
          <w:cols w:equalWidth="0" w:num="2">
            <w:col w:w="2660" w:space="80"/>
            <w:col w:w="6640"/>
          </w:cols>
          <w:pgMar w:left="1260" w:top="375" w:right="125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“CEOs”</w:t>
      </w:r>
    </w:p>
    <w:p>
      <w:pPr>
        <w:spacing w:after="0" w:line="341" w:lineRule="exact"/>
        <w:rPr>
          <w:sz w:val="20"/>
          <w:szCs w:val="20"/>
          <w:color w:val="auto"/>
        </w:rPr>
      </w:pPr>
    </w:p>
    <w:p>
      <w:pPr>
        <w:ind w:right="660"/>
        <w:spacing w:after="0" w:line="4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w:t>
      </w:r>
      <w:r>
        <w:rPr>
          <w:rFonts w:ascii="Arial" w:cs="Arial" w:eastAsia="Arial" w:hAnsi="Arial"/>
          <w:sz w:val="19"/>
          <w:szCs w:val="19"/>
          <w:b w:val="1"/>
          <w:bCs w:val="1"/>
          <w:color w:val="auto"/>
        </w:rPr>
        <w:t>“Competitor”</w:t>
      </w:r>
    </w:p>
    <w:p>
      <w:pPr>
        <w:spacing w:after="0" w:line="121" w:lineRule="exact"/>
        <w:rPr>
          <w:sz w:val="20"/>
          <w:szCs w:val="20"/>
          <w:color w:val="auto"/>
        </w:rPr>
      </w:pPr>
    </w:p>
    <w:p>
      <w:pPr>
        <w:ind w:right="40"/>
        <w:spacing w:after="0" w:line="41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w:t>
      </w:r>
      <w:r>
        <w:rPr>
          <w:rFonts w:ascii="Arial" w:cs="Arial" w:eastAsia="Arial" w:hAnsi="Arial"/>
          <w:sz w:val="22"/>
          <w:szCs w:val="22"/>
          <w:b w:val="1"/>
          <w:bCs w:val="1"/>
          <w:color w:val="auto"/>
        </w:rPr>
        <w:t>control</w:t>
      </w:r>
      <w:r>
        <w:rPr>
          <w:rFonts w:ascii="Arial" w:cs="Arial" w:eastAsia="Arial" w:hAnsi="Arial"/>
          <w:sz w:val="22"/>
          <w:szCs w:val="22"/>
          <w:color w:val="auto"/>
        </w:rPr>
        <w: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Development Agreements</w:t>
      </w:r>
      <w:r>
        <w:rPr>
          <w:rFonts w:ascii="Arial" w:cs="Arial" w:eastAsia="Arial" w:hAnsi="Arial"/>
          <w:sz w:val="19"/>
          <w:szCs w:val="19"/>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“EPF”</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Investment”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“FFP”</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22"/>
          <w:szCs w:val="22"/>
          <w:color w:val="auto"/>
        </w:rPr>
        <w:t>means the Chief Executive Officer of GMH and the Chairman of the Managing Board of PSA</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9.</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means any (i) entity that manufactures automobiles or (ii) a private equity fund aiming at influencing the governance of PSA.</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8.5.1.</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means either (a) the ownership of more than 30% of the total voting rights of a company or (b) the contractual or statutory right to appoint the majority of the members of the board of directors of a company, except as otherwise specifically provided herein.</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3.2(i).</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means Établissements Peugeot Frères, a French </w:t>
      </w:r>
      <w:r>
        <w:rPr>
          <w:rFonts w:ascii="Arial" w:cs="Arial" w:eastAsia="Arial" w:hAnsi="Arial"/>
          <w:sz w:val="22"/>
          <w:szCs w:val="22"/>
          <w:i w:val="1"/>
          <w:iCs w:val="1"/>
          <w:color w:val="auto"/>
        </w:rPr>
        <w:t>société anonyme.</w:t>
      </w:r>
    </w:p>
    <w:p>
      <w:pPr>
        <w:spacing w:after="0" w:line="4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means the acquisition by GMH (or an Authorized GMH Affiliate) of the Shares, as contemplated in Section 2.1.</w:t>
      </w:r>
    </w:p>
    <w:p>
      <w:pPr>
        <w:spacing w:after="0" w:line="11"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 xml:space="preserve">Means Société Foncière, Financière et de Participations, a French </w:t>
      </w:r>
      <w:r>
        <w:rPr>
          <w:rFonts w:ascii="Arial" w:cs="Arial" w:eastAsia="Arial" w:hAnsi="Arial"/>
          <w:sz w:val="22"/>
          <w:szCs w:val="22"/>
          <w:i w:val="1"/>
          <w:iCs w:val="1"/>
          <w:color w:val="auto"/>
        </w:rPr>
        <w:t>société</w:t>
      </w:r>
      <w:r>
        <w:rPr>
          <w:rFonts w:ascii="Arial" w:cs="Arial" w:eastAsia="Arial" w:hAnsi="Arial"/>
          <w:sz w:val="22"/>
          <w:szCs w:val="22"/>
          <w:color w:val="auto"/>
        </w:rPr>
        <w:t xml:space="preserve"> </w:t>
      </w:r>
      <w:r>
        <w:rPr>
          <w:rFonts w:ascii="Arial" w:cs="Arial" w:eastAsia="Arial" w:hAnsi="Arial"/>
          <w:sz w:val="22"/>
          <w:szCs w:val="22"/>
          <w:i w:val="1"/>
          <w:iCs w:val="1"/>
          <w:color w:val="auto"/>
        </w:rPr>
        <w:t>anonyme.</w:t>
      </w:r>
    </w:p>
    <w:p>
      <w:pPr>
        <w:spacing w:after="0" w:line="23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2560" w:space="180"/>
            <w:col w:w="6640"/>
          </w:cols>
          <w:pgMar w:left="1260" w:top="375" w:right="1259" w:bottom="1440" w:gutter="0" w:footer="0" w:header="0"/>
          <w:type w:val="continuous"/>
        </w:sectPr>
      </w:pPr>
    </w:p>
    <w:bookmarkStart w:id="185" w:name="page186"/>
    <w:bookmarkEnd w:id="185"/>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Breach</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“Gefco”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GMC</w:t>
      </w: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w:t>
      </w:r>
    </w:p>
    <w:p>
      <w:pPr>
        <w:spacing w:after="0" w:line="233" w:lineRule="exact"/>
        <w:rPr>
          <w:sz w:val="20"/>
          <w:szCs w:val="20"/>
          <w:color w:val="auto"/>
        </w:rPr>
      </w:pPr>
    </w:p>
    <w:p>
      <w:pPr>
        <w:ind w:right="900"/>
        <w:spacing w:after="0" w:line="280" w:lineRule="auto"/>
        <w:rPr>
          <w:sz w:val="20"/>
          <w:szCs w:val="20"/>
          <w:color w:val="auto"/>
        </w:rPr>
      </w:pPr>
      <w:r>
        <w:rPr>
          <w:rFonts w:ascii="Arial" w:cs="Arial" w:eastAsia="Arial" w:hAnsi="Arial"/>
          <w:sz w:val="21"/>
          <w:szCs w:val="21"/>
          <w:b w:val="1"/>
          <w:bCs w:val="1"/>
          <w:color w:val="auto"/>
        </w:rPr>
        <w:t>“Initial Ancillary Agreements”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“Insolvency Event”</w:t>
      </w:r>
    </w:p>
    <w:p>
      <w:pPr>
        <w:spacing w:after="0" w:line="200" w:lineRule="exact"/>
        <w:rPr>
          <w:sz w:val="20"/>
          <w:szCs w:val="20"/>
          <w:color w:val="auto"/>
        </w:rPr>
      </w:pPr>
    </w:p>
    <w:p>
      <w:pPr>
        <w:spacing w:after="0" w:line="384" w:lineRule="exact"/>
        <w:rPr>
          <w:sz w:val="20"/>
          <w:szCs w:val="20"/>
          <w:color w:val="auto"/>
        </w:rPr>
      </w:pPr>
    </w:p>
    <w:p>
      <w:pPr>
        <w:ind w:right="1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or “</w:t>
      </w:r>
      <w:r>
        <w:rPr>
          <w:rFonts w:ascii="Arial" w:cs="Arial" w:eastAsia="Arial" w:hAnsi="Arial"/>
          <w:sz w:val="22"/>
          <w:szCs w:val="22"/>
          <w:b w:val="1"/>
          <w:bCs w:val="1"/>
          <w:color w:val="auto"/>
        </w:rPr>
        <w:t>IP</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Period”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“Logistics Agreement”</w:t>
      </w:r>
    </w:p>
    <w:p>
      <w:pPr>
        <w:spacing w:after="0" w:line="44" w:lineRule="exact"/>
        <w:rPr>
          <w:sz w:val="20"/>
          <w:szCs w:val="20"/>
          <w:color w:val="auto"/>
        </w:rPr>
      </w:pPr>
    </w:p>
    <w:p>
      <w:pPr>
        <w:ind w:right="200"/>
        <w:spacing w:after="0" w:line="296" w:lineRule="auto"/>
        <w:rPr>
          <w:sz w:val="20"/>
          <w:szCs w:val="20"/>
          <w:color w:val="auto"/>
        </w:rPr>
      </w:pPr>
      <w:r>
        <w:rPr>
          <w:rFonts w:ascii="Arial" w:cs="Arial" w:eastAsia="Arial" w:hAnsi="Arial"/>
          <w:sz w:val="19"/>
          <w:szCs w:val="19"/>
          <w:b w:val="1"/>
          <w:bCs w:val="1"/>
          <w:color w:val="auto"/>
        </w:rPr>
        <w:t>“Minimum Development Programs”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“Non-Soliciting Party”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“Peugeot Family”</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22"/>
          <w:szCs w:val="22"/>
          <w:color w:val="auto"/>
        </w:rPr>
        <w:t>means a material breach of this Agreement of a such magnitude that it compromises the Alliance.</w:t>
      </w:r>
    </w:p>
    <w:p>
      <w:pPr>
        <w:spacing w:after="0" w:line="6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means Gefco SA, a French </w:t>
      </w:r>
      <w:r>
        <w:rPr>
          <w:rFonts w:ascii="Arial" w:cs="Arial" w:eastAsia="Arial" w:hAnsi="Arial"/>
          <w:sz w:val="22"/>
          <w:szCs w:val="22"/>
          <w:i w:val="1"/>
          <w:iCs w:val="1"/>
          <w:color w:val="auto"/>
        </w:rPr>
        <w:t>société anonyme,</w:t>
      </w:r>
      <w:r>
        <w:rPr>
          <w:rFonts w:ascii="Arial" w:cs="Arial" w:eastAsia="Arial" w:hAnsi="Arial"/>
          <w:sz w:val="22"/>
          <w:szCs w:val="22"/>
          <w:color w:val="auto"/>
        </w:rPr>
        <w:t xml:space="preserve"> with its headquarters at 77/81 rue des Lilas d’Espagne, 92402 COURBEVOIE Cedex.</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means General Motors Company, a Delaware corporation with its headquarters at Renaissance Center, Detroit, Michigan 48265, USA.</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means any nation, government or state or other political subdivision thereof, and any entity (whether national, federal, regional, state or local, and including any court or arbitral tribunal) exercising executive, legislative, judicial, regulatory or administrative functions of or pertaining to government.</w:t>
      </w:r>
    </w:p>
    <w:p>
      <w:pPr>
        <w:spacing w:after="0" w:line="2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means, with respect to GMH, GMH and its Affiliates and, with respect to PSA, PSA and its Affiliates.</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means (i) the agreement establishing the Purchasing JV, (ii) the Logistics Agreement and (iii) Development Agreements with respect to at least 3 Products.</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2"/>
          <w:szCs w:val="22"/>
          <w:color w:val="auto"/>
        </w:rPr>
        <w:t>means PSA becoming insolvent or subject to any proceedings under any applicable bankruptcy, insolvency, moratorium, reorganization or similar law.</w:t>
      </w:r>
    </w:p>
    <w:p>
      <w:pPr>
        <w:spacing w:after="0" w:line="2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means all industrial and intellectual property rights, including registered trademarks, service marks, patents, utility models, registered designs, applications for, inventions, trade and business names, copyrights, computer software, domain names and databases, which may subsist in any part of the world (including in know-how) together with all renewals and extensions.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2.3.1.</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2.3.1.</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5.2.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8.1.4.</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Section 14.8.1.</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ascribed to it in the recitals.</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means (i) EPF, (ii) FFP, (iii) any member of the board of directors of EPF or FFP who is a member of the Peugeot family, (iv) Affiliates of EPF or FFP (excluding for the avoidance of doubt PSA and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an “agreement with” or an “invitation by” the Peugeot Family as referred to in Sections 2.2.2(b), 2.2.3(c) or 9, any action taken by any member of the board of directors of EPF or FFP shall be disregarded if such action is objected to in, or denounced by, a duly passed publicly disclosed resolution of the board of directors of EPF or FFP.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2500" w:space="240"/>
            <w:col w:w="6640"/>
          </w:cols>
          <w:pgMar w:left="1260" w:top="523" w:right="125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53"/>
        </w:trPr>
        <w:tc>
          <w:tcPr>
            <w:tcW w:w="2560" w:type="dxa"/>
            <w:vAlign w:val="bottom"/>
          </w:tcPr>
          <w:p>
            <w:pPr>
              <w:spacing w:after="0"/>
              <w:rPr>
                <w:sz w:val="20"/>
                <w:szCs w:val="20"/>
                <w:color w:val="auto"/>
              </w:rPr>
            </w:pPr>
            <w:r>
              <w:rPr>
                <w:rFonts w:ascii="Arial" w:cs="Arial" w:eastAsia="Arial" w:hAnsi="Arial"/>
                <w:sz w:val="22"/>
                <w:szCs w:val="22"/>
                <w:b w:val="1"/>
                <w:bCs w:val="1"/>
                <w:color w:val="auto"/>
              </w:rPr>
              <w:t>“Products”</w:t>
            </w:r>
          </w:p>
        </w:tc>
        <w:tc>
          <w:tcPr>
            <w:tcW w:w="6820" w:type="dxa"/>
            <w:vAlign w:val="bottom"/>
          </w:tcPr>
          <w:p>
            <w:pPr>
              <w:ind w:left="180"/>
              <w:spacing w:after="0"/>
              <w:rPr>
                <w:sz w:val="20"/>
                <w:szCs w:val="20"/>
                <w:color w:val="auto"/>
              </w:rPr>
            </w:pPr>
            <w:r>
              <w:rPr>
                <w:rFonts w:ascii="Arial" w:cs="Arial" w:eastAsia="Arial" w:hAnsi="Arial"/>
                <w:sz w:val="22"/>
                <w:szCs w:val="22"/>
                <w:color w:val="auto"/>
                <w:w w:val="91"/>
              </w:rPr>
              <w:t>means the modules, vehicles or powertrains that the Parties shall agree to</w:t>
            </w:r>
          </w:p>
        </w:tc>
      </w:tr>
      <w:tr>
        <w:trPr>
          <w:trHeight w:val="243"/>
        </w:trPr>
        <w:tc>
          <w:tcPr>
            <w:tcW w:w="2560" w:type="dxa"/>
            <w:vAlign w:val="bottom"/>
          </w:tcPr>
          <w:p>
            <w:pPr>
              <w:spacing w:after="0"/>
              <w:rPr>
                <w:sz w:val="21"/>
                <w:szCs w:val="21"/>
                <w:color w:val="auto"/>
              </w:rPr>
            </w:pPr>
          </w:p>
        </w:tc>
        <w:tc>
          <w:tcPr>
            <w:tcW w:w="6820" w:type="dxa"/>
            <w:vAlign w:val="bottom"/>
          </w:tcPr>
          <w:p>
            <w:pPr>
              <w:ind w:left="180"/>
              <w:spacing w:after="0" w:line="243" w:lineRule="exact"/>
              <w:rPr>
                <w:sz w:val="20"/>
                <w:szCs w:val="20"/>
                <w:color w:val="auto"/>
              </w:rPr>
            </w:pPr>
            <w:r>
              <w:rPr>
                <w:rFonts w:ascii="Arial" w:cs="Arial" w:eastAsia="Arial" w:hAnsi="Arial"/>
                <w:sz w:val="22"/>
                <w:szCs w:val="22"/>
                <w:color w:val="auto"/>
                <w:w w:val="91"/>
              </w:rPr>
              <w:t>include in the Development Agreements and any additional joint programs</w:t>
            </w:r>
          </w:p>
        </w:tc>
      </w:tr>
      <w:tr>
        <w:trPr>
          <w:trHeight w:val="243"/>
        </w:trPr>
        <w:tc>
          <w:tcPr>
            <w:tcW w:w="2560" w:type="dxa"/>
            <w:vAlign w:val="bottom"/>
          </w:tcPr>
          <w:p>
            <w:pPr>
              <w:spacing w:after="0"/>
              <w:rPr>
                <w:sz w:val="21"/>
                <w:szCs w:val="21"/>
                <w:color w:val="auto"/>
              </w:rPr>
            </w:pPr>
          </w:p>
        </w:tc>
        <w:tc>
          <w:tcPr>
            <w:tcW w:w="6820" w:type="dxa"/>
            <w:vAlign w:val="bottom"/>
          </w:tcPr>
          <w:p>
            <w:pPr>
              <w:ind w:left="180"/>
              <w:spacing w:after="0" w:line="243" w:lineRule="exact"/>
              <w:rPr>
                <w:sz w:val="20"/>
                <w:szCs w:val="20"/>
                <w:color w:val="auto"/>
              </w:rPr>
            </w:pPr>
            <w:r>
              <w:rPr>
                <w:rFonts w:ascii="Arial" w:cs="Arial" w:eastAsia="Arial" w:hAnsi="Arial"/>
                <w:sz w:val="22"/>
                <w:szCs w:val="22"/>
                <w:color w:val="auto"/>
                <w:w w:val="89"/>
              </w:rPr>
              <w:t>that the Parties may agree in writing from time to time to add to the scope of</w:t>
            </w:r>
          </w:p>
        </w:tc>
      </w:tr>
      <w:tr>
        <w:trPr>
          <w:trHeight w:val="275"/>
        </w:trPr>
        <w:tc>
          <w:tcPr>
            <w:tcW w:w="2560" w:type="dxa"/>
            <w:vAlign w:val="bottom"/>
          </w:tcPr>
          <w:p>
            <w:pPr>
              <w:spacing w:after="0"/>
              <w:rPr>
                <w:sz w:val="23"/>
                <w:szCs w:val="23"/>
                <w:color w:val="auto"/>
              </w:rPr>
            </w:pPr>
          </w:p>
        </w:tc>
        <w:tc>
          <w:tcPr>
            <w:tcW w:w="6820" w:type="dxa"/>
            <w:vAlign w:val="bottom"/>
          </w:tcPr>
          <w:p>
            <w:pPr>
              <w:ind w:left="180"/>
              <w:spacing w:after="0"/>
              <w:rPr>
                <w:sz w:val="20"/>
                <w:szCs w:val="20"/>
                <w:color w:val="auto"/>
              </w:rPr>
            </w:pPr>
            <w:r>
              <w:rPr>
                <w:rFonts w:ascii="Arial" w:cs="Arial" w:eastAsia="Arial" w:hAnsi="Arial"/>
                <w:sz w:val="22"/>
                <w:szCs w:val="22"/>
                <w:color w:val="auto"/>
              </w:rPr>
              <w:t>the Alliance.</w:t>
            </w:r>
          </w:p>
        </w:tc>
      </w:tr>
      <w:tr>
        <w:trPr>
          <w:trHeight w:val="314"/>
        </w:trPr>
        <w:tc>
          <w:tcPr>
            <w:tcW w:w="25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Powertrain Supply</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3.2(iii).</w:t>
            </w:r>
          </w:p>
        </w:tc>
      </w:tr>
      <w:tr>
        <w:trPr>
          <w:trHeight w:val="281"/>
        </w:trPr>
        <w:tc>
          <w:tcPr>
            <w:tcW w:w="2560" w:type="dxa"/>
            <w:vAlign w:val="bottom"/>
          </w:tcPr>
          <w:p>
            <w:pPr>
              <w:spacing w:after="0"/>
              <w:rPr>
                <w:sz w:val="20"/>
                <w:szCs w:val="20"/>
                <w:color w:val="auto"/>
              </w:rPr>
            </w:pPr>
            <w:r>
              <w:rPr>
                <w:rFonts w:ascii="Arial" w:cs="Arial" w:eastAsia="Arial" w:hAnsi="Arial"/>
                <w:sz w:val="22"/>
                <w:szCs w:val="22"/>
                <w:b w:val="1"/>
                <w:bCs w:val="1"/>
                <w:color w:val="auto"/>
              </w:rPr>
              <w:t>Agreements</w:t>
            </w:r>
            <w:r>
              <w:rPr>
                <w:rFonts w:ascii="Arial" w:cs="Arial" w:eastAsia="Arial" w:hAnsi="Arial"/>
                <w:sz w:val="22"/>
                <w:szCs w:val="22"/>
                <w:color w:val="auto"/>
              </w:rPr>
              <w:t>”</w:t>
            </w:r>
          </w:p>
        </w:tc>
        <w:tc>
          <w:tcPr>
            <w:tcW w:w="6820" w:type="dxa"/>
            <w:vAlign w:val="bottom"/>
          </w:tcPr>
          <w:p>
            <w:pPr>
              <w:spacing w:after="0"/>
              <w:rPr>
                <w:sz w:val="24"/>
                <w:szCs w:val="24"/>
                <w:color w:val="auto"/>
              </w:rPr>
            </w:pPr>
          </w:p>
        </w:tc>
      </w:tr>
      <w:tr>
        <w:trPr>
          <w:trHeight w:val="405"/>
        </w:trPr>
        <w:tc>
          <w:tcPr>
            <w:tcW w:w="2560" w:type="dxa"/>
            <w:vAlign w:val="bottom"/>
          </w:tcPr>
          <w:p>
            <w:pPr>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Purchasing Agreements</w:t>
            </w:r>
            <w:r>
              <w:rPr>
                <w:rFonts w:ascii="Arial" w:cs="Arial" w:eastAsia="Arial" w:hAnsi="Arial"/>
                <w:sz w:val="22"/>
                <w:szCs w:val="22"/>
                <w:color w:val="auto"/>
                <w:w w:val="94"/>
              </w:rPr>
              <w:t>”</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4.2.</w:t>
            </w:r>
          </w:p>
        </w:tc>
      </w:tr>
      <w:tr>
        <w:trPr>
          <w:trHeight w:val="351"/>
        </w:trPr>
        <w:tc>
          <w:tcPr>
            <w:tcW w:w="2560" w:type="dxa"/>
            <w:vAlign w:val="bottom"/>
          </w:tcPr>
          <w:p>
            <w:pPr>
              <w:spacing w:after="0"/>
              <w:rPr>
                <w:sz w:val="20"/>
                <w:szCs w:val="20"/>
                <w:color w:val="auto"/>
              </w:rPr>
            </w:pPr>
            <w:r>
              <w:rPr>
                <w:rFonts w:ascii="Arial" w:cs="Arial" w:eastAsia="Arial" w:hAnsi="Arial"/>
                <w:sz w:val="22"/>
                <w:szCs w:val="22"/>
                <w:b w:val="1"/>
                <w:bCs w:val="1"/>
                <w:color w:val="auto"/>
              </w:rPr>
              <w:t>“Purchasing JV”</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4.4.</w:t>
            </w: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color w:val="auto"/>
                <w:w w:val="97"/>
              </w:rPr>
              <w:t>“Regulatory Clearances”</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7.1(a).</w:t>
            </w: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color w:val="auto"/>
              </w:rPr>
              <w:t>“Rights Issue”</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2.1.</w:t>
            </w:r>
          </w:p>
        </w:tc>
      </w:tr>
      <w:tr>
        <w:trPr>
          <w:trHeight w:val="260"/>
        </w:trPr>
        <w:tc>
          <w:tcPr>
            <w:tcW w:w="2560" w:type="dxa"/>
            <w:vAlign w:val="bottom"/>
          </w:tcPr>
          <w:p>
            <w:pPr>
              <w:spacing w:after="0"/>
              <w:rPr>
                <w:sz w:val="20"/>
                <w:szCs w:val="20"/>
                <w:color w:val="auto"/>
              </w:rPr>
            </w:pPr>
            <w:r>
              <w:rPr>
                <w:rFonts w:ascii="Arial" w:cs="Arial" w:eastAsia="Arial" w:hAnsi="Arial"/>
                <w:sz w:val="22"/>
                <w:szCs w:val="22"/>
                <w:b w:val="1"/>
                <w:bCs w:val="1"/>
                <w:color w:val="auto"/>
              </w:rPr>
              <w:t>“Rights Purchase</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2.1.</w:t>
            </w:r>
          </w:p>
        </w:tc>
      </w:tr>
      <w:tr>
        <w:trPr>
          <w:trHeight w:val="281"/>
        </w:trPr>
        <w:tc>
          <w:tcPr>
            <w:tcW w:w="2560" w:type="dxa"/>
            <w:vAlign w:val="bottom"/>
          </w:tcPr>
          <w:p>
            <w:pPr>
              <w:spacing w:after="0"/>
              <w:rPr>
                <w:sz w:val="20"/>
                <w:szCs w:val="20"/>
                <w:color w:val="auto"/>
              </w:rPr>
            </w:pPr>
            <w:r>
              <w:rPr>
                <w:rFonts w:ascii="Arial" w:cs="Arial" w:eastAsia="Arial" w:hAnsi="Arial"/>
                <w:sz w:val="22"/>
                <w:szCs w:val="22"/>
                <w:b w:val="1"/>
                <w:bCs w:val="1"/>
                <w:color w:val="auto"/>
              </w:rPr>
              <w:t>Agreement”</w:t>
            </w:r>
          </w:p>
        </w:tc>
        <w:tc>
          <w:tcPr>
            <w:tcW w:w="6820" w:type="dxa"/>
            <w:vAlign w:val="bottom"/>
          </w:tcPr>
          <w:p>
            <w:pPr>
              <w:spacing w:after="0"/>
              <w:rPr>
                <w:sz w:val="24"/>
                <w:szCs w:val="24"/>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color w:val="auto"/>
              </w:rPr>
              <w:t>“Senior Employee”</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14.8.1.</w:t>
            </w:r>
          </w:p>
        </w:tc>
      </w:tr>
      <w:tr>
        <w:trPr>
          <w:trHeight w:val="260"/>
        </w:trPr>
        <w:tc>
          <w:tcPr>
            <w:tcW w:w="2560" w:type="dxa"/>
            <w:vAlign w:val="bottom"/>
          </w:tcPr>
          <w:p>
            <w:pPr>
              <w:spacing w:after="0"/>
              <w:rPr>
                <w:sz w:val="20"/>
                <w:szCs w:val="20"/>
                <w:color w:val="auto"/>
              </w:rPr>
            </w:pPr>
            <w:r>
              <w:rPr>
                <w:rFonts w:ascii="Arial" w:cs="Arial" w:eastAsia="Arial" w:hAnsi="Arial"/>
                <w:sz w:val="22"/>
                <w:szCs w:val="22"/>
                <w:b w:val="1"/>
                <w:bCs w:val="1"/>
                <w:color w:val="auto"/>
              </w:rPr>
              <w:t>“Share Purchase</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2.1.</w:t>
            </w:r>
          </w:p>
        </w:tc>
      </w:tr>
      <w:tr>
        <w:trPr>
          <w:trHeight w:val="281"/>
        </w:trPr>
        <w:tc>
          <w:tcPr>
            <w:tcW w:w="2560" w:type="dxa"/>
            <w:vAlign w:val="bottom"/>
          </w:tcPr>
          <w:p>
            <w:pPr>
              <w:spacing w:after="0"/>
              <w:rPr>
                <w:sz w:val="20"/>
                <w:szCs w:val="20"/>
                <w:color w:val="auto"/>
              </w:rPr>
            </w:pPr>
            <w:r>
              <w:rPr>
                <w:rFonts w:ascii="Arial" w:cs="Arial" w:eastAsia="Arial" w:hAnsi="Arial"/>
                <w:sz w:val="22"/>
                <w:szCs w:val="22"/>
                <w:b w:val="1"/>
                <w:bCs w:val="1"/>
                <w:color w:val="auto"/>
              </w:rPr>
              <w:t>Agreement”</w:t>
            </w:r>
          </w:p>
        </w:tc>
        <w:tc>
          <w:tcPr>
            <w:tcW w:w="6820" w:type="dxa"/>
            <w:vAlign w:val="bottom"/>
          </w:tcPr>
          <w:p>
            <w:pPr>
              <w:spacing w:after="0"/>
              <w:rPr>
                <w:sz w:val="24"/>
                <w:szCs w:val="24"/>
                <w:color w:val="auto"/>
              </w:rPr>
            </w:pPr>
          </w:p>
        </w:tc>
      </w:tr>
      <w:tr>
        <w:trPr>
          <w:trHeight w:val="266"/>
        </w:trPr>
        <w:tc>
          <w:tcPr>
            <w:tcW w:w="2560" w:type="dxa"/>
            <w:vAlign w:val="bottom"/>
          </w:tcPr>
          <w:p>
            <w:pPr>
              <w:spacing w:after="0"/>
              <w:rPr>
                <w:sz w:val="20"/>
                <w:szCs w:val="20"/>
                <w:color w:val="auto"/>
              </w:rPr>
            </w:pPr>
            <w:r>
              <w:rPr>
                <w:rFonts w:ascii="Arial" w:cs="Arial" w:eastAsia="Arial" w:hAnsi="Arial"/>
                <w:sz w:val="22"/>
                <w:szCs w:val="22"/>
                <w:b w:val="1"/>
                <w:bCs w:val="1"/>
                <w:color w:val="auto"/>
              </w:rPr>
              <w:t>“Shares”</w:t>
            </w:r>
          </w:p>
        </w:tc>
        <w:tc>
          <w:tcPr>
            <w:tcW w:w="6820" w:type="dxa"/>
            <w:vAlign w:val="bottom"/>
          </w:tcPr>
          <w:p>
            <w:pPr>
              <w:ind w:left="180"/>
              <w:spacing w:after="0"/>
              <w:rPr>
                <w:sz w:val="20"/>
                <w:szCs w:val="20"/>
                <w:color w:val="auto"/>
              </w:rPr>
            </w:pPr>
            <w:r>
              <w:rPr>
                <w:rFonts w:ascii="Arial" w:cs="Arial" w:eastAsia="Arial" w:hAnsi="Arial"/>
                <w:sz w:val="22"/>
                <w:szCs w:val="22"/>
                <w:color w:val="auto"/>
                <w:w w:val="97"/>
              </w:rPr>
              <w:t>means all of the shares of PSA subscribed by GMH (or an Authorized</w:t>
            </w:r>
          </w:p>
        </w:tc>
      </w:tr>
      <w:tr>
        <w:trPr>
          <w:trHeight w:val="243"/>
        </w:trPr>
        <w:tc>
          <w:tcPr>
            <w:tcW w:w="2560" w:type="dxa"/>
            <w:vAlign w:val="bottom"/>
          </w:tcPr>
          <w:p>
            <w:pPr>
              <w:spacing w:after="0"/>
              <w:rPr>
                <w:sz w:val="21"/>
                <w:szCs w:val="21"/>
                <w:color w:val="auto"/>
              </w:rPr>
            </w:pPr>
          </w:p>
        </w:tc>
        <w:tc>
          <w:tcPr>
            <w:tcW w:w="6820" w:type="dxa"/>
            <w:vAlign w:val="bottom"/>
          </w:tcPr>
          <w:p>
            <w:pPr>
              <w:ind w:left="180"/>
              <w:spacing w:after="0" w:line="243" w:lineRule="exact"/>
              <w:rPr>
                <w:sz w:val="20"/>
                <w:szCs w:val="20"/>
                <w:color w:val="auto"/>
              </w:rPr>
            </w:pPr>
            <w:r>
              <w:rPr>
                <w:rFonts w:ascii="Arial" w:cs="Arial" w:eastAsia="Arial" w:hAnsi="Arial"/>
                <w:sz w:val="22"/>
                <w:szCs w:val="22"/>
                <w:color w:val="auto"/>
                <w:w w:val="99"/>
              </w:rPr>
              <w:t>Affiliate of GMH) pursuant to the Rights Issue together with all of the</w:t>
            </w:r>
          </w:p>
        </w:tc>
      </w:tr>
      <w:tr>
        <w:trPr>
          <w:trHeight w:val="243"/>
        </w:trPr>
        <w:tc>
          <w:tcPr>
            <w:tcW w:w="2560" w:type="dxa"/>
            <w:vAlign w:val="bottom"/>
          </w:tcPr>
          <w:p>
            <w:pPr>
              <w:spacing w:after="0"/>
              <w:rPr>
                <w:sz w:val="21"/>
                <w:szCs w:val="21"/>
                <w:color w:val="auto"/>
              </w:rPr>
            </w:pPr>
          </w:p>
        </w:tc>
        <w:tc>
          <w:tcPr>
            <w:tcW w:w="6820" w:type="dxa"/>
            <w:vAlign w:val="bottom"/>
          </w:tcPr>
          <w:p>
            <w:pPr>
              <w:ind w:left="180"/>
              <w:spacing w:after="0" w:line="243" w:lineRule="exact"/>
              <w:rPr>
                <w:sz w:val="20"/>
                <w:szCs w:val="20"/>
                <w:color w:val="auto"/>
              </w:rPr>
            </w:pPr>
            <w:r>
              <w:rPr>
                <w:rFonts w:ascii="Arial" w:cs="Arial" w:eastAsia="Arial" w:hAnsi="Arial"/>
                <w:sz w:val="22"/>
                <w:szCs w:val="22"/>
                <w:color w:val="auto"/>
                <w:w w:val="94"/>
              </w:rPr>
              <w:t>shares acquired by GMH (or an Authorized Affiliate of GMH) pursuant to</w:t>
            </w:r>
          </w:p>
        </w:tc>
      </w:tr>
      <w:tr>
        <w:trPr>
          <w:trHeight w:val="275"/>
        </w:trPr>
        <w:tc>
          <w:tcPr>
            <w:tcW w:w="2560" w:type="dxa"/>
            <w:vAlign w:val="bottom"/>
          </w:tcPr>
          <w:p>
            <w:pPr>
              <w:spacing w:after="0"/>
              <w:rPr>
                <w:sz w:val="23"/>
                <w:szCs w:val="23"/>
                <w:color w:val="auto"/>
              </w:rPr>
            </w:pPr>
          </w:p>
        </w:tc>
        <w:tc>
          <w:tcPr>
            <w:tcW w:w="6820" w:type="dxa"/>
            <w:vAlign w:val="bottom"/>
          </w:tcPr>
          <w:p>
            <w:pPr>
              <w:ind w:left="180"/>
              <w:spacing w:after="0"/>
              <w:rPr>
                <w:sz w:val="20"/>
                <w:szCs w:val="20"/>
                <w:color w:val="auto"/>
              </w:rPr>
            </w:pPr>
            <w:r>
              <w:rPr>
                <w:rFonts w:ascii="Arial" w:cs="Arial" w:eastAsia="Arial" w:hAnsi="Arial"/>
                <w:sz w:val="22"/>
                <w:szCs w:val="22"/>
                <w:color w:val="auto"/>
              </w:rPr>
              <w:t>the Share Purchase Agreement.</w:t>
            </w: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color w:val="auto"/>
              </w:rPr>
              <w:t>“SC Executive”</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6.2.2(a).</w:t>
            </w: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color w:val="auto"/>
              </w:rPr>
              <w:t>“SC Members”</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6.2.2(a).</w:t>
            </w: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color w:val="auto"/>
              </w:rPr>
              <w:t>“Soliciting Party”</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14.8.1.</w:t>
            </w: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color w:val="auto"/>
              </w:rPr>
              <w:t>“Steering Committee”</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6.2.1.</w:t>
            </w:r>
          </w:p>
        </w:tc>
      </w:tr>
      <w:tr>
        <w:trPr>
          <w:trHeight w:val="351"/>
        </w:trPr>
        <w:tc>
          <w:tcPr>
            <w:tcW w:w="25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Supply Agreements</w:t>
            </w:r>
            <w:r>
              <w:rPr>
                <w:rFonts w:ascii="Arial" w:cs="Arial" w:eastAsia="Arial" w:hAnsi="Arial"/>
                <w:sz w:val="22"/>
                <w:szCs w:val="22"/>
                <w:color w:val="auto"/>
              </w:rPr>
              <w:t>”</w:t>
            </w:r>
          </w:p>
        </w:tc>
        <w:tc>
          <w:tcPr>
            <w:tcW w:w="6820" w:type="dxa"/>
            <w:vAlign w:val="bottom"/>
          </w:tcPr>
          <w:p>
            <w:pPr>
              <w:ind w:left="180"/>
              <w:spacing w:after="0"/>
              <w:rPr>
                <w:sz w:val="20"/>
                <w:szCs w:val="20"/>
                <w:color w:val="auto"/>
              </w:rPr>
            </w:pPr>
            <w:r>
              <w:rPr>
                <w:rFonts w:ascii="Arial" w:cs="Arial" w:eastAsia="Arial" w:hAnsi="Arial"/>
                <w:sz w:val="22"/>
                <w:szCs w:val="22"/>
                <w:color w:val="auto"/>
              </w:rPr>
              <w:t>has the meaning ascribed to it in Section 3.2(ii).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380"/>
          </w:cols>
          <w:pgMar w:left="1260" w:top="513" w:right="125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2"/>
          <w:szCs w:val="22"/>
          <w:b w:val="1"/>
          <w:bCs w:val="1"/>
          <w:color w:val="auto"/>
        </w:rPr>
        <w:t>EXHIBIT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AGREEMENTS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Development Agreements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266700</wp:posOffset>
            </wp:positionV>
            <wp:extent cx="65519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1930" cy="17145"/>
                    </a:xfrm>
                    <a:prstGeom prst="rect">
                      <a:avLst/>
                    </a:prstGeom>
                    <a:noFill/>
                  </pic:spPr>
                </pic:pic>
              </a:graphicData>
            </a:graphic>
          </wp:anchor>
        </w:drawing>
      </w:r>
    </w:p>
    <w:p>
      <w:pPr>
        <w:sectPr>
          <w:pgSz w:w="11900" w:h="16838" w:orient="portrait"/>
          <w:cols w:equalWidth="0" w:num="1">
            <w:col w:w="10260"/>
          </w:cols>
          <w:pgMar w:left="820" w:top="36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GMH and PSA and their Affiliates</w:t>
      </w:r>
    </w:p>
    <w:p>
      <w:pPr>
        <w:spacing w:after="0" w:line="79" w:lineRule="exact"/>
        <w:rPr>
          <w:sz w:val="20"/>
          <w:szCs w:val="20"/>
          <w:color w:val="auto"/>
        </w:rPr>
      </w:pPr>
    </w:p>
    <w:p>
      <w:pPr>
        <w:sectPr>
          <w:pgSz w:w="11900" w:h="16838" w:orient="portrait"/>
          <w:cols w:equalWidth="0" w:num="2">
            <w:col w:w="2280" w:space="720"/>
            <w:col w:w="7260"/>
          </w:cols>
          <w:pgMar w:left="820" w:top="369" w:right="8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Definitions</w:t>
      </w:r>
    </w:p>
    <w:p>
      <w:pPr>
        <w:spacing w:after="0" w:line="20" w:lineRule="exact"/>
        <w:rPr>
          <w:sz w:val="20"/>
          <w:szCs w:val="20"/>
          <w:color w:val="auto"/>
        </w:rPr>
      </w:pPr>
      <w:r>
        <w:rPr>
          <w:sz w:val="20"/>
          <w:szCs w:val="20"/>
          <w:color w:val="auto"/>
        </w:rPr>
        <w:br w:type="column"/>
      </w:r>
    </w:p>
    <w:p>
      <w:pPr>
        <w:jc w:val="both"/>
        <w:spacing w:after="0" w:line="274" w:lineRule="auto"/>
        <w:rPr>
          <w:sz w:val="20"/>
          <w:szCs w:val="20"/>
          <w:color w:val="auto"/>
        </w:rPr>
      </w:pPr>
      <w:r>
        <w:rPr>
          <w:rFonts w:ascii="Arial" w:cs="Arial" w:eastAsia="Arial" w:hAnsi="Arial"/>
          <w:sz w:val="19"/>
          <w:szCs w:val="19"/>
          <w:color w:val="auto"/>
        </w:rPr>
        <w:t>Affiliates for the purpose of the Development Agreements: means any entity in which any of the Party holds at least 50% of the share capital or voting rights and will also include if requested by GMH the following companies: Shanghai General Motors, SGMW, in each case for so long as GMH maintains an ownership stake in such companies of no less than 40%. The parties will discuss and agree on provisions to include in the final agreement regarding the transfer of IP to Affiliates that are owned 50% or less by either party.</w:t>
      </w:r>
    </w:p>
    <w:p>
      <w:pPr>
        <w:spacing w:after="0" w:line="4" w:lineRule="exact"/>
        <w:rPr>
          <w:sz w:val="20"/>
          <w:szCs w:val="20"/>
          <w:color w:val="auto"/>
        </w:rPr>
      </w:pPr>
    </w:p>
    <w:p>
      <w:pPr>
        <w:sectPr>
          <w:pgSz w:w="11900" w:h="16838" w:orient="portrait"/>
          <w:cols w:equalWidth="0" w:num="2">
            <w:col w:w="2280" w:space="720"/>
            <w:col w:w="7260"/>
          </w:cols>
          <w:pgMar w:left="820" w:top="369" w:right="8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Scope</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22"/>
          <w:szCs w:val="22"/>
          <w:color w:val="auto"/>
        </w:rPr>
        <w:t>The Parties will set out in the Development Agreements the initial scope of the Alliance. The Parties will regularly review possible new joint programs to be selected as part of the scope of the Alliance.</w:t>
      </w:r>
    </w:p>
    <w:p>
      <w:pPr>
        <w:spacing w:after="0" w:line="18" w:lineRule="exact"/>
        <w:rPr>
          <w:sz w:val="20"/>
          <w:szCs w:val="20"/>
          <w:color w:val="auto"/>
        </w:rPr>
      </w:pPr>
    </w:p>
    <w:p>
      <w:pPr>
        <w:sectPr>
          <w:pgSz w:w="11900" w:h="16838" w:orient="portrait"/>
          <w:cols w:equalWidth="0" w:num="2">
            <w:col w:w="2280" w:space="720"/>
            <w:col w:w="7260"/>
          </w:cols>
          <w:pgMar w:left="820" w:top="369" w:right="8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Governance</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9"/>
          <w:szCs w:val="19"/>
          <w:color w:val="auto"/>
        </w:rPr>
        <w:t>The Steering Committee shall establish a Program and Innovation Operational Committee comprising an equal number of representatives of both Parties. The Program and Innovation Operational Committee shall (i) establish a Joint Product and Innovation Master Plan and submit it to the Steering Committee for approval, (ii) define and monitor platform, program and powertrain strategy, including overall key targets on economical objectives, quality, Co2, weight, Total Cost of Ownership and module road map, (iii) decide launch of new joint programs with their specifications, economical, quality, Co2, weight, Total Cost of Ownership and performance objectives, (iv) propose to the Steering Committee expansion of the Alliance to new segments or new lines of business, as well as joint innovation activities, (v) review key milestones of programs; and (vi) develop program budgets and submit them to the Steering Committee for approval. The Program and Innovation Operational Committee shall implement such Joint Product and Innovation Master Plan as approved by the Steering Committee. The Program and Innovation Operational Committee shall take its decisions by unanimous vote. Disagreements shall be escalated to the Steering Committee.</w:t>
      </w:r>
    </w:p>
    <w:p>
      <w:pPr>
        <w:spacing w:after="0" w:line="200" w:lineRule="exact"/>
        <w:rPr>
          <w:sz w:val="20"/>
          <w:szCs w:val="20"/>
          <w:color w:val="auto"/>
        </w:rPr>
      </w:pPr>
    </w:p>
    <w:p>
      <w:pPr>
        <w:sectPr>
          <w:pgSz w:w="11900" w:h="16838" w:orient="portrait"/>
          <w:cols w:equalWidth="0" w:num="2">
            <w:col w:w="2280" w:space="720"/>
            <w:col w:w="7260"/>
          </w:cols>
          <w:pgMar w:left="820" w:top="369" w:right="81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60"/>
          </w:cols>
          <w:pgMar w:left="820" w:top="369" w:right="819" w:bottom="1440" w:gutter="0" w:footer="0" w:header="0"/>
          <w:type w:val="continuous"/>
        </w:sectPr>
      </w:pPr>
    </w:p>
    <w:bookmarkStart w:id="188" w:name="page189"/>
    <w:bookmarkEnd w:id="188"/>
    <w:p>
      <w:pPr>
        <w:ind w:left="3000"/>
        <w:spacing w:after="0"/>
        <w:tabs>
          <w:tab w:leader="none" w:pos="3480" w:val="left"/>
          <w:tab w:leader="none" w:pos="4400" w:val="left"/>
          <w:tab w:leader="none" w:pos="4880" w:val="left"/>
          <w:tab w:leader="none" w:pos="6000" w:val="left"/>
          <w:tab w:leader="none" w:pos="7180" w:val="left"/>
          <w:tab w:leader="none" w:pos="8320" w:val="left"/>
          <w:tab w:leader="none" w:pos="8900" w:val="left"/>
          <w:tab w:leader="none" w:pos="9820" w:val="left"/>
        </w:tabs>
        <w:rPr>
          <w:sz w:val="20"/>
          <w:szCs w:val="20"/>
          <w:color w:val="auto"/>
        </w:rPr>
      </w:pPr>
      <w:r>
        <w:rPr>
          <w:rFonts w:ascii="Arial" w:cs="Arial" w:eastAsia="Arial" w:hAnsi="Arial"/>
          <w:sz w:val="22"/>
          <w:szCs w:val="22"/>
          <w:color w:val="auto"/>
        </w:rPr>
        <w:t>The</w:t>
        <w:tab/>
        <w:t>Program</w:t>
        <w:tab/>
        <w:t>and</w:t>
        <w:tab/>
        <w:t>Innovation</w:t>
        <w:tab/>
        <w:t>Operational</w:t>
        <w:tab/>
        <w:t>Committee</w:t>
        <w:tab/>
        <w:t>shall</w:t>
        <w:tab/>
        <w:t>establish</w:t>
      </w:r>
      <w:r>
        <w:rPr>
          <w:sz w:val="20"/>
          <w:szCs w:val="20"/>
          <w:color w:val="auto"/>
        </w:rPr>
        <w:tab/>
      </w:r>
      <w:r>
        <w:rPr>
          <w:rFonts w:ascii="Arial" w:cs="Arial" w:eastAsia="Arial" w:hAnsi="Arial"/>
          <w:sz w:val="19"/>
          <w:szCs w:val="19"/>
          <w:color w:val="auto"/>
        </w:rPr>
        <w:t>Joint</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Operational  Coordination  Sub-committees  consisting  of  an  equal  number  of</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representatives of both Parties for all relevant topics (e.g. Innovation, Powertrain,</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Module, R&amp;D Process, Quality, Manufacturing, Finance, Service and Spare Parts).</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The  Program  and  Innovation  Operational  Committee  shall  establish  Project</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Management Sub-committees. A Project may consist of a platform, vehicle,</w:t>
      </w:r>
    </w:p>
    <w:p>
      <w:pPr>
        <w:ind w:left="3000"/>
        <w:spacing w:after="0" w:line="232" w:lineRule="auto"/>
        <w:rPr>
          <w:sz w:val="20"/>
          <w:szCs w:val="20"/>
          <w:color w:val="auto"/>
        </w:rPr>
      </w:pPr>
      <w:r>
        <w:rPr>
          <w:rFonts w:ascii="Arial" w:cs="Arial" w:eastAsia="Arial" w:hAnsi="Arial"/>
          <w:sz w:val="22"/>
          <w:szCs w:val="22"/>
          <w:color w:val="auto"/>
        </w:rPr>
        <w:t>powertrain or module, etc.</w:t>
      </w:r>
    </w:p>
    <w:p>
      <w:pPr>
        <w:ind w:left="3000"/>
        <w:spacing w:after="0"/>
        <w:rPr>
          <w:sz w:val="20"/>
          <w:szCs w:val="20"/>
          <w:color w:val="auto"/>
        </w:rPr>
      </w:pPr>
      <w:r>
        <w:rPr>
          <w:rFonts w:ascii="Arial" w:cs="Arial" w:eastAsia="Arial" w:hAnsi="Arial"/>
          <w:sz w:val="19"/>
          <w:szCs w:val="19"/>
          <w:color w:val="auto"/>
        </w:rPr>
        <w:t>Depending on the Parties’ input into the program and available capabilities and</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resources, the Program and Innovation Operational Committee will recommend for</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approval  by  the  Steering  Committee  which  Party  will  lead  each  Project</w:t>
      </w:r>
    </w:p>
    <w:p>
      <w:pPr>
        <w:ind w:left="3000"/>
        <w:spacing w:after="0"/>
        <w:tabs>
          <w:tab w:leader="none" w:pos="4280" w:val="left"/>
          <w:tab w:leader="none" w:pos="5780" w:val="left"/>
          <w:tab w:leader="none" w:pos="6780" w:val="left"/>
          <w:tab w:leader="none" w:pos="7280" w:val="left"/>
          <w:tab w:leader="none" w:pos="7720" w:val="left"/>
          <w:tab w:leader="none" w:pos="8480" w:val="left"/>
          <w:tab w:leader="none" w:pos="9180" w:val="left"/>
          <w:tab w:leader="none" w:pos="9760" w:val="left"/>
          <w:tab w:leader="none" w:pos="10140" w:val="left"/>
        </w:tabs>
        <w:rPr>
          <w:sz w:val="20"/>
          <w:szCs w:val="20"/>
          <w:color w:val="auto"/>
        </w:rPr>
      </w:pPr>
      <w:r>
        <w:rPr>
          <w:rFonts w:ascii="Arial" w:cs="Arial" w:eastAsia="Arial" w:hAnsi="Arial"/>
          <w:sz w:val="22"/>
          <w:szCs w:val="22"/>
          <w:color w:val="auto"/>
        </w:rPr>
        <w:t>Management</w:t>
        <w:tab/>
        <w:t>Sub-committee</w:t>
        <w:tab/>
        <w:t>(provided</w:t>
        <w:tab/>
        <w:t>that</w:t>
        <w:tab/>
        <w:t>the</w:t>
        <w:tab/>
        <w:t>deputy</w:t>
        <w:tab/>
        <w:t>leader</w:t>
        <w:tab/>
        <w:t>shall</w:t>
        <w:tab/>
        <w:t>be</w:t>
      </w:r>
      <w:r>
        <w:rPr>
          <w:sz w:val="20"/>
          <w:szCs w:val="20"/>
          <w:color w:val="auto"/>
        </w:rPr>
        <w:tab/>
      </w:r>
      <w:r>
        <w:rPr>
          <w:rFonts w:ascii="Arial" w:cs="Arial" w:eastAsia="Arial" w:hAnsi="Arial"/>
          <w:sz w:val="17"/>
          <w:szCs w:val="17"/>
          <w:color w:val="auto"/>
        </w:rPr>
        <w:t>a</w:t>
      </w:r>
    </w:p>
    <w:p>
      <w:pPr>
        <w:ind w:left="3000"/>
        <w:spacing w:after="0" w:line="230" w:lineRule="auto"/>
        <w:rPr>
          <w:sz w:val="20"/>
          <w:szCs w:val="20"/>
          <w:color w:val="auto"/>
        </w:rPr>
      </w:pPr>
      <w:r>
        <w:rPr>
          <w:rFonts w:ascii="Arial" w:cs="Arial" w:eastAsia="Arial" w:hAnsi="Arial"/>
          <w:sz w:val="22"/>
          <w:szCs w:val="22"/>
          <w:color w:val="auto"/>
        </w:rPr>
        <w:t>representative of the other Party).</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Joint Operational Coordination Sub-committees and Project Management Sub-</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committees members shall use their reasonable efforts to reach a common position</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9"/>
          <w:szCs w:val="19"/>
          <w:color w:val="auto"/>
        </w:rPr>
        <w:t>on every matter. In case of disagreement, this disagreement shall be escalated to the</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Program and Innovation Operational Committee</w:t>
      </w:r>
    </w:p>
    <w:p>
      <w:pPr>
        <w:sectPr>
          <w:pgSz w:w="11900" w:h="16838" w:orient="portrait"/>
          <w:cols w:equalWidth="0" w:num="1">
            <w:col w:w="10260"/>
          </w:cols>
          <w:pgMar w:left="820" w:top="524" w:right="81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Cost Sharing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44" w:lineRule="exact"/>
        <w:rPr>
          <w:sz w:val="20"/>
          <w:szCs w:val="20"/>
          <w:color w:val="auto"/>
        </w:rPr>
      </w:pPr>
    </w:p>
    <w:p>
      <w:pPr>
        <w:sectPr>
          <w:pgSz w:w="11900" w:h="16838" w:orient="portrait"/>
          <w:cols w:equalWidth="0" w:num="2">
            <w:col w:w="2280" w:space="720"/>
            <w:col w:w="7260"/>
          </w:cols>
          <w:pgMar w:left="820" w:top="524" w:right="8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Supply Agreements</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9"/>
          <w:szCs w:val="19"/>
          <w:color w:val="auto"/>
        </w:rPr>
        <w:t>The Parties will ensure that the Supply Agreements will provide for a balanced benefit for both Parties in the allocation of the manufacturing of production volumes on each side (which the Steering Committee shall regularly review).</w:t>
      </w:r>
    </w:p>
    <w:p>
      <w:pPr>
        <w:spacing w:after="0" w:line="2" w:lineRule="exact"/>
        <w:rPr>
          <w:sz w:val="20"/>
          <w:szCs w:val="20"/>
          <w:color w:val="auto"/>
        </w:rPr>
      </w:pPr>
    </w:p>
    <w:p>
      <w:pPr>
        <w:sectPr>
          <w:pgSz w:w="11900" w:h="16838" w:orient="portrait"/>
          <w:cols w:equalWidth="0" w:num="2">
            <w:col w:w="2280" w:space="720"/>
            <w:col w:w="7260"/>
          </w:cols>
          <w:pgMar w:left="820" w:top="524" w:right="81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38" w:lineRule="exact"/>
        <w:rPr>
          <w:sz w:val="20"/>
          <w:szCs w:val="20"/>
          <w:color w:val="auto"/>
        </w:rPr>
      </w:pPr>
    </w:p>
    <w:p>
      <w:pPr>
        <w:sectPr>
          <w:pgSz w:w="11900" w:h="16838" w:orient="portrait"/>
          <w:cols w:equalWidth="0" w:num="2">
            <w:col w:w="2280" w:space="720"/>
            <w:col w:w="7260"/>
          </w:cols>
          <w:pgMar w:left="820" w:top="524" w:right="8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Exclusivity</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The Parties may agree case-by-case on specific Products for which, during the period of cooperation for such Products, the Parties shall not develop such Product outside of the Alliance, whether on their own or with third Parties.</w:t>
      </w:r>
    </w:p>
    <w:p>
      <w:pPr>
        <w:spacing w:after="0" w:line="195" w:lineRule="exact"/>
        <w:rPr>
          <w:sz w:val="20"/>
          <w:szCs w:val="20"/>
          <w:color w:val="auto"/>
        </w:rPr>
      </w:pPr>
    </w:p>
    <w:p>
      <w:pPr>
        <w:sectPr>
          <w:pgSz w:w="11900" w:h="16838" w:orient="portrait"/>
          <w:cols w:equalWidth="0" w:num="2">
            <w:col w:w="2280" w:space="720"/>
            <w:col w:w="7260"/>
          </w:cols>
          <w:pgMar w:left="820" w:top="524" w:right="81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60"/>
          </w:cols>
          <w:pgMar w:left="820" w:top="524" w:right="819" w:bottom="1440" w:gutter="0" w:footer="0" w:header="0"/>
          <w:type w:val="continuous"/>
        </w:sectPr>
      </w:pPr>
    </w:p>
    <w:bookmarkStart w:id="189" w:name="page190"/>
    <w:bookmarkEnd w:id="189"/>
    <w:p>
      <w:pPr>
        <w:jc w:val="center"/>
        <w:ind w:right="-19"/>
        <w:spacing w:after="0"/>
        <w:rPr>
          <w:sz w:val="20"/>
          <w:szCs w:val="20"/>
          <w:color w:val="auto"/>
        </w:rPr>
      </w:pPr>
      <w:r>
        <w:rPr>
          <w:rFonts w:ascii="Arial" w:cs="Arial" w:eastAsia="Arial" w:hAnsi="Arial"/>
          <w:sz w:val="22"/>
          <w:szCs w:val="22"/>
          <w:b w:val="1"/>
          <w:bCs w:val="1"/>
          <w:color w:val="auto"/>
        </w:rPr>
        <w:t>EXHIBIT 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PURCHASING AGREEMENTS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relating to cooperation in purchasing and Purchasing joint venture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Purchasing Agreements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422910</wp:posOffset>
            </wp:positionV>
            <wp:extent cx="64744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74460" cy="17145"/>
                    </a:xfrm>
                    <a:prstGeom prst="rect">
                      <a:avLst/>
                    </a:prstGeom>
                    <a:noFill/>
                  </pic:spPr>
                </pic:pic>
              </a:graphicData>
            </a:graphic>
          </wp:anchor>
        </w:drawing>
      </w:r>
    </w:p>
    <w:p>
      <w:pPr>
        <w:sectPr>
          <w:pgSz w:w="11900" w:h="16838" w:orient="portrait"/>
          <w:cols w:equalWidth="0" w:num="1">
            <w:col w:w="10140"/>
          </w:cols>
          <w:pgMar w:left="880" w:top="36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Overall Objective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Vis-à-vis third parties, the purchasing departments of GMH and PSA agreed in the Purchasing Agreement will be viewed as a combined purchasing organization, fully leveraging the joint expertise, purchasing power and joint platforms and modules on a global basis.</w:t>
      </w:r>
    </w:p>
    <w:p>
      <w:pPr>
        <w:spacing w:after="0" w:line="17" w:lineRule="exact"/>
        <w:rPr>
          <w:sz w:val="20"/>
          <w:szCs w:val="20"/>
          <w:color w:val="auto"/>
        </w:rPr>
      </w:pPr>
    </w:p>
    <w:p>
      <w:pPr>
        <w:sectPr>
          <w:pgSz w:w="11900" w:h="16838" w:orient="portrait"/>
          <w:cols w:equalWidth="0" w:num="2">
            <w:col w:w="2340" w:space="720"/>
            <w:col w:w="7080"/>
          </w:cols>
          <w:pgMar w:left="880" w:top="369" w:right="8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Scope of Cooperation</w:t>
      </w:r>
    </w:p>
    <w:p>
      <w:pPr>
        <w:spacing w:after="0" w:line="20" w:lineRule="exact"/>
        <w:rPr>
          <w:sz w:val="20"/>
          <w:szCs w:val="20"/>
          <w:color w:val="auto"/>
        </w:rPr>
      </w:pPr>
      <w:r>
        <w:rPr>
          <w:sz w:val="20"/>
          <w:szCs w:val="20"/>
          <w:color w:val="auto"/>
        </w:rPr>
        <w:br w:type="column"/>
      </w:r>
    </w:p>
    <w:p>
      <w:pPr>
        <w:spacing w:after="0" w:line="326" w:lineRule="auto"/>
        <w:rPr>
          <w:sz w:val="20"/>
          <w:szCs w:val="20"/>
          <w:color w:val="auto"/>
        </w:rPr>
      </w:pPr>
      <w:r>
        <w:rPr>
          <w:rFonts w:ascii="Arial" w:cs="Arial" w:eastAsia="Arial" w:hAnsi="Arial"/>
          <w:sz w:val="19"/>
          <w:szCs w:val="19"/>
          <w:color w:val="auto"/>
        </w:rPr>
        <w:t xml:space="preserve">The scope of the cooperation is the joint, worldwide purchasing of commodities, components, goods and services including, </w:t>
      </w:r>
      <w:r>
        <w:rPr>
          <w:rFonts w:ascii="Arial" w:cs="Arial" w:eastAsia="Arial" w:hAnsi="Arial"/>
          <w:sz w:val="19"/>
          <w:szCs w:val="19"/>
          <w:i w:val="1"/>
          <w:iCs w:val="1"/>
          <w:color w:val="auto"/>
        </w:rPr>
        <w:t>inter alia</w:t>
      </w:r>
      <w:r>
        <w:rPr>
          <w:rFonts w:ascii="Arial" w:cs="Arial" w:eastAsia="Arial" w:hAnsi="Arial"/>
          <w:sz w:val="19"/>
          <w:szCs w:val="19"/>
          <w:color w:val="auto"/>
        </w:rPr>
        <w:t>, the following:</w:t>
      </w:r>
    </w:p>
    <w:p>
      <w:pPr>
        <w:spacing w:after="0" w:line="1" w:lineRule="exact"/>
        <w:rPr>
          <w:sz w:val="20"/>
          <w:szCs w:val="20"/>
          <w:color w:val="auto"/>
        </w:rPr>
      </w:pPr>
    </w:p>
    <w:p>
      <w:pPr>
        <w:sectPr>
          <w:pgSz w:w="11900" w:h="16838" w:orient="portrait"/>
          <w:cols w:equalWidth="0" w:num="2">
            <w:col w:w="2340" w:space="720"/>
            <w:col w:w="7080"/>
          </w:cols>
          <w:pgMar w:left="880" w:top="369" w:right="879" w:bottom="1440" w:gutter="0" w:footer="0" w:header="0"/>
          <w:type w:val="continuous"/>
        </w:sectPr>
      </w:pPr>
    </w:p>
    <w:p>
      <w:pPr>
        <w:ind w:left="3720"/>
        <w:spacing w:after="0"/>
        <w:rPr>
          <w:sz w:val="20"/>
          <w:szCs w:val="20"/>
          <w:color w:val="auto"/>
        </w:rPr>
      </w:pPr>
      <w:r>
        <w:rPr>
          <w:rFonts w:ascii="Arial" w:cs="Arial" w:eastAsia="Arial" w:hAnsi="Arial"/>
          <w:sz w:val="22"/>
          <w:szCs w:val="22"/>
          <w:color w:val="auto"/>
        </w:rPr>
        <w:t>Sourcing decisions;</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Negotiation on piece prices ;</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Purchasing terms and conditions;</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Tool negotiation, purchase and ownership;</w:t>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Overall general supplier quality;</w:t>
      </w:r>
    </w:p>
    <w:p>
      <w:pPr>
        <w:sectPr>
          <w:pgSz w:w="11900" w:h="16838" w:orient="portrait"/>
          <w:cols w:equalWidth="0" w:num="1">
            <w:col w:w="10140"/>
          </w:cols>
          <w:pgMar w:left="880" w:top="369" w:right="879" w:bottom="1440" w:gutter="0" w:footer="0" w:header="0"/>
          <w:type w:val="continuous"/>
        </w:sectPr>
      </w:pPr>
    </w:p>
    <w:p>
      <w:pPr>
        <w:spacing w:after="0" w:line="268"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Managing  suppliers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capacity,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monitoring</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capacity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shortage</w:t>
      </w:r>
    </w:p>
    <w:p>
      <w:pPr>
        <w:spacing w:after="0" w:line="57" w:lineRule="exact"/>
        <w:rPr>
          <w:sz w:val="20"/>
          <w:szCs w:val="20"/>
          <w:color w:val="auto"/>
        </w:rPr>
      </w:pPr>
    </w:p>
    <w:p>
      <w:pPr>
        <w:sectPr>
          <w:pgSz w:w="11900" w:h="16838" w:orient="portrait"/>
          <w:cols w:equalWidth="0" w:num="7">
            <w:col w:w="5540" w:space="140"/>
            <w:col w:w="760" w:space="160"/>
            <w:col w:w="320" w:space="160"/>
            <w:col w:w="960" w:space="160"/>
            <w:col w:w="180" w:space="160"/>
            <w:col w:w="720" w:space="160"/>
            <w:col w:w="720"/>
          </w:cols>
          <w:pgMar w:left="880" w:top="369" w:right="879" w:bottom="1440" w:gutter="0" w:footer="0" w:header="0"/>
          <w:type w:val="continuous"/>
        </w:sectPr>
      </w:pPr>
    </w:p>
    <w:p>
      <w:pPr>
        <w:ind w:left="3720"/>
        <w:spacing w:after="0"/>
        <w:rPr>
          <w:sz w:val="20"/>
          <w:szCs w:val="20"/>
          <w:color w:val="auto"/>
        </w:rPr>
      </w:pPr>
      <w:r>
        <w:rPr>
          <w:rFonts w:ascii="Arial" w:cs="Arial" w:eastAsia="Arial" w:hAnsi="Arial"/>
          <w:sz w:val="22"/>
          <w:szCs w:val="22"/>
          <w:color w:val="auto"/>
        </w:rPr>
        <w:t>situation; and</w:t>
      </w:r>
    </w:p>
    <w:p>
      <w:pPr>
        <w:spacing w:after="0" w:line="21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Overall relationship with the suppliers</w:t>
      </w:r>
    </w:p>
    <w:p>
      <w:pPr>
        <w:spacing w:after="0" w:line="233" w:lineRule="exact"/>
        <w:rPr>
          <w:sz w:val="20"/>
          <w:szCs w:val="20"/>
          <w:color w:val="auto"/>
        </w:rPr>
      </w:pPr>
    </w:p>
    <w:p>
      <w:pPr>
        <w:jc w:val="both"/>
        <w:ind w:left="3060"/>
        <w:spacing w:after="0" w:line="248" w:lineRule="auto"/>
        <w:rPr>
          <w:sz w:val="20"/>
          <w:szCs w:val="20"/>
          <w:color w:val="auto"/>
        </w:rPr>
      </w:pPr>
      <w:r>
        <w:rPr>
          <w:rFonts w:ascii="Arial" w:cs="Arial" w:eastAsia="Arial" w:hAnsi="Arial"/>
          <w:sz w:val="21"/>
          <w:szCs w:val="21"/>
          <w:color w:val="auto"/>
        </w:rPr>
        <w:t xml:space="preserve">Unless agreed otherwise, the scope shall exclude </w:t>
      </w:r>
      <w:r>
        <w:rPr>
          <w:rFonts w:ascii="Arial" w:cs="Arial" w:eastAsia="Arial" w:hAnsi="Arial"/>
          <w:sz w:val="21"/>
          <w:szCs w:val="21"/>
          <w:i w:val="1"/>
          <w:iCs w:val="1"/>
          <w:color w:val="auto"/>
        </w:rPr>
        <w:t>inter alia</w:t>
      </w:r>
      <w:r>
        <w:rPr>
          <w:rFonts w:ascii="Arial" w:cs="Arial" w:eastAsia="Arial" w:hAnsi="Arial"/>
          <w:sz w:val="21"/>
          <w:szCs w:val="21"/>
          <w:color w:val="auto"/>
        </w:rPr>
        <w:t xml:space="preserve"> commodities, components, other goods and services whose purchase (i) is not within the current scope of activity of the purchasing functions of either Party (e.g., furniture, legal advice, and others to be clarified between the Parties), or (ii) falls within the scope of existing exclusive agreements with third parties in relation to joint development or production of specific products.</w:t>
      </w:r>
    </w:p>
    <w:p>
      <w:pPr>
        <w:spacing w:after="0" w:line="69" w:lineRule="exact"/>
        <w:rPr>
          <w:sz w:val="20"/>
          <w:szCs w:val="20"/>
          <w:color w:val="auto"/>
        </w:rPr>
      </w:pPr>
    </w:p>
    <w:p>
      <w:pPr>
        <w:jc w:val="both"/>
        <w:ind w:left="3060"/>
        <w:spacing w:after="0" w:line="238" w:lineRule="auto"/>
        <w:rPr>
          <w:sz w:val="20"/>
          <w:szCs w:val="20"/>
          <w:color w:val="auto"/>
        </w:rPr>
      </w:pPr>
      <w:r>
        <w:rPr>
          <w:rFonts w:ascii="Arial" w:cs="Arial" w:eastAsia="Arial" w:hAnsi="Arial"/>
          <w:sz w:val="22"/>
          <w:szCs w:val="22"/>
          <w:color w:val="auto"/>
        </w:rPr>
        <w:t>The purchasing cooperation shall be exclusive, and for the duration of the Alliance, the Parties may not enter into purchasing agreements with third parties that overlap with the scope set out above, except as permitted in the Purchasing Agreement.</w:t>
      </w:r>
    </w:p>
    <w:p>
      <w:pPr>
        <w:spacing w:after="0" w:line="77" w:lineRule="exact"/>
        <w:rPr>
          <w:sz w:val="20"/>
          <w:szCs w:val="20"/>
          <w:color w:val="auto"/>
        </w:rPr>
      </w:pPr>
    </w:p>
    <w:p>
      <w:pPr>
        <w:ind w:left="3060"/>
        <w:spacing w:after="0" w:line="328" w:lineRule="auto"/>
        <w:rPr>
          <w:sz w:val="20"/>
          <w:szCs w:val="20"/>
          <w:color w:val="auto"/>
        </w:rPr>
      </w:pPr>
      <w:r>
        <w:rPr>
          <w:rFonts w:ascii="Arial" w:cs="Arial" w:eastAsia="Arial" w:hAnsi="Arial"/>
          <w:sz w:val="19"/>
          <w:szCs w:val="19"/>
          <w:color w:val="auto"/>
        </w:rPr>
        <w:t>Such cooperation will rely upon the purchasing teams of GMH and PSA, as well as on the joint venture company contemplated in Section 4 of the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40"/>
          </w:cols>
          <w:pgMar w:left="880" w:top="369" w:right="87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9"/>
          <w:szCs w:val="19"/>
          <w:b w:val="1"/>
          <w:bCs w:val="1"/>
          <w:color w:val="auto"/>
        </w:rPr>
        <w:t>Joint Purchasing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xml:space="preserve">The purchasing cooperation shall include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the following activities:</w:t>
      </w:r>
    </w:p>
    <w:p>
      <w:pPr>
        <w:spacing w:after="0" w:line="127" w:lineRule="exact"/>
        <w:rPr>
          <w:sz w:val="20"/>
          <w:szCs w:val="20"/>
          <w:color w:val="auto"/>
        </w:rPr>
      </w:pPr>
    </w:p>
    <w:p>
      <w:pPr>
        <w:sectPr>
          <w:pgSz w:w="11900" w:h="16838" w:orient="portrait"/>
          <w:cols w:equalWidth="0" w:num="2">
            <w:col w:w="2340" w:space="720"/>
            <w:col w:w="7080"/>
          </w:cols>
          <w:pgMar w:left="880" w:top="517" w:right="879" w:bottom="1440" w:gutter="0" w:footer="0" w:header="0"/>
        </w:sectPr>
      </w:pPr>
    </w:p>
    <w:p>
      <w:pPr>
        <w:jc w:val="both"/>
        <w:ind w:left="3720"/>
        <w:spacing w:after="0" w:line="243" w:lineRule="auto"/>
        <w:rPr>
          <w:sz w:val="20"/>
          <w:szCs w:val="20"/>
          <w:color w:val="auto"/>
        </w:rPr>
      </w:pPr>
      <w:r>
        <w:rPr>
          <w:rFonts w:ascii="Arial" w:cs="Arial" w:eastAsia="Arial" w:hAnsi="Arial"/>
          <w:sz w:val="22"/>
          <w:szCs w:val="22"/>
          <w:color w:val="auto"/>
        </w:rPr>
        <w:t>Establishing general purchasing terms and conditions (“</w:t>
      </w:r>
      <w:r>
        <w:rPr>
          <w:rFonts w:ascii="Arial" w:cs="Arial" w:eastAsia="Arial" w:hAnsi="Arial"/>
          <w:sz w:val="22"/>
          <w:szCs w:val="22"/>
          <w:b w:val="1"/>
          <w:bCs w:val="1"/>
          <w:color w:val="auto"/>
        </w:rPr>
        <w:t>Global</w:t>
      </w:r>
      <w:r>
        <w:rPr>
          <w:rFonts w:ascii="Arial" w:cs="Arial" w:eastAsia="Arial" w:hAnsi="Arial"/>
          <w:sz w:val="22"/>
          <w:szCs w:val="22"/>
          <w:color w:val="auto"/>
        </w:rPr>
        <w:t xml:space="preserve"> </w:t>
      </w:r>
      <w:r>
        <w:rPr>
          <w:rFonts w:ascii="Arial" w:cs="Arial" w:eastAsia="Arial" w:hAnsi="Arial"/>
          <w:sz w:val="22"/>
          <w:szCs w:val="22"/>
          <w:b w:val="1"/>
          <w:bCs w:val="1"/>
          <w:color w:val="auto"/>
        </w:rPr>
        <w:t>Purchasing Terms and Conditions</w:t>
      </w:r>
      <w:r>
        <w:rPr>
          <w:rFonts w:ascii="Arial" w:cs="Arial" w:eastAsia="Arial" w:hAnsi="Arial"/>
          <w:sz w:val="22"/>
          <w:szCs w:val="22"/>
          <w:color w:val="auto"/>
        </w:rPr>
        <w:t>”) to be approved by GMH and PSA</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agreed guidelines;</w:t>
      </w:r>
    </w:p>
    <w:p>
      <w:pPr>
        <w:spacing w:after="0" w:line="210"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Coordination as to sourcing;</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The issuing of “joint” RFP;</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The short-listing of RFP bidders;</w:t>
      </w:r>
    </w:p>
    <w:p>
      <w:pPr>
        <w:spacing w:after="0" w:line="233" w:lineRule="exact"/>
        <w:rPr>
          <w:sz w:val="20"/>
          <w:szCs w:val="20"/>
          <w:color w:val="auto"/>
        </w:rPr>
      </w:pPr>
    </w:p>
    <w:p>
      <w:pPr>
        <w:jc w:val="both"/>
        <w:ind w:left="3720"/>
        <w:spacing w:after="0"/>
        <w:rPr>
          <w:sz w:val="20"/>
          <w:szCs w:val="20"/>
          <w:color w:val="auto"/>
        </w:rPr>
      </w:pPr>
      <w:r>
        <w:rPr>
          <w:rFonts w:ascii="Arial" w:cs="Arial" w:eastAsia="Arial" w:hAnsi="Arial"/>
          <w:sz w:val="22"/>
          <w:szCs w:val="22"/>
          <w:color w:val="auto"/>
        </w:rPr>
        <w:t>The negotiation of terms with suppliers, it being understood that the issuance of orders will be made by the regional teams of GMH and PSA; and</w:t>
      </w:r>
    </w:p>
    <w:p>
      <w:pPr>
        <w:spacing w:after="0" w:line="213" w:lineRule="exact"/>
        <w:rPr>
          <w:sz w:val="20"/>
          <w:szCs w:val="20"/>
          <w:color w:val="auto"/>
        </w:rPr>
      </w:pPr>
    </w:p>
    <w:p>
      <w:pPr>
        <w:ind w:left="3720"/>
        <w:spacing w:after="0" w:line="251" w:lineRule="auto"/>
        <w:rPr>
          <w:sz w:val="20"/>
          <w:szCs w:val="20"/>
          <w:color w:val="auto"/>
        </w:rPr>
      </w:pPr>
      <w:r>
        <w:rPr>
          <w:rFonts w:ascii="Arial" w:cs="Arial" w:eastAsia="Arial" w:hAnsi="Arial"/>
          <w:sz w:val="22"/>
          <w:szCs w:val="22"/>
          <w:color w:val="auto"/>
        </w:rPr>
        <w:t>The managing of the overall relationship with suppliers (quality, capacity, etc.).</w:t>
      </w:r>
    </w:p>
    <w:p>
      <w:pPr>
        <w:sectPr>
          <w:pgSz w:w="11900" w:h="16838" w:orient="portrait"/>
          <w:cols w:equalWidth="0" w:num="1">
            <w:col w:w="10140"/>
          </w:cols>
          <w:pgMar w:left="880" w:top="517" w:right="879" w:bottom="1440" w:gutter="0" w:footer="0" w:header="0"/>
          <w:type w:val="continuous"/>
        </w:sectPr>
      </w:pPr>
    </w:p>
    <w:p>
      <w:pPr>
        <w:spacing w:after="0" w:line="302"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Joint Venture Resources and Teams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GMH and PSA will cooperate to adjust their internal organizations as necessary to ensure that the purchasing teams are organized in a fashion coherent with the Alliance.</w:t>
      </w:r>
    </w:p>
    <w:p>
      <w:pPr>
        <w:spacing w:after="0" w:line="78" w:lineRule="exact"/>
        <w:rPr>
          <w:sz w:val="20"/>
          <w:szCs w:val="20"/>
          <w:color w:val="auto"/>
        </w:rPr>
      </w:pPr>
    </w:p>
    <w:p>
      <w:pPr>
        <w:sectPr>
          <w:pgSz w:w="11900" w:h="16838" w:orient="portrait"/>
          <w:cols w:equalWidth="0" w:num="2">
            <w:col w:w="2640" w:space="420"/>
            <w:col w:w="7080"/>
          </w:cols>
          <w:pgMar w:left="880" w:top="517" w:right="879" w:bottom="1440" w:gutter="0" w:footer="0" w:header="0"/>
          <w:type w:val="continuous"/>
        </w:sectPr>
      </w:pPr>
    </w:p>
    <w:p>
      <w:pPr>
        <w:jc w:val="both"/>
        <w:ind w:left="3060"/>
        <w:spacing w:after="0" w:line="297" w:lineRule="auto"/>
        <w:rPr>
          <w:sz w:val="20"/>
          <w:szCs w:val="20"/>
          <w:color w:val="auto"/>
        </w:rPr>
      </w:pPr>
      <w:r>
        <w:rPr>
          <w:rFonts w:ascii="Arial" w:cs="Arial" w:eastAsia="Arial" w:hAnsi="Arial"/>
          <w:sz w:val="19"/>
          <w:szCs w:val="19"/>
          <w:color w:val="auto"/>
        </w:rPr>
        <w:t>GMH and PSA will make available certain support resources (including HR, IT and Legal) to enable the purchasing teams to effectively carry out its activities. The nature and extent of this will be jointly decided following due diligence.</w:t>
      </w:r>
    </w:p>
    <w:p>
      <w:pPr>
        <w:sectPr>
          <w:pgSz w:w="11900" w:h="16838" w:orient="portrait"/>
          <w:cols w:equalWidth="0" w:num="1">
            <w:col w:w="10140"/>
          </w:cols>
          <w:pgMar w:left="880" w:top="517" w:right="87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Purchasing Guidelines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GMH and PSA will develop joint purchasing guidelines to apply to the purchasing teams of GMH and PSA, which will include </w:t>
      </w:r>
      <w:r>
        <w:rPr>
          <w:rFonts w:ascii="Arial" w:cs="Arial" w:eastAsia="Arial" w:hAnsi="Arial"/>
          <w:sz w:val="22"/>
          <w:szCs w:val="22"/>
          <w:i w:val="1"/>
          <w:iCs w:val="1"/>
          <w:color w:val="auto"/>
        </w:rPr>
        <w:t>inter alia</w:t>
      </w:r>
      <w:r>
        <w:rPr>
          <w:rFonts w:ascii="Arial" w:cs="Arial" w:eastAsia="Arial" w:hAnsi="Arial"/>
          <w:sz w:val="22"/>
          <w:szCs w:val="22"/>
          <w:color w:val="auto"/>
        </w:rPr>
        <w:t xml:space="preserve"> the following items:</w:t>
      </w:r>
    </w:p>
    <w:p>
      <w:pPr>
        <w:spacing w:after="0" w:line="78" w:lineRule="exact"/>
        <w:rPr>
          <w:sz w:val="20"/>
          <w:szCs w:val="20"/>
          <w:color w:val="auto"/>
        </w:rPr>
      </w:pPr>
    </w:p>
    <w:p>
      <w:pPr>
        <w:sectPr>
          <w:pgSz w:w="11900" w:h="16838" w:orient="portrait"/>
          <w:cols w:equalWidth="0" w:num="2">
            <w:col w:w="2340" w:space="720"/>
            <w:col w:w="7080"/>
          </w:cols>
          <w:pgMar w:left="880" w:top="517" w:right="879" w:bottom="1440" w:gutter="0" w:footer="0" w:header="0"/>
          <w:type w:val="continuous"/>
        </w:sectPr>
      </w:pPr>
    </w:p>
    <w:p>
      <w:pPr>
        <w:ind w:left="3720"/>
        <w:spacing w:after="0" w:line="251" w:lineRule="auto"/>
        <w:rPr>
          <w:sz w:val="20"/>
          <w:szCs w:val="20"/>
          <w:color w:val="auto"/>
        </w:rPr>
      </w:pPr>
      <w:r>
        <w:rPr>
          <w:rFonts w:ascii="Arial" w:cs="Arial" w:eastAsia="Arial" w:hAnsi="Arial"/>
          <w:sz w:val="22"/>
          <w:szCs w:val="22"/>
          <w:color w:val="auto"/>
        </w:rPr>
        <w:t>Communication with suppliers or between the Parties on purchasing topics;</w:t>
      </w:r>
    </w:p>
    <w:p>
      <w:pPr>
        <w:spacing w:after="0" w:line="200"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Supplier selection;</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Supplier product development; and</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Supply chain and logistics, including capacity constraints.</w:t>
      </w:r>
    </w:p>
    <w:p>
      <w:pPr>
        <w:sectPr>
          <w:pgSz w:w="11900" w:h="16838" w:orient="portrait"/>
          <w:cols w:equalWidth="0" w:num="1">
            <w:col w:w="10140"/>
          </w:cols>
          <w:pgMar w:left="880" w:top="517" w:right="87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Governance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Steering Committee will establish an operational committee to oversee and manage the purchasing coordination of GMH and PSA, decide and monitor the purchasing synergies, review synergy opportunities and agree on joint procedures (supplier assessment, supplier qualification etc). Roles and responsibilities of such operational committee will be disciplined in the Purchasing Agreements.</w:t>
      </w:r>
    </w:p>
    <w:p>
      <w:pPr>
        <w:spacing w:after="0" w:line="200" w:lineRule="exact"/>
        <w:rPr>
          <w:sz w:val="20"/>
          <w:szCs w:val="20"/>
          <w:color w:val="auto"/>
        </w:rPr>
      </w:pPr>
    </w:p>
    <w:p>
      <w:pPr>
        <w:sectPr>
          <w:pgSz w:w="11900" w:h="16838" w:orient="portrait"/>
          <w:cols w:equalWidth="0" w:num="2">
            <w:col w:w="2340" w:space="720"/>
            <w:col w:w="7080"/>
          </w:cols>
          <w:pgMar w:left="880" w:top="517" w:right="87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40"/>
          </w:cols>
          <w:pgMar w:left="880" w:top="517" w:right="879" w:bottom="1440" w:gutter="0" w:footer="0" w:header="0"/>
          <w:type w:val="continuous"/>
        </w:sectPr>
      </w:pPr>
    </w:p>
    <w:bookmarkStart w:id="191" w:name="page192"/>
    <w:bookmarkEnd w:id="191"/>
    <w:p>
      <w:pPr>
        <w:jc w:val="center"/>
        <w:ind w:right="-1200"/>
        <w:spacing w:after="0"/>
        <w:rPr>
          <w:sz w:val="20"/>
          <w:szCs w:val="20"/>
          <w:color w:val="auto"/>
        </w:rPr>
      </w:pPr>
      <w:r>
        <w:rPr>
          <w:rFonts w:ascii="Arial" w:cs="Arial" w:eastAsia="Arial" w:hAnsi="Arial"/>
          <w:sz w:val="22"/>
          <w:szCs w:val="22"/>
          <w:b w:val="1"/>
          <w:bCs w:val="1"/>
          <w:color w:val="auto"/>
        </w:rPr>
        <w:t>EXHIBIT 4</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TARGETED DEADLINES</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FOR SIGNATURE/FINALIZATION OF ANCILLARY AGREEMENTS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Logistics Agreement: June 30, 2012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Purchasing Agreements: December 31, 2012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Development Agreements (agreement entered into with respect to at least 3 Products): December 31, 2012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Vehicle Supply Agreements (template agreement): to be agreed by the Steering Committee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Powertrain Supply Agreements (template agreement): to be agreed by the Steering Committee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369"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10.28</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VORSTANDSDIENSTVERTRAG</w:t>
      </w:r>
    </w:p>
    <w:p>
      <w:pPr>
        <w:spacing w:after="0" w:line="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(Director's Service Agreement)</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between</w:t>
      </w:r>
    </w:p>
    <w:p>
      <w:pPr>
        <w:spacing w:after="0" w:line="30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Adam Opel AG</w:t>
      </w:r>
    </w:p>
    <w:p>
      <w:pPr>
        <w:spacing w:after="0" w:line="33"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Bahnhofsplatz, 65423 Rüsselsheim</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hereinafter referred to as the ”</w:t>
      </w:r>
      <w:r>
        <w:rPr>
          <w:rFonts w:ascii="Arial" w:cs="Arial" w:eastAsia="Arial" w:hAnsi="Arial"/>
          <w:sz w:val="22"/>
          <w:szCs w:val="22"/>
          <w:b w:val="1"/>
          <w:bCs w:val="1"/>
          <w:color w:val="auto"/>
        </w:rPr>
        <w:t>Company</w:t>
      </w:r>
      <w:r>
        <w:rPr>
          <w:rFonts w:ascii="Arial" w:cs="Arial" w:eastAsia="Arial" w:hAnsi="Arial"/>
          <w:sz w:val="22"/>
          <w:szCs w:val="22"/>
          <w:color w:val="auto"/>
        </w:rPr>
        <w:t>“ -</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represented by its Supervisory Board, which itself is represented by its Chairman,</w:t>
      </w:r>
    </w:p>
    <w:p>
      <w:pPr>
        <w:spacing w:after="0" w:line="314"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Stephen J. Girsky</w:t>
      </w:r>
    </w:p>
    <w:p>
      <w:pPr>
        <w:spacing w:after="0" w:line="31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and</w:t>
      </w:r>
    </w:p>
    <w:p>
      <w:pPr>
        <w:spacing w:after="0" w:line="304" w:lineRule="exact"/>
        <w:rPr>
          <w:sz w:val="20"/>
          <w:szCs w:val="20"/>
          <w:color w:val="auto"/>
        </w:rPr>
      </w:pPr>
    </w:p>
    <w:p>
      <w:pPr>
        <w:ind w:left="2900"/>
        <w:spacing w:after="0"/>
        <w:rPr>
          <w:sz w:val="20"/>
          <w:szCs w:val="20"/>
          <w:color w:val="auto"/>
        </w:rPr>
      </w:pPr>
      <w:r>
        <w:rPr>
          <w:rFonts w:ascii="Arial" w:cs="Arial" w:eastAsia="Arial" w:hAnsi="Arial"/>
          <w:sz w:val="29"/>
          <w:szCs w:val="29"/>
          <w:b w:val="1"/>
          <w:bCs w:val="1"/>
          <w:color w:val="auto"/>
        </w:rPr>
        <w:t>Dr. Karl-Thomas Neumann</w:t>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born on April 1, 1961, residing at Am Lichtetal 11, D-61462 Königstein,</w:t>
      </w:r>
    </w:p>
    <w:p>
      <w:pPr>
        <w:spacing w:after="0" w:line="308" w:lineRule="exact"/>
        <w:rPr>
          <w:sz w:val="20"/>
          <w:szCs w:val="20"/>
          <w:color w:val="auto"/>
        </w:rPr>
      </w:pPr>
    </w:p>
    <w:p>
      <w:pPr>
        <w:ind w:left="500" w:right="1120" w:hanging="5"/>
        <w:spacing w:after="0" w:line="256" w:lineRule="auto"/>
        <w:tabs>
          <w:tab w:leader="none" w:pos="67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Company and Dr. Neumann hereinafter collectively also referred to as the ”</w:t>
      </w:r>
      <w:r>
        <w:rPr>
          <w:rFonts w:ascii="Arial" w:cs="Arial" w:eastAsia="Arial" w:hAnsi="Arial"/>
          <w:sz w:val="22"/>
          <w:szCs w:val="22"/>
          <w:b w:val="1"/>
          <w:bCs w:val="1"/>
          <w:color w:val="auto"/>
        </w:rPr>
        <w:t>Parties</w:t>
      </w:r>
      <w:r>
        <w:rPr>
          <w:rFonts w:ascii="Arial" w:cs="Arial" w:eastAsia="Arial" w:hAnsi="Arial"/>
          <w:sz w:val="22"/>
          <w:szCs w:val="22"/>
          <w:color w:val="auto"/>
        </w:rPr>
        <w:t>” or individually as to one “</w:t>
      </w:r>
      <w:r>
        <w:rPr>
          <w:rFonts w:ascii="Arial" w:cs="Arial" w:eastAsia="Arial" w:hAnsi="Arial"/>
          <w:sz w:val="22"/>
          <w:szCs w:val="22"/>
          <w:b w:val="1"/>
          <w:bCs w:val="1"/>
          <w:color w:val="auto"/>
        </w:rPr>
        <w:t>Party</w:t>
      </w:r>
      <w:r>
        <w:rPr>
          <w:rFonts w:ascii="Arial" w:cs="Arial" w:eastAsia="Arial" w:hAnsi="Arial"/>
          <w:sz w:val="22"/>
          <w:szCs w:val="22"/>
          <w:color w:val="auto"/>
        </w:rPr>
        <w:t>” -</w:t>
      </w:r>
    </w:p>
    <w:p>
      <w:pPr>
        <w:spacing w:after="0" w:line="200" w:lineRule="exact"/>
        <w:rPr>
          <w:sz w:val="20"/>
          <w:szCs w:val="20"/>
          <w:color w:val="auto"/>
        </w:rPr>
      </w:pPr>
    </w:p>
    <w:p>
      <w:pPr>
        <w:spacing w:after="0" w:line="34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Preamble</w:t>
      </w:r>
    </w:p>
    <w:p>
      <w:pPr>
        <w:spacing w:after="0" w:line="320" w:lineRule="exact"/>
        <w:rPr>
          <w:sz w:val="20"/>
          <w:szCs w:val="20"/>
          <w:color w:val="auto"/>
        </w:rPr>
      </w:pPr>
    </w:p>
    <w:p>
      <w:pPr>
        <w:ind w:left="500" w:right="1140"/>
        <w:spacing w:after="0" w:line="251" w:lineRule="auto"/>
        <w:rPr>
          <w:sz w:val="20"/>
          <w:szCs w:val="20"/>
          <w:color w:val="auto"/>
        </w:rPr>
      </w:pPr>
      <w:r>
        <w:rPr>
          <w:rFonts w:ascii="Arial" w:cs="Arial" w:eastAsia="Arial" w:hAnsi="Arial"/>
          <w:sz w:val="22"/>
          <w:szCs w:val="22"/>
          <w:color w:val="auto"/>
        </w:rPr>
        <w:t>Dr. Neumann is currently, but no longer than June 30, 2013, bound by restrictive co-venants and he endeavors to terminate them at an earlier point in time.</w:t>
      </w:r>
    </w:p>
    <w:p>
      <w:pPr>
        <w:spacing w:after="0" w:line="281" w:lineRule="exact"/>
        <w:rPr>
          <w:sz w:val="20"/>
          <w:szCs w:val="20"/>
          <w:color w:val="auto"/>
        </w:rPr>
      </w:pPr>
    </w:p>
    <w:p>
      <w:pPr>
        <w:ind w:left="500" w:right="1140"/>
        <w:spacing w:after="0" w:line="328" w:lineRule="auto"/>
        <w:rPr>
          <w:sz w:val="20"/>
          <w:szCs w:val="20"/>
          <w:color w:val="auto"/>
        </w:rPr>
      </w:pPr>
      <w:r>
        <w:rPr>
          <w:rFonts w:ascii="Arial" w:cs="Arial" w:eastAsia="Arial" w:hAnsi="Arial"/>
          <w:sz w:val="19"/>
          <w:szCs w:val="19"/>
          <w:color w:val="auto"/>
        </w:rPr>
        <w:t>Upon release from his restrictive covenants, Dr. Neumann shall be appointed Chairman of the Management Board of the Company for an initial term of one (1) year, latest as of July 1, 2013.</w:t>
      </w:r>
    </w:p>
    <w:p>
      <w:pPr>
        <w:spacing w:after="0" w:line="213" w:lineRule="exact"/>
        <w:rPr>
          <w:sz w:val="20"/>
          <w:szCs w:val="20"/>
          <w:color w:val="auto"/>
        </w:rPr>
      </w:pPr>
    </w:p>
    <w:p>
      <w:pPr>
        <w:ind w:left="500" w:right="1120"/>
        <w:spacing w:after="0" w:line="251" w:lineRule="auto"/>
        <w:rPr>
          <w:sz w:val="20"/>
          <w:szCs w:val="20"/>
          <w:color w:val="auto"/>
        </w:rPr>
      </w:pPr>
      <w:r>
        <w:rPr>
          <w:rFonts w:ascii="Arial" w:cs="Arial" w:eastAsia="Arial" w:hAnsi="Arial"/>
          <w:sz w:val="22"/>
          <w:szCs w:val="22"/>
          <w:color w:val="auto"/>
        </w:rPr>
        <w:t>In light of this, hereby the Parties enter into the following Director’s Service Agreement (hereinafter also referred to as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75" w:lineRule="exact"/>
        <w:rPr>
          <w:sz w:val="20"/>
          <w:szCs w:val="20"/>
          <w:color w:val="auto"/>
        </w:rPr>
      </w:pPr>
    </w:p>
    <w:p>
      <w:pPr>
        <w:ind w:left="500" w:hanging="491"/>
        <w:spacing w:after="0"/>
        <w:tabs>
          <w:tab w:leader="none" w:pos="50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Position, Functions and Duties</w:t>
      </w:r>
    </w:p>
    <w:p>
      <w:pPr>
        <w:spacing w:after="0" w:line="320" w:lineRule="exact"/>
        <w:rPr>
          <w:sz w:val="20"/>
          <w:szCs w:val="20"/>
          <w:color w:val="auto"/>
        </w:rPr>
      </w:pPr>
    </w:p>
    <w:p>
      <w:pPr>
        <w:jc w:val="both"/>
        <w:ind w:left="500" w:right="1120" w:hanging="485"/>
        <w:spacing w:after="0" w:line="258" w:lineRule="auto"/>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Latest as of July 1, 2013, Dr. Neumann shall be appointed for an initial term of one (1) year as Chairman of the Management Board of the Company. Within General Motors he will hold the titles of “</w:t>
      </w:r>
      <w:r>
        <w:rPr>
          <w:rFonts w:ascii="Arial" w:cs="Arial" w:eastAsia="Arial" w:hAnsi="Arial"/>
          <w:sz w:val="21"/>
          <w:szCs w:val="21"/>
          <w:i w:val="1"/>
          <w:iCs w:val="1"/>
          <w:color w:val="auto"/>
        </w:rPr>
        <w:t>General Motors Vice President</w:t>
      </w:r>
      <w:r>
        <w:rPr>
          <w:rFonts w:ascii="Arial" w:cs="Arial" w:eastAsia="Arial" w:hAnsi="Arial"/>
          <w:sz w:val="21"/>
          <w:szCs w:val="21"/>
          <w:color w:val="auto"/>
        </w:rPr>
        <w:t>” and “</w:t>
      </w:r>
      <w:r>
        <w:rPr>
          <w:rFonts w:ascii="Arial" w:cs="Arial" w:eastAsia="Arial" w:hAnsi="Arial"/>
          <w:sz w:val="21"/>
          <w:szCs w:val="21"/>
          <w:i w:val="1"/>
          <w:iCs w:val="1"/>
          <w:color w:val="auto"/>
        </w:rPr>
        <w:t>President of General Motors Europe</w:t>
      </w:r>
      <w:r>
        <w:rPr>
          <w:rFonts w:ascii="Arial" w:cs="Arial" w:eastAsia="Arial" w:hAnsi="Arial"/>
          <w:sz w:val="21"/>
          <w:szCs w:val="21"/>
          <w:color w:val="auto"/>
        </w:rPr>
        <w:t>”.</w:t>
      </w:r>
    </w:p>
    <w:p>
      <w:pPr>
        <w:spacing w:after="0" w:line="275" w:lineRule="exact"/>
        <w:rPr>
          <w:sz w:val="20"/>
          <w:szCs w:val="20"/>
          <w:color w:val="auto"/>
        </w:rPr>
      </w:pPr>
    </w:p>
    <w:p>
      <w:pPr>
        <w:jc w:val="both"/>
        <w:ind w:left="500" w:right="1120" w:hanging="485"/>
        <w:spacing w:after="0"/>
        <w:tabs>
          <w:tab w:leader="none" w:pos="480" w:val="left"/>
        </w:tabs>
        <w:rPr>
          <w:sz w:val="20"/>
          <w:szCs w:val="20"/>
          <w:color w:val="auto"/>
        </w:rPr>
      </w:pPr>
      <w:r>
        <w:rPr>
          <w:rFonts w:ascii="Arial" w:cs="Arial" w:eastAsia="Arial" w:hAnsi="Arial"/>
          <w:sz w:val="22"/>
          <w:szCs w:val="22"/>
          <w:color w:val="auto"/>
        </w:rPr>
        <w:t>1.2</w:t>
        <w:tab/>
        <w:t>Dr. Neumann shall carry out his duties in accordance with the applicable laws, the articles of association of the Company and, if in place, its rules of procedure for the Management Board, all as amended from time to time.</w:t>
      </w:r>
    </w:p>
    <w:p>
      <w:pPr>
        <w:spacing w:after="0" w:line="295" w:lineRule="exact"/>
        <w:rPr>
          <w:sz w:val="20"/>
          <w:szCs w:val="20"/>
          <w:color w:val="auto"/>
        </w:rPr>
      </w:pPr>
    </w:p>
    <w:p>
      <w:pPr>
        <w:jc w:val="both"/>
        <w:ind w:left="500" w:right="1120" w:hanging="485"/>
        <w:spacing w:after="0" w:line="287" w:lineRule="auto"/>
        <w:tabs>
          <w:tab w:leader="none" w:pos="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Dr. Neumann shall dedicate his entire working capacities exclusively to the services of the Company. He shall require the consent of the personnel committee of the Company’s Supervisory Board before taking on any other professional activities or offices, whether in a remunerated or an honorary position. The consent will be granted, if there are no conflicting interests of the Company.</w:t>
      </w:r>
    </w:p>
    <w:p>
      <w:pPr>
        <w:sectPr>
          <w:pgSz w:w="11900" w:h="16838" w:orient="portrait"/>
          <w:cols w:equalWidth="0" w:num="1">
            <w:col w:w="10300"/>
          </w:cols>
          <w:pgMar w:left="1360" w:top="585" w:right="239" w:bottom="1151" w:gutter="0" w:footer="0" w:header="0"/>
        </w:sectPr>
      </w:pPr>
    </w:p>
    <w:p>
      <w:pPr>
        <w:spacing w:after="0" w:line="200" w:lineRule="exact"/>
        <w:rPr>
          <w:sz w:val="20"/>
          <w:szCs w:val="20"/>
          <w:color w:val="auto"/>
        </w:rPr>
      </w:pPr>
    </w:p>
    <w:p>
      <w:pPr>
        <w:spacing w:after="0" w:line="275"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00"/>
          </w:cols>
          <w:pgMar w:left="1360" w:top="585" w:right="239" w:bottom="1151" w:gutter="0" w:footer="0" w:header="0"/>
          <w:type w:val="continuous"/>
        </w:sectPr>
      </w:pPr>
    </w:p>
    <w:bookmarkStart w:id="193" w:name="page194"/>
    <w:bookmarkEnd w:id="193"/>
    <w:p>
      <w:pPr>
        <w:jc w:val="both"/>
        <w:ind w:left="491" w:hanging="485"/>
        <w:spacing w:after="0" w:line="234" w:lineRule="auto"/>
        <w:tabs>
          <w:tab w:leader="none" w:pos="471" w:val="left"/>
        </w:tabs>
        <w:rPr>
          <w:sz w:val="20"/>
          <w:szCs w:val="20"/>
          <w:color w:val="auto"/>
        </w:rPr>
      </w:pPr>
      <w:r>
        <w:rPr>
          <w:rFonts w:ascii="Arial" w:cs="Arial" w:eastAsia="Arial" w:hAnsi="Arial"/>
          <w:sz w:val="22"/>
          <w:szCs w:val="22"/>
          <w:color w:val="auto"/>
        </w:rPr>
        <w:t>1.4</w:t>
        <w:tab/>
        <w:t>Dr. Neumann shall, upon the request of the Supervisory Board, also accept positions or offices in companies in which the Company directly or indirectly holds shares as well as activities in associations and organizations of which the Company or an affiliated company is a member. It is understood, that any positions and offices Dr. Neumann has assumed under this Clause 1.4 are limited for the time he is appointed as member of the Management Board of the Company. In case this appointment ends, Dr. Neumann will immediately and in the appropriate form resign from any such positions and offices.</w:t>
      </w:r>
    </w:p>
    <w:p>
      <w:pPr>
        <w:spacing w:after="0" w:line="299" w:lineRule="exact"/>
        <w:rPr>
          <w:sz w:val="20"/>
          <w:szCs w:val="20"/>
          <w:color w:val="auto"/>
        </w:rPr>
      </w:pPr>
    </w:p>
    <w:p>
      <w:pPr>
        <w:jc w:val="both"/>
        <w:ind w:left="491" w:hanging="485"/>
        <w:spacing w:after="0" w:line="235" w:lineRule="auto"/>
        <w:tabs>
          <w:tab w:leader="none" w:pos="471" w:val="left"/>
        </w:tabs>
        <w:rPr>
          <w:sz w:val="20"/>
          <w:szCs w:val="20"/>
          <w:color w:val="auto"/>
        </w:rPr>
      </w:pPr>
      <w:r>
        <w:rPr>
          <w:rFonts w:ascii="Arial" w:cs="Arial" w:eastAsia="Arial" w:hAnsi="Arial"/>
          <w:sz w:val="22"/>
          <w:szCs w:val="22"/>
          <w:color w:val="auto"/>
        </w:rPr>
        <w:t>1.5</w:t>
        <w:tab/>
        <w:t>During the term of this Agreement Dr. Neumann is not permitted to directly or indirectly participate in any company, which is in competition with the Company or an affiliated company, or in any company which maintains material business relationships with the Company or an affiliated company. This does not apply to participations as part of Dr. Neumann’s private wealthy management, provided those participations do not allow direct or indirect influence on the respective companies’ managements.</w:t>
      </w:r>
    </w:p>
    <w:p>
      <w:pPr>
        <w:spacing w:after="0" w:line="200" w:lineRule="exact"/>
        <w:rPr>
          <w:sz w:val="20"/>
          <w:szCs w:val="20"/>
          <w:color w:val="auto"/>
        </w:rPr>
      </w:pPr>
    </w:p>
    <w:p>
      <w:pPr>
        <w:spacing w:after="0" w:line="361" w:lineRule="exact"/>
        <w:rPr>
          <w:sz w:val="20"/>
          <w:szCs w:val="20"/>
          <w:color w:val="auto"/>
        </w:rPr>
      </w:pPr>
    </w:p>
    <w:p>
      <w:pPr>
        <w:ind w:left="491" w:hanging="491"/>
        <w:spacing w:after="0"/>
        <w:tabs>
          <w:tab w:leader="none" w:pos="491"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w:t>
      </w:r>
    </w:p>
    <w:p>
      <w:pPr>
        <w:spacing w:after="0" w:line="320" w:lineRule="exact"/>
        <w:rPr>
          <w:sz w:val="20"/>
          <w:szCs w:val="20"/>
          <w:color w:val="auto"/>
        </w:rPr>
      </w:pPr>
    </w:p>
    <w:p>
      <w:pPr>
        <w:jc w:val="both"/>
        <w:ind w:left="491" w:right="20" w:hanging="485"/>
        <w:spacing w:after="0"/>
        <w:tabs>
          <w:tab w:leader="none" w:pos="471" w:val="left"/>
        </w:tabs>
        <w:rPr>
          <w:sz w:val="20"/>
          <w:szCs w:val="20"/>
          <w:color w:val="auto"/>
        </w:rPr>
      </w:pPr>
      <w:r>
        <w:rPr>
          <w:rFonts w:ascii="Arial" w:cs="Arial" w:eastAsia="Arial" w:hAnsi="Arial"/>
          <w:sz w:val="22"/>
          <w:szCs w:val="22"/>
          <w:color w:val="auto"/>
        </w:rPr>
        <w:t>2.1</w:t>
        <w:tab/>
        <w:t>As compensation for his services Dr. Neumann receives a fixed annual gross salary in the amount of EUR 618,560.00, payable in 12 equal installments by the end of each month into a domestic bank account to be nominated by Dr. Neumann.</w:t>
      </w:r>
    </w:p>
    <w:p>
      <w:pPr>
        <w:spacing w:after="0" w:line="295" w:lineRule="exact"/>
        <w:rPr>
          <w:sz w:val="20"/>
          <w:szCs w:val="20"/>
          <w:color w:val="auto"/>
        </w:rPr>
      </w:pPr>
    </w:p>
    <w:p>
      <w:pPr>
        <w:jc w:val="both"/>
        <w:ind w:left="491" w:hanging="485"/>
        <w:spacing w:after="0" w:line="251" w:lineRule="auto"/>
        <w:tabs>
          <w:tab w:leader="none" w:pos="471" w:val="left"/>
        </w:tabs>
        <w:rPr>
          <w:sz w:val="20"/>
          <w:szCs w:val="20"/>
          <w:color w:val="auto"/>
        </w:rPr>
      </w:pPr>
      <w:r>
        <w:rPr>
          <w:rFonts w:ascii="Arial" w:cs="Arial" w:eastAsia="Arial" w:hAnsi="Arial"/>
          <w:sz w:val="22"/>
          <w:szCs w:val="22"/>
          <w:color w:val="auto"/>
        </w:rPr>
        <w:t>2.2</w:t>
        <w:tab/>
        <w:t>In addition, Dr. Neumann participates in the following incentive plans of General Motors Company, the Company's parent company:</w:t>
      </w:r>
    </w:p>
    <w:p>
      <w:pPr>
        <w:spacing w:after="0" w:line="275" w:lineRule="exact"/>
        <w:rPr>
          <w:sz w:val="20"/>
          <w:szCs w:val="20"/>
          <w:color w:val="auto"/>
        </w:rPr>
      </w:pPr>
    </w:p>
    <w:p>
      <w:pPr>
        <w:ind w:left="2471"/>
        <w:spacing w:after="0"/>
        <w:rPr>
          <w:sz w:val="20"/>
          <w:szCs w:val="20"/>
          <w:color w:val="auto"/>
        </w:rPr>
      </w:pPr>
      <w:r>
        <w:rPr>
          <w:rFonts w:ascii="Arial" w:cs="Arial" w:eastAsia="Arial" w:hAnsi="Arial"/>
          <w:sz w:val="22"/>
          <w:szCs w:val="22"/>
          <w:color w:val="auto"/>
        </w:rPr>
        <w:t>General Motors Company Salary Stock Plan (</w:t>
      </w:r>
      <w:r>
        <w:rPr>
          <w:rFonts w:ascii="Arial" w:cs="Arial" w:eastAsia="Arial" w:hAnsi="Arial"/>
          <w:sz w:val="22"/>
          <w:szCs w:val="22"/>
          <w:b w:val="1"/>
          <w:bCs w:val="1"/>
          <w:color w:val="auto"/>
        </w:rPr>
        <w:t>Annex 1</w:t>
      </w:r>
      <w:r>
        <w:rPr>
          <w:rFonts w:ascii="Arial" w:cs="Arial" w:eastAsia="Arial" w:hAnsi="Arial"/>
          <w:sz w:val="22"/>
          <w:szCs w:val="22"/>
          <w:color w:val="auto"/>
        </w:rPr>
        <w:t>)</w:t>
      </w:r>
    </w:p>
    <w:p>
      <w:pPr>
        <w:spacing w:after="0" w:line="50" w:lineRule="exact"/>
        <w:rPr>
          <w:sz w:val="20"/>
          <w:szCs w:val="20"/>
          <w:color w:val="auto"/>
        </w:rPr>
      </w:pPr>
    </w:p>
    <w:p>
      <w:pPr>
        <w:ind w:left="4431"/>
        <w:spacing w:after="0"/>
        <w:rPr>
          <w:sz w:val="20"/>
          <w:szCs w:val="20"/>
          <w:color w:val="auto"/>
        </w:rPr>
      </w:pPr>
      <w:r>
        <w:rPr>
          <w:rFonts w:ascii="Arial" w:cs="Arial" w:eastAsia="Arial" w:hAnsi="Arial"/>
          <w:sz w:val="22"/>
          <w:szCs w:val="22"/>
          <w:color w:val="auto"/>
        </w:rPr>
        <w:t>and</w:t>
      </w:r>
    </w:p>
    <w:p>
      <w:pPr>
        <w:spacing w:after="0" w:line="38" w:lineRule="exact"/>
        <w:rPr>
          <w:sz w:val="20"/>
          <w:szCs w:val="20"/>
          <w:color w:val="auto"/>
        </w:rPr>
      </w:pPr>
    </w:p>
    <w:p>
      <w:pPr>
        <w:ind w:left="2091"/>
        <w:spacing w:after="0"/>
        <w:rPr>
          <w:sz w:val="20"/>
          <w:szCs w:val="20"/>
          <w:color w:val="auto"/>
        </w:rPr>
      </w:pPr>
      <w:r>
        <w:rPr>
          <w:rFonts w:ascii="Arial" w:cs="Arial" w:eastAsia="Arial" w:hAnsi="Arial"/>
          <w:sz w:val="22"/>
          <w:szCs w:val="22"/>
          <w:color w:val="auto"/>
        </w:rPr>
        <w:t>General Motors Company Long-Term Incentive Plan (</w:t>
      </w:r>
      <w:r>
        <w:rPr>
          <w:rFonts w:ascii="Arial" w:cs="Arial" w:eastAsia="Arial" w:hAnsi="Arial"/>
          <w:sz w:val="22"/>
          <w:szCs w:val="22"/>
          <w:b w:val="1"/>
          <w:bCs w:val="1"/>
          <w:color w:val="auto"/>
        </w:rPr>
        <w:t>Annex 2</w:t>
      </w:r>
      <w:r>
        <w:rPr>
          <w:rFonts w:ascii="Arial" w:cs="Arial" w:eastAsia="Arial" w:hAnsi="Arial"/>
          <w:sz w:val="22"/>
          <w:szCs w:val="22"/>
          <w:color w:val="auto"/>
        </w:rPr>
        <w:t>)</w:t>
      </w:r>
    </w:p>
    <w:p>
      <w:pPr>
        <w:spacing w:after="0" w:line="320" w:lineRule="exact"/>
        <w:rPr>
          <w:sz w:val="20"/>
          <w:szCs w:val="20"/>
          <w:color w:val="auto"/>
        </w:rPr>
      </w:pPr>
    </w:p>
    <w:p>
      <w:pPr>
        <w:jc w:val="both"/>
        <w:ind w:left="491"/>
        <w:spacing w:after="0"/>
        <w:rPr>
          <w:sz w:val="20"/>
          <w:szCs w:val="20"/>
          <w:color w:val="auto"/>
        </w:rPr>
      </w:pPr>
      <w:r>
        <w:rPr>
          <w:rFonts w:ascii="Arial" w:cs="Arial" w:eastAsia="Arial" w:hAnsi="Arial"/>
          <w:sz w:val="22"/>
          <w:szCs w:val="22"/>
          <w:color w:val="auto"/>
        </w:rPr>
        <w:t>Special provisions, which supersede the rules of the aforementioned incentive plans of General Motors Company and which have been agreed upon by General Motors Company and Dr. Neumann, are contained in Annex 3 of this Agreement (“</w:t>
      </w:r>
      <w:r>
        <w:rPr>
          <w:rFonts w:ascii="Arial" w:cs="Arial" w:eastAsia="Arial" w:hAnsi="Arial"/>
          <w:sz w:val="22"/>
          <w:szCs w:val="22"/>
          <w:b w:val="1"/>
          <w:bCs w:val="1"/>
          <w:color w:val="auto"/>
        </w:rPr>
        <w:t>Annex 3</w:t>
      </w:r>
      <w:r>
        <w:rPr>
          <w:rFonts w:ascii="Arial" w:cs="Arial" w:eastAsia="Arial" w:hAnsi="Arial"/>
          <w:sz w:val="22"/>
          <w:szCs w:val="22"/>
          <w:color w:val="auto"/>
        </w:rPr>
        <w:t>”).</w:t>
      </w:r>
    </w:p>
    <w:p>
      <w:pPr>
        <w:spacing w:after="0" w:line="295" w:lineRule="exact"/>
        <w:rPr>
          <w:sz w:val="20"/>
          <w:szCs w:val="20"/>
          <w:color w:val="auto"/>
        </w:rPr>
      </w:pPr>
    </w:p>
    <w:p>
      <w:pPr>
        <w:jc w:val="both"/>
        <w:ind w:left="491" w:hanging="485"/>
        <w:spacing w:after="0" w:line="251" w:lineRule="auto"/>
        <w:tabs>
          <w:tab w:leader="none" w:pos="471" w:val="left"/>
        </w:tabs>
        <w:rPr>
          <w:sz w:val="20"/>
          <w:szCs w:val="20"/>
          <w:color w:val="auto"/>
        </w:rPr>
      </w:pPr>
      <w:r>
        <w:rPr>
          <w:rFonts w:ascii="Arial" w:cs="Arial" w:eastAsia="Arial" w:hAnsi="Arial"/>
          <w:sz w:val="22"/>
          <w:szCs w:val="22"/>
          <w:color w:val="auto"/>
        </w:rPr>
        <w:t>2.3</w:t>
        <w:tab/>
        <w:t>Any assignment or pledge of remuneration claims requires the consent of the Supervisory Board of the Company.</w:t>
      </w:r>
    </w:p>
    <w:p>
      <w:pPr>
        <w:spacing w:after="0" w:line="281" w:lineRule="exact"/>
        <w:rPr>
          <w:sz w:val="20"/>
          <w:szCs w:val="20"/>
          <w:color w:val="auto"/>
        </w:rPr>
      </w:pPr>
    </w:p>
    <w:p>
      <w:pPr>
        <w:jc w:val="both"/>
        <w:ind w:left="491" w:hanging="485"/>
        <w:spacing w:after="0" w:line="238" w:lineRule="auto"/>
        <w:tabs>
          <w:tab w:leader="none" w:pos="471" w:val="left"/>
        </w:tabs>
        <w:rPr>
          <w:sz w:val="20"/>
          <w:szCs w:val="20"/>
          <w:color w:val="auto"/>
        </w:rPr>
      </w:pPr>
      <w:r>
        <w:rPr>
          <w:rFonts w:ascii="Arial" w:cs="Arial" w:eastAsia="Arial" w:hAnsi="Arial"/>
          <w:sz w:val="22"/>
          <w:szCs w:val="22"/>
          <w:color w:val="auto"/>
        </w:rPr>
        <w:t>2.4</w:t>
        <w:tab/>
        <w:t>In the event Dr. Neumann receives compensation for positions or offices, which he has assumed at affiliated companies, associations or organizations, he will transfer such compensation to the Company or such compensation will be credited against the remuneration under Clauses 2.1 and 2.2 above.</w:t>
      </w:r>
    </w:p>
    <w:p>
      <w:pPr>
        <w:spacing w:after="0" w:line="200" w:lineRule="exact"/>
        <w:rPr>
          <w:sz w:val="20"/>
          <w:szCs w:val="20"/>
          <w:color w:val="auto"/>
        </w:rPr>
      </w:pPr>
    </w:p>
    <w:p>
      <w:pPr>
        <w:spacing w:after="0" w:line="357" w:lineRule="exact"/>
        <w:rPr>
          <w:sz w:val="20"/>
          <w:szCs w:val="20"/>
          <w:color w:val="auto"/>
        </w:rPr>
      </w:pPr>
    </w:p>
    <w:p>
      <w:pPr>
        <w:ind w:left="491" w:hanging="491"/>
        <w:spacing w:after="0"/>
        <w:tabs>
          <w:tab w:leader="none" w:pos="491"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Company Pensions</w:t>
      </w:r>
    </w:p>
    <w:p>
      <w:pPr>
        <w:spacing w:after="0" w:line="320" w:lineRule="exact"/>
        <w:rPr>
          <w:rFonts w:ascii="Arial" w:cs="Arial" w:eastAsia="Arial" w:hAnsi="Arial"/>
          <w:sz w:val="22"/>
          <w:szCs w:val="22"/>
          <w:b w:val="1"/>
          <w:bCs w:val="1"/>
          <w:color w:val="auto"/>
        </w:rPr>
      </w:pPr>
    </w:p>
    <w:p>
      <w:pPr>
        <w:jc w:val="both"/>
        <w:ind w:left="491"/>
        <w:spacing w:after="0"/>
        <w:rPr>
          <w:rFonts w:ascii="Arial" w:cs="Arial" w:eastAsia="Arial" w:hAnsi="Arial"/>
          <w:sz w:val="22"/>
          <w:szCs w:val="22"/>
          <w:b w:val="1"/>
          <w:bCs w:val="1"/>
          <w:color w:val="auto"/>
        </w:rPr>
      </w:pPr>
      <w:r>
        <w:rPr>
          <w:rFonts w:ascii="Arial" w:cs="Arial" w:eastAsia="Arial" w:hAnsi="Arial"/>
          <w:sz w:val="22"/>
          <w:szCs w:val="22"/>
          <w:color w:val="auto"/>
        </w:rPr>
        <w:t>Dr. Neumann is entitled to participate in the Company’s pension scheme, which applies for executives. All entitlements arising out of this pension scheme, which relate to the term of this Agreement, shall be non-forfeitable upon signing this Agreement.</w:t>
      </w:r>
    </w:p>
    <w:p>
      <w:pPr>
        <w:spacing w:after="0" w:line="200" w:lineRule="exact"/>
        <w:rPr>
          <w:rFonts w:ascii="Arial" w:cs="Arial" w:eastAsia="Arial" w:hAnsi="Arial"/>
          <w:sz w:val="22"/>
          <w:szCs w:val="22"/>
          <w:b w:val="1"/>
          <w:bCs w:val="1"/>
          <w:color w:val="auto"/>
        </w:rPr>
      </w:pPr>
    </w:p>
    <w:p>
      <w:pPr>
        <w:spacing w:after="0" w:line="358" w:lineRule="exact"/>
        <w:rPr>
          <w:rFonts w:ascii="Arial" w:cs="Arial" w:eastAsia="Arial" w:hAnsi="Arial"/>
          <w:sz w:val="22"/>
          <w:szCs w:val="22"/>
          <w:b w:val="1"/>
          <w:bCs w:val="1"/>
          <w:color w:val="auto"/>
        </w:rPr>
      </w:pPr>
    </w:p>
    <w:p>
      <w:pPr>
        <w:ind w:left="491" w:hanging="491"/>
        <w:spacing w:after="0"/>
        <w:tabs>
          <w:tab w:leader="none" w:pos="491"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Vacation</w:t>
      </w:r>
    </w:p>
    <w:p>
      <w:pPr>
        <w:spacing w:after="0" w:line="320" w:lineRule="exact"/>
        <w:rPr>
          <w:rFonts w:ascii="Arial" w:cs="Arial" w:eastAsia="Arial" w:hAnsi="Arial"/>
          <w:sz w:val="22"/>
          <w:szCs w:val="22"/>
          <w:b w:val="1"/>
          <w:bCs w:val="1"/>
          <w:color w:val="auto"/>
        </w:rPr>
      </w:pPr>
    </w:p>
    <w:p>
      <w:pPr>
        <w:jc w:val="both"/>
        <w:ind w:left="491"/>
        <w:spacing w:after="0"/>
        <w:rPr>
          <w:rFonts w:ascii="Arial" w:cs="Arial" w:eastAsia="Arial" w:hAnsi="Arial"/>
          <w:sz w:val="22"/>
          <w:szCs w:val="22"/>
          <w:b w:val="1"/>
          <w:bCs w:val="1"/>
          <w:color w:val="auto"/>
        </w:rPr>
      </w:pPr>
      <w:r>
        <w:rPr>
          <w:rFonts w:ascii="Arial" w:cs="Arial" w:eastAsia="Arial" w:hAnsi="Arial"/>
          <w:sz w:val="22"/>
          <w:szCs w:val="22"/>
          <w:color w:val="auto"/>
        </w:rPr>
        <w:t xml:space="preserve">Dr. Neumann has an annual vacation entitlement of 30 working days for each full calendar year, which shall be taken in accordance with the other members of the Management Board. The German Vacation Act does apply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ectPr>
          <w:pgSz w:w="11900" w:h="16838" w:orient="portrait"/>
          <w:cols w:equalWidth="0" w:num="1">
            <w:col w:w="9171"/>
          </w:cols>
          <w:pgMar w:left="1369" w:top="740" w:right="1359" w:bottom="2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171"/>
          </w:cols>
          <w:pgMar w:left="1369" w:top="740" w:right="1359" w:bottom="232" w:gutter="0" w:footer="0" w:header="0"/>
          <w:type w:val="continuous"/>
        </w:sectPr>
      </w:pPr>
    </w:p>
    <w:bookmarkStart w:id="194" w:name="page195"/>
    <w:bookmarkEnd w:id="194"/>
    <w:p>
      <w:pPr>
        <w:ind w:left="491" w:hanging="491"/>
        <w:spacing w:after="0"/>
        <w:tabs>
          <w:tab w:leader="none" w:pos="491"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Company Car(s) and Drivers Pool</w:t>
      </w:r>
    </w:p>
    <w:p>
      <w:pPr>
        <w:spacing w:after="0" w:line="320" w:lineRule="exact"/>
        <w:rPr>
          <w:sz w:val="20"/>
          <w:szCs w:val="20"/>
          <w:color w:val="auto"/>
        </w:rPr>
      </w:pPr>
    </w:p>
    <w:p>
      <w:pPr>
        <w:jc w:val="both"/>
        <w:ind w:left="491" w:hanging="485"/>
        <w:spacing w:after="0" w:line="238" w:lineRule="auto"/>
        <w:tabs>
          <w:tab w:leader="none" w:pos="471" w:val="left"/>
        </w:tabs>
        <w:rPr>
          <w:sz w:val="20"/>
          <w:szCs w:val="20"/>
          <w:color w:val="auto"/>
        </w:rPr>
      </w:pPr>
      <w:r>
        <w:rPr>
          <w:rFonts w:ascii="Arial" w:cs="Arial" w:eastAsia="Arial" w:hAnsi="Arial"/>
          <w:sz w:val="22"/>
          <w:szCs w:val="22"/>
          <w:color w:val="auto"/>
        </w:rPr>
        <w:t>5.1</w:t>
        <w:tab/>
        <w:t>The Company will provide an adequate Opel company car to Dr. Neumann, which he can also use for private purposes, and will bear the costs for fuel as well as all other costs regarding the operation of the car (e.g. for repairs, maintenance, insurance etc.). Dr. Neumann shall bear any income taxes resulting from the private use.</w:t>
      </w:r>
    </w:p>
    <w:p>
      <w:pPr>
        <w:spacing w:after="0" w:line="293" w:lineRule="exact"/>
        <w:rPr>
          <w:sz w:val="20"/>
          <w:szCs w:val="20"/>
          <w:color w:val="auto"/>
        </w:rPr>
      </w:pPr>
    </w:p>
    <w:p>
      <w:pPr>
        <w:jc w:val="both"/>
        <w:ind w:left="491" w:hanging="485"/>
        <w:spacing w:after="0"/>
        <w:tabs>
          <w:tab w:leader="none" w:pos="471" w:val="left"/>
        </w:tabs>
        <w:rPr>
          <w:sz w:val="20"/>
          <w:szCs w:val="20"/>
          <w:color w:val="auto"/>
        </w:rPr>
      </w:pPr>
      <w:r>
        <w:rPr>
          <w:rFonts w:ascii="Arial" w:cs="Arial" w:eastAsia="Arial" w:hAnsi="Arial"/>
          <w:sz w:val="22"/>
          <w:szCs w:val="22"/>
          <w:color w:val="auto"/>
        </w:rPr>
        <w:t>5.2</w:t>
        <w:tab/>
        <w:t>Dr. Neumann may lease up to five further Opel cars under and subject to the applicable car leasing policies, whereby the lease of one of these cars shall be based on the leasing conditions for executives.</w:t>
      </w:r>
    </w:p>
    <w:p>
      <w:pPr>
        <w:spacing w:after="0" w:line="295" w:lineRule="exact"/>
        <w:rPr>
          <w:sz w:val="20"/>
          <w:szCs w:val="20"/>
          <w:color w:val="auto"/>
        </w:rPr>
      </w:pPr>
    </w:p>
    <w:p>
      <w:pPr>
        <w:jc w:val="both"/>
        <w:ind w:left="491" w:right="20" w:hanging="485"/>
        <w:spacing w:after="0"/>
        <w:tabs>
          <w:tab w:leader="none" w:pos="471" w:val="left"/>
        </w:tabs>
        <w:rPr>
          <w:sz w:val="20"/>
          <w:szCs w:val="20"/>
          <w:color w:val="auto"/>
        </w:rPr>
      </w:pPr>
      <w:r>
        <w:rPr>
          <w:rFonts w:ascii="Arial" w:cs="Arial" w:eastAsia="Arial" w:hAnsi="Arial"/>
          <w:sz w:val="22"/>
          <w:szCs w:val="22"/>
          <w:color w:val="auto"/>
        </w:rPr>
        <w:t>5.3</w:t>
        <w:tab/>
        <w:t>As a member of the Management Board of the Company Dr. Neumann will have access to the Company’s pool of drivers on an as-needed basis, including for his trips to and from work as well as for business purposes.</w:t>
      </w:r>
    </w:p>
    <w:p>
      <w:pPr>
        <w:spacing w:after="0" w:line="200" w:lineRule="exact"/>
        <w:rPr>
          <w:sz w:val="20"/>
          <w:szCs w:val="20"/>
          <w:color w:val="auto"/>
        </w:rPr>
      </w:pPr>
    </w:p>
    <w:p>
      <w:pPr>
        <w:spacing w:after="0" w:line="359" w:lineRule="exact"/>
        <w:rPr>
          <w:sz w:val="20"/>
          <w:szCs w:val="20"/>
          <w:color w:val="auto"/>
        </w:rPr>
      </w:pPr>
    </w:p>
    <w:p>
      <w:pPr>
        <w:ind w:left="491" w:hanging="491"/>
        <w:spacing w:after="0"/>
        <w:tabs>
          <w:tab w:leader="none" w:pos="491"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 in the Event of Illness and Accident</w:t>
      </w:r>
    </w:p>
    <w:p>
      <w:pPr>
        <w:spacing w:after="0" w:line="320" w:lineRule="exact"/>
        <w:rPr>
          <w:rFonts w:ascii="Arial" w:cs="Arial" w:eastAsia="Arial" w:hAnsi="Arial"/>
          <w:sz w:val="22"/>
          <w:szCs w:val="22"/>
          <w:b w:val="1"/>
          <w:bCs w:val="1"/>
          <w:color w:val="auto"/>
        </w:rPr>
      </w:pPr>
    </w:p>
    <w:p>
      <w:pPr>
        <w:jc w:val="both"/>
        <w:ind w:left="491"/>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In case of a temporary incapacity for work, resulting from illness, accident or from another reason for which Dr. Neumann is not responsible, he will continue to receive his remuneration under Clauses 2.1 and 2.2 above for a maximum period of up to six (6) months of the contractual term of this Agreement. Payments of third parties will be credited against this entitlement.</w:t>
      </w:r>
    </w:p>
    <w:p>
      <w:pPr>
        <w:spacing w:after="0" w:line="200" w:lineRule="exact"/>
        <w:rPr>
          <w:rFonts w:ascii="Arial" w:cs="Arial" w:eastAsia="Arial" w:hAnsi="Arial"/>
          <w:sz w:val="22"/>
          <w:szCs w:val="22"/>
          <w:b w:val="1"/>
          <w:bCs w:val="1"/>
          <w:color w:val="auto"/>
        </w:rPr>
      </w:pPr>
    </w:p>
    <w:p>
      <w:pPr>
        <w:spacing w:after="0" w:line="315" w:lineRule="exact"/>
        <w:rPr>
          <w:rFonts w:ascii="Arial" w:cs="Arial" w:eastAsia="Arial" w:hAnsi="Arial"/>
          <w:sz w:val="22"/>
          <w:szCs w:val="22"/>
          <w:b w:val="1"/>
          <w:bCs w:val="1"/>
          <w:color w:val="auto"/>
        </w:rPr>
      </w:pPr>
    </w:p>
    <w:p>
      <w:pPr>
        <w:ind w:left="491" w:hanging="491"/>
        <w:spacing w:after="0"/>
        <w:tabs>
          <w:tab w:leader="none" w:pos="491"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Insurances</w:t>
      </w:r>
    </w:p>
    <w:p>
      <w:pPr>
        <w:spacing w:after="0" w:line="320" w:lineRule="exact"/>
        <w:rPr>
          <w:sz w:val="20"/>
          <w:szCs w:val="20"/>
          <w:color w:val="auto"/>
        </w:rPr>
      </w:pPr>
    </w:p>
    <w:p>
      <w:pPr>
        <w:jc w:val="both"/>
        <w:ind w:left="491" w:hanging="485"/>
        <w:spacing w:after="0" w:line="251" w:lineRule="auto"/>
        <w:tabs>
          <w:tab w:leader="none" w:pos="471" w:val="left"/>
        </w:tabs>
        <w:rPr>
          <w:sz w:val="20"/>
          <w:szCs w:val="20"/>
          <w:color w:val="auto"/>
        </w:rPr>
      </w:pPr>
      <w:r>
        <w:rPr>
          <w:rFonts w:ascii="Arial" w:cs="Arial" w:eastAsia="Arial" w:hAnsi="Arial"/>
          <w:sz w:val="22"/>
          <w:szCs w:val="22"/>
          <w:color w:val="auto"/>
        </w:rPr>
        <w:t>7.1</w:t>
        <w:tab/>
        <w:t>For the term of this Agreement, the Company will conclude an accident insurance for Dr. Neumann according to the Company’s applicable policies.</w:t>
      </w:r>
    </w:p>
    <w:p>
      <w:pPr>
        <w:spacing w:after="0" w:line="281" w:lineRule="exact"/>
        <w:rPr>
          <w:sz w:val="20"/>
          <w:szCs w:val="20"/>
          <w:color w:val="auto"/>
        </w:rPr>
      </w:pPr>
    </w:p>
    <w:p>
      <w:pPr>
        <w:jc w:val="both"/>
        <w:ind w:left="491" w:hanging="485"/>
        <w:spacing w:after="0" w:line="297" w:lineRule="auto"/>
        <w:tabs>
          <w:tab w:leader="none" w:pos="471"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 xml:space="preserve">The Company will ensure that Dr. Neumann will be subject to a D&amp;O insurance in compliance with the ”GENERAL MOTORS COMPANY DIRECTORS AND OFFICERS INSURANCE COVERGAGE“ terms and conditions, as attached as </w:t>
      </w:r>
      <w:r>
        <w:rPr>
          <w:rFonts w:ascii="Arial" w:cs="Arial" w:eastAsia="Arial" w:hAnsi="Arial"/>
          <w:sz w:val="19"/>
          <w:szCs w:val="19"/>
          <w:b w:val="1"/>
          <w:bCs w:val="1"/>
          <w:color w:val="auto"/>
        </w:rPr>
        <w:t>Annex 4</w:t>
      </w:r>
      <w:r>
        <w:rPr>
          <w:rFonts w:ascii="Arial" w:cs="Arial" w:eastAsia="Arial" w:hAnsi="Arial"/>
          <w:sz w:val="19"/>
          <w:szCs w:val="19"/>
          <w:color w:val="auto"/>
        </w:rPr>
        <w:t xml:space="preserve"> and as amended from time to time.</w:t>
      </w:r>
    </w:p>
    <w:p>
      <w:pPr>
        <w:spacing w:after="0" w:line="200" w:lineRule="exact"/>
        <w:rPr>
          <w:sz w:val="20"/>
          <w:szCs w:val="20"/>
          <w:color w:val="auto"/>
        </w:rPr>
      </w:pPr>
    </w:p>
    <w:p>
      <w:pPr>
        <w:spacing w:after="0" w:line="306" w:lineRule="exact"/>
        <w:rPr>
          <w:sz w:val="20"/>
          <w:szCs w:val="20"/>
          <w:color w:val="auto"/>
        </w:rPr>
      </w:pPr>
    </w:p>
    <w:p>
      <w:pPr>
        <w:ind w:left="491" w:hanging="491"/>
        <w:spacing w:after="0"/>
        <w:tabs>
          <w:tab w:leader="none" w:pos="491"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320" w:lineRule="exact"/>
        <w:rPr>
          <w:rFonts w:ascii="Arial" w:cs="Arial" w:eastAsia="Arial" w:hAnsi="Arial"/>
          <w:sz w:val="22"/>
          <w:szCs w:val="22"/>
          <w:b w:val="1"/>
          <w:bCs w:val="1"/>
          <w:color w:val="auto"/>
        </w:rPr>
      </w:pPr>
    </w:p>
    <w:p>
      <w:pPr>
        <w:ind w:left="491"/>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Expenses and other expenditures will be settled by the Company in accordance with the applicable internal company expense policies, as amended from time to time.</w:t>
      </w:r>
    </w:p>
    <w:p>
      <w:pPr>
        <w:spacing w:after="0" w:line="200" w:lineRule="exact"/>
        <w:rPr>
          <w:rFonts w:ascii="Arial" w:cs="Arial" w:eastAsia="Arial" w:hAnsi="Arial"/>
          <w:sz w:val="22"/>
          <w:szCs w:val="22"/>
          <w:b w:val="1"/>
          <w:bCs w:val="1"/>
          <w:color w:val="auto"/>
        </w:rPr>
      </w:pPr>
    </w:p>
    <w:p>
      <w:pPr>
        <w:spacing w:after="0" w:line="345" w:lineRule="exact"/>
        <w:rPr>
          <w:rFonts w:ascii="Arial" w:cs="Arial" w:eastAsia="Arial" w:hAnsi="Arial"/>
          <w:sz w:val="22"/>
          <w:szCs w:val="22"/>
          <w:b w:val="1"/>
          <w:bCs w:val="1"/>
          <w:color w:val="auto"/>
        </w:rPr>
      </w:pPr>
    </w:p>
    <w:p>
      <w:pPr>
        <w:ind w:left="491" w:hanging="491"/>
        <w:spacing w:after="0"/>
        <w:tabs>
          <w:tab w:leader="none" w:pos="491"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IP Rights</w:t>
      </w:r>
    </w:p>
    <w:p>
      <w:pPr>
        <w:spacing w:after="0" w:line="320" w:lineRule="exact"/>
        <w:rPr>
          <w:rFonts w:ascii="Arial" w:cs="Arial" w:eastAsia="Arial" w:hAnsi="Arial"/>
          <w:sz w:val="22"/>
          <w:szCs w:val="22"/>
          <w:b w:val="1"/>
          <w:bCs w:val="1"/>
          <w:color w:val="auto"/>
        </w:rPr>
      </w:pPr>
    </w:p>
    <w:p>
      <w:pPr>
        <w:jc w:val="both"/>
        <w:ind w:left="491"/>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Any inventions, which Dr. Neumann creates during the term of this Agreement, will be governed by the provisions of the German Employee Inventions Act. The Company and its affiliated companies are exclusively and irrevocably entitled to utilize any technical or operational proposals for improvements made by Dr. Neumann, without further compensation being required.</w:t>
      </w:r>
    </w:p>
    <w:p>
      <w:pPr>
        <w:spacing w:after="0" w:line="200" w:lineRule="exact"/>
        <w:rPr>
          <w:rFonts w:ascii="Arial" w:cs="Arial" w:eastAsia="Arial" w:hAnsi="Arial"/>
          <w:sz w:val="22"/>
          <w:szCs w:val="22"/>
          <w:b w:val="1"/>
          <w:bCs w:val="1"/>
          <w:color w:val="auto"/>
        </w:rPr>
      </w:pPr>
    </w:p>
    <w:p>
      <w:pPr>
        <w:spacing w:after="0" w:line="315" w:lineRule="exact"/>
        <w:rPr>
          <w:rFonts w:ascii="Arial" w:cs="Arial" w:eastAsia="Arial" w:hAnsi="Arial"/>
          <w:sz w:val="22"/>
          <w:szCs w:val="22"/>
          <w:b w:val="1"/>
          <w:bCs w:val="1"/>
          <w:color w:val="auto"/>
        </w:rPr>
      </w:pPr>
    </w:p>
    <w:p>
      <w:pPr>
        <w:ind w:left="491" w:hanging="491"/>
        <w:spacing w:after="0"/>
        <w:tabs>
          <w:tab w:leader="none" w:pos="491"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320" w:lineRule="exact"/>
        <w:rPr>
          <w:sz w:val="20"/>
          <w:szCs w:val="20"/>
          <w:color w:val="auto"/>
        </w:rPr>
      </w:pPr>
    </w:p>
    <w:p>
      <w:pPr>
        <w:jc w:val="both"/>
        <w:ind w:left="491" w:hanging="485"/>
        <w:spacing w:after="0" w:line="238" w:lineRule="auto"/>
        <w:rPr>
          <w:sz w:val="20"/>
          <w:szCs w:val="20"/>
          <w:color w:val="auto"/>
        </w:rPr>
      </w:pPr>
      <w:r>
        <w:rPr>
          <w:rFonts w:ascii="Arial" w:cs="Arial" w:eastAsia="Arial" w:hAnsi="Arial"/>
          <w:sz w:val="22"/>
          <w:szCs w:val="22"/>
          <w:color w:val="auto"/>
        </w:rPr>
        <w:t>10.1 This Agreement will be concluded for a term of one year from the appointment of Dr. Neumann as chairman of the Management Board and shall start no later than on July 1, 2013. A premature termination of this Agreement is only possible for an important reason with immediate effect (§ 626 German Civil Code).</w:t>
      </w:r>
    </w:p>
    <w:p>
      <w:pPr>
        <w:sectPr>
          <w:pgSz w:w="11900" w:h="16838" w:orient="portrait"/>
          <w:cols w:equalWidth="0" w:num="1">
            <w:col w:w="9171"/>
          </w:cols>
          <w:pgMar w:left="1369" w:top="733" w:right="1359" w:bottom="665" w:gutter="0" w:footer="0" w:header="0"/>
        </w:sectPr>
      </w:pPr>
    </w:p>
    <w:p>
      <w:pPr>
        <w:spacing w:after="0" w:line="246"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171"/>
          </w:cols>
          <w:pgMar w:left="1369" w:top="733" w:right="1359" w:bottom="665" w:gutter="0" w:footer="0" w:header="0"/>
          <w:type w:val="continuous"/>
        </w:sectPr>
      </w:pPr>
    </w:p>
    <w:bookmarkStart w:id="195" w:name="page196"/>
    <w:bookmarkEnd w:id="195"/>
    <w:p>
      <w:pPr>
        <w:ind w:left="500" w:right="20" w:hanging="485"/>
        <w:spacing w:after="0" w:line="251" w:lineRule="auto"/>
        <w:rPr>
          <w:sz w:val="20"/>
          <w:szCs w:val="20"/>
          <w:color w:val="auto"/>
        </w:rPr>
      </w:pPr>
      <w:r>
        <w:rPr>
          <w:rFonts w:ascii="Arial" w:cs="Arial" w:eastAsia="Arial" w:hAnsi="Arial"/>
          <w:sz w:val="22"/>
          <w:szCs w:val="22"/>
          <w:color w:val="auto"/>
        </w:rPr>
        <w:t>10.2 The Parties agree to resume negotiations regarding a subsequent longer director’s service agreement three (3) months prior to the expiry of this Agreement at the latest.</w:t>
      </w:r>
    </w:p>
    <w:p>
      <w:pPr>
        <w:spacing w:after="0" w:line="281" w:lineRule="exact"/>
        <w:rPr>
          <w:sz w:val="20"/>
          <w:szCs w:val="20"/>
          <w:color w:val="auto"/>
        </w:rPr>
      </w:pPr>
    </w:p>
    <w:p>
      <w:pPr>
        <w:ind w:left="500" w:right="20" w:hanging="485"/>
        <w:spacing w:after="0" w:line="251" w:lineRule="auto"/>
        <w:rPr>
          <w:sz w:val="20"/>
          <w:szCs w:val="20"/>
          <w:color w:val="auto"/>
        </w:rPr>
      </w:pPr>
      <w:r>
        <w:rPr>
          <w:rFonts w:ascii="Arial" w:cs="Arial" w:eastAsia="Arial" w:hAnsi="Arial"/>
          <w:sz w:val="22"/>
          <w:szCs w:val="22"/>
          <w:color w:val="auto"/>
        </w:rPr>
        <w:t>10.3 Sec. 625 German Civil Code does not apply, i.e. in order to be effective a continuation of this Agreement requires a written arrangement.</w:t>
      </w:r>
    </w:p>
    <w:p>
      <w:pPr>
        <w:spacing w:after="0" w:line="200" w:lineRule="exact"/>
        <w:rPr>
          <w:sz w:val="20"/>
          <w:szCs w:val="20"/>
          <w:color w:val="auto"/>
        </w:rPr>
      </w:pPr>
    </w:p>
    <w:p>
      <w:pPr>
        <w:spacing w:after="0" w:line="345" w:lineRule="exact"/>
        <w:rPr>
          <w:sz w:val="20"/>
          <w:szCs w:val="20"/>
          <w:color w:val="auto"/>
        </w:rPr>
      </w:pPr>
    </w:p>
    <w:p>
      <w:pPr>
        <w:ind w:left="500" w:hanging="491"/>
        <w:spacing w:after="0"/>
        <w:tabs>
          <w:tab w:leader="none" w:pos="5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320" w:lineRule="exact"/>
        <w:rPr>
          <w:sz w:val="20"/>
          <w:szCs w:val="20"/>
          <w:color w:val="auto"/>
        </w:rPr>
      </w:pPr>
    </w:p>
    <w:p>
      <w:pPr>
        <w:jc w:val="both"/>
        <w:ind w:left="500" w:hanging="485"/>
        <w:spacing w:after="0" w:line="234" w:lineRule="auto"/>
        <w:rPr>
          <w:sz w:val="20"/>
          <w:szCs w:val="20"/>
          <w:color w:val="auto"/>
        </w:rPr>
      </w:pPr>
      <w:r>
        <w:rPr>
          <w:rFonts w:ascii="Arial" w:cs="Arial" w:eastAsia="Arial" w:hAnsi="Arial"/>
          <w:sz w:val="22"/>
          <w:szCs w:val="22"/>
          <w:color w:val="auto"/>
        </w:rPr>
        <w:t>11.1 During the term of this Agreement and at all times thereafter, Dr. Neumann will not disclose to any third party any business related matters not generally known, including such relating to the Company and its affiliates, and he shall not utilize business or operational secrets himself. This also applies to this Agreement and its annexes, which or whose contents Dr. Neumann will not disclose to any third party, unless the disclosure is required by law or serves the purpose of asserting or rejecting claims. His spouse, tax or legal advisors are no third parties within the aforementioned meaning.</w:t>
      </w:r>
    </w:p>
    <w:p>
      <w:pPr>
        <w:spacing w:after="0" w:line="299" w:lineRule="exact"/>
        <w:rPr>
          <w:sz w:val="20"/>
          <w:szCs w:val="20"/>
          <w:color w:val="auto"/>
        </w:rPr>
      </w:pPr>
    </w:p>
    <w:p>
      <w:pPr>
        <w:jc w:val="both"/>
        <w:ind w:left="500" w:hanging="485"/>
        <w:spacing w:after="0" w:line="236" w:lineRule="auto"/>
        <w:rPr>
          <w:sz w:val="20"/>
          <w:szCs w:val="20"/>
          <w:color w:val="auto"/>
        </w:rPr>
      </w:pPr>
      <w:r>
        <w:rPr>
          <w:rFonts w:ascii="Arial" w:cs="Arial" w:eastAsia="Arial" w:hAnsi="Arial"/>
          <w:sz w:val="22"/>
          <w:szCs w:val="22"/>
          <w:color w:val="auto"/>
        </w:rPr>
        <w:t>11.2 Dr. Neumann agrees to keep all business related documents and notes with care, including personal notes and electronic copies, and to return them upon request and in case of termination of this Agreement - without further request being required - to the Supervisory Board or an authorized person. There are no retention rights regarding such documents and notes (incl. its electronic copies).</w:t>
      </w:r>
    </w:p>
    <w:p>
      <w:pPr>
        <w:spacing w:after="0" w:line="200" w:lineRule="exact"/>
        <w:rPr>
          <w:sz w:val="20"/>
          <w:szCs w:val="20"/>
          <w:color w:val="auto"/>
        </w:rPr>
      </w:pPr>
    </w:p>
    <w:p>
      <w:pPr>
        <w:spacing w:after="0" w:line="360" w:lineRule="exact"/>
        <w:rPr>
          <w:sz w:val="20"/>
          <w:szCs w:val="20"/>
          <w:color w:val="auto"/>
        </w:rPr>
      </w:pPr>
    </w:p>
    <w:p>
      <w:pPr>
        <w:ind w:left="500" w:hanging="491"/>
        <w:spacing w:after="0"/>
        <w:tabs>
          <w:tab w:leader="none" w:pos="50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 and Non-solicitation</w:t>
      </w:r>
    </w:p>
    <w:p>
      <w:pPr>
        <w:spacing w:after="0" w:line="320" w:lineRule="exact"/>
        <w:rPr>
          <w:sz w:val="20"/>
          <w:szCs w:val="20"/>
          <w:color w:val="auto"/>
        </w:rPr>
      </w:pPr>
    </w:p>
    <w:p>
      <w:pPr>
        <w:jc w:val="both"/>
        <w:ind w:left="500" w:right="20" w:hanging="485"/>
        <w:spacing w:after="0" w:line="251" w:lineRule="auto"/>
        <w:rPr>
          <w:sz w:val="20"/>
          <w:szCs w:val="20"/>
          <w:color w:val="auto"/>
        </w:rPr>
      </w:pPr>
      <w:r>
        <w:rPr>
          <w:rFonts w:ascii="Arial" w:cs="Arial" w:eastAsia="Arial" w:hAnsi="Arial"/>
          <w:sz w:val="22"/>
          <w:szCs w:val="22"/>
          <w:color w:val="auto"/>
        </w:rPr>
        <w:t>12.1 During the term of this Agreement Dr. Neumann will be bound by the non-competition restrictions as laid down in Sec. 88 German Stock Cooperation Act.</w:t>
      </w:r>
    </w:p>
    <w:p>
      <w:pPr>
        <w:spacing w:after="0" w:line="281" w:lineRule="exact"/>
        <w:rPr>
          <w:sz w:val="20"/>
          <w:szCs w:val="20"/>
          <w:color w:val="auto"/>
        </w:rPr>
      </w:pPr>
    </w:p>
    <w:p>
      <w:pPr>
        <w:jc w:val="both"/>
        <w:ind w:left="500" w:hanging="485"/>
        <w:spacing w:after="0" w:line="238" w:lineRule="auto"/>
        <w:rPr>
          <w:sz w:val="20"/>
          <w:szCs w:val="20"/>
          <w:color w:val="auto"/>
        </w:rPr>
      </w:pPr>
      <w:r>
        <w:rPr>
          <w:rFonts w:ascii="Arial" w:cs="Arial" w:eastAsia="Arial" w:hAnsi="Arial"/>
          <w:sz w:val="22"/>
          <w:szCs w:val="22"/>
          <w:color w:val="auto"/>
        </w:rPr>
        <w:t>12.2 During the term of this Agreement and a period of two (2) years after its termination, Dr. Neumann must refrain from actively soliciting (or attempting to do so) for a third party, be it directly or indirectly, any employees, board members or freelancers of the Company or any affiliate of the Company.</w:t>
      </w:r>
    </w:p>
    <w:p>
      <w:pPr>
        <w:spacing w:after="0" w:line="200" w:lineRule="exact"/>
        <w:rPr>
          <w:sz w:val="20"/>
          <w:szCs w:val="20"/>
          <w:color w:val="auto"/>
        </w:rPr>
      </w:pPr>
    </w:p>
    <w:p>
      <w:pPr>
        <w:spacing w:after="0" w:line="357" w:lineRule="exact"/>
        <w:rPr>
          <w:sz w:val="20"/>
          <w:szCs w:val="20"/>
          <w:color w:val="auto"/>
        </w:rPr>
      </w:pPr>
    </w:p>
    <w:p>
      <w:pPr>
        <w:ind w:left="500" w:hanging="491"/>
        <w:spacing w:after="0"/>
        <w:tabs>
          <w:tab w:leader="none" w:pos="50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Condition Precedence / Claims of Volkswagen AG</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13.1 This Agreement is subject to the following condition precedents:</w:t>
      </w:r>
    </w:p>
    <w:p>
      <w:pPr>
        <w:spacing w:after="0" w:line="314" w:lineRule="exact"/>
        <w:rPr>
          <w:sz w:val="20"/>
          <w:szCs w:val="20"/>
          <w:color w:val="auto"/>
        </w:rPr>
      </w:pPr>
    </w:p>
    <w:p>
      <w:pPr>
        <w:ind w:left="680" w:hanging="131"/>
        <w:spacing w:after="0"/>
        <w:tabs>
          <w:tab w:leader="none" w:pos="6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Approval of the Supervisory Board of the Company to this Agreement.</w:t>
      </w:r>
    </w:p>
    <w:p>
      <w:pPr>
        <w:spacing w:after="0" w:line="38" w:lineRule="exact"/>
        <w:rPr>
          <w:rFonts w:ascii="Arial" w:cs="Arial" w:eastAsia="Arial" w:hAnsi="Arial"/>
          <w:sz w:val="22"/>
          <w:szCs w:val="22"/>
          <w:color w:val="auto"/>
        </w:rPr>
      </w:pPr>
    </w:p>
    <w:p>
      <w:pPr>
        <w:ind w:left="680" w:hanging="131"/>
        <w:spacing w:after="0"/>
        <w:tabs>
          <w:tab w:leader="none" w:pos="6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Signing of the </w:t>
      </w:r>
      <w:r>
        <w:rPr>
          <w:rFonts w:ascii="Arial" w:cs="Arial" w:eastAsia="Arial" w:hAnsi="Arial"/>
          <w:sz w:val="22"/>
          <w:szCs w:val="22"/>
          <w:b w:val="1"/>
          <w:bCs w:val="1"/>
          <w:color w:val="auto"/>
        </w:rPr>
        <w:t>Annex 3</w:t>
      </w:r>
      <w:r>
        <w:rPr>
          <w:rFonts w:ascii="Arial" w:cs="Arial" w:eastAsia="Arial" w:hAnsi="Arial"/>
          <w:sz w:val="22"/>
          <w:szCs w:val="22"/>
          <w:color w:val="auto"/>
        </w:rPr>
        <w:t xml:space="preserve"> by Dr. Neumann.</w:t>
      </w:r>
    </w:p>
    <w:p>
      <w:pPr>
        <w:spacing w:after="0" w:line="320" w:lineRule="exact"/>
        <w:rPr>
          <w:sz w:val="20"/>
          <w:szCs w:val="20"/>
          <w:color w:val="auto"/>
        </w:rPr>
      </w:pPr>
    </w:p>
    <w:p>
      <w:pPr>
        <w:jc w:val="both"/>
        <w:ind w:left="500" w:hanging="485"/>
        <w:spacing w:after="0" w:line="282" w:lineRule="auto"/>
        <w:rPr>
          <w:sz w:val="20"/>
          <w:szCs w:val="20"/>
          <w:color w:val="auto"/>
        </w:rPr>
      </w:pPr>
      <w:r>
        <w:rPr>
          <w:rFonts w:ascii="Arial" w:cs="Arial" w:eastAsia="Arial" w:hAnsi="Arial"/>
          <w:sz w:val="19"/>
          <w:szCs w:val="19"/>
          <w:color w:val="auto"/>
        </w:rPr>
        <w:t>13.2 Dr. Neumann will ask Volkswagen AG for an early release from his current restrictive covenants, ideally already as of January 1, 2013. Once it is known whether Volkswagen AG will ask Dr. Neumann for any financial concessions in return for an early release, the Parties will discuss an earlier start date of Dr. Neumann with the Company, i.e. an entry before July 1, 2013, and in particular whether and to which extent the Company will reimburse any upcoming costs.</w:t>
      </w:r>
    </w:p>
    <w:p>
      <w:pPr>
        <w:spacing w:after="0" w:line="200" w:lineRule="exact"/>
        <w:rPr>
          <w:sz w:val="20"/>
          <w:szCs w:val="20"/>
          <w:color w:val="auto"/>
        </w:rPr>
      </w:pPr>
    </w:p>
    <w:p>
      <w:pPr>
        <w:spacing w:after="0" w:line="320" w:lineRule="exact"/>
        <w:rPr>
          <w:sz w:val="20"/>
          <w:szCs w:val="20"/>
          <w:color w:val="auto"/>
        </w:rPr>
      </w:pPr>
    </w:p>
    <w:p>
      <w:pPr>
        <w:ind w:left="500" w:hanging="491"/>
        <w:spacing w:after="0"/>
        <w:tabs>
          <w:tab w:leader="none" w:pos="50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Final Provisions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180"/>
          </w:cols>
          <w:pgMar w:left="1360" w:top="1010" w:right="1359" w:bottom="1440" w:gutter="0" w:footer="0" w:header="0"/>
        </w:sectPr>
      </w:pPr>
    </w:p>
    <w:bookmarkStart w:id="196" w:name="page197"/>
    <w:bookmarkEnd w:id="196"/>
    <w:p>
      <w:pPr>
        <w:jc w:val="both"/>
        <w:ind w:left="420" w:hanging="485"/>
        <w:spacing w:after="0" w:line="277" w:lineRule="auto"/>
        <w:rPr>
          <w:sz w:val="20"/>
          <w:szCs w:val="20"/>
          <w:color w:val="auto"/>
        </w:rPr>
      </w:pPr>
      <w:r>
        <w:rPr>
          <w:rFonts w:ascii="Arial" w:cs="Arial" w:eastAsia="Arial" w:hAnsi="Arial"/>
          <w:sz w:val="19"/>
          <w:szCs w:val="19"/>
          <w:color w:val="auto"/>
        </w:rPr>
        <w:t>14.1 Should any provision of this Agreement be or become entirely or partly invalid or lose its validity at a later date, this shall not affect the remaining provisions. Insofar as legally permitted, a reasonable other provision shall be deemed to replace the invalid provision, which commercially corresponds as close as possible to a provision which had been agreed upon by the Parties, had they known the invalidity of the respective provision. This also applies if the invalidity of a provision relates to a quantity of performance or length of time; in this event the quantity of performance or length of time shall be deemed the quantity or length which is legally permissible.</w:t>
      </w:r>
    </w:p>
    <w:p>
      <w:pPr>
        <w:spacing w:after="0" w:line="261" w:lineRule="exact"/>
        <w:rPr>
          <w:sz w:val="20"/>
          <w:szCs w:val="20"/>
          <w:color w:val="auto"/>
        </w:rPr>
      </w:pPr>
    </w:p>
    <w:p>
      <w:pPr>
        <w:jc w:val="both"/>
        <w:ind w:left="420" w:hanging="485"/>
        <w:spacing w:after="0" w:line="252" w:lineRule="auto"/>
        <w:rPr>
          <w:sz w:val="20"/>
          <w:szCs w:val="20"/>
          <w:color w:val="auto"/>
        </w:rPr>
      </w:pPr>
      <w:r>
        <w:rPr>
          <w:rFonts w:ascii="Arial" w:cs="Arial" w:eastAsia="Arial" w:hAnsi="Arial"/>
          <w:sz w:val="21"/>
          <w:szCs w:val="21"/>
          <w:color w:val="auto"/>
        </w:rPr>
        <w:t>14.2 There are no further agreements. Modifications to and supplements of this Agreement must be made in writing in order to become effective. This also applies to the cancellation, amendment or supplementation of the aforementioned written form requirement. The priority of individual contractual agreements remains unaffected (Sec. 305b German Civil Code).</w:t>
      </w:r>
    </w:p>
    <w:p>
      <w:pPr>
        <w:spacing w:after="0" w:line="282" w:lineRule="exact"/>
        <w:rPr>
          <w:sz w:val="20"/>
          <w:szCs w:val="20"/>
          <w:color w:val="auto"/>
        </w:rPr>
      </w:pPr>
    </w:p>
    <w:p>
      <w:pPr>
        <w:jc w:val="both"/>
        <w:ind w:left="420" w:hanging="485"/>
        <w:spacing w:after="0"/>
        <w:rPr>
          <w:sz w:val="20"/>
          <w:szCs w:val="20"/>
          <w:color w:val="auto"/>
        </w:rPr>
      </w:pPr>
      <w:r>
        <w:rPr>
          <w:rFonts w:ascii="Arial" w:cs="Arial" w:eastAsia="Arial" w:hAnsi="Arial"/>
          <w:sz w:val="22"/>
          <w:szCs w:val="22"/>
          <w:color w:val="auto"/>
        </w:rPr>
        <w:t>14.3 Dr. Neumann agrees that any and all previous declarations in conjunction with the constitution of this service relationship will become irrelevant and will be entirely replaced by the terms and conditions of this Agreement.</w:t>
      </w:r>
    </w:p>
    <w:p>
      <w:pPr>
        <w:spacing w:after="0" w:line="295" w:lineRule="exact"/>
        <w:rPr>
          <w:sz w:val="20"/>
          <w:szCs w:val="20"/>
          <w:color w:val="auto"/>
        </w:rPr>
      </w:pPr>
    </w:p>
    <w:p>
      <w:pPr>
        <w:jc w:val="both"/>
        <w:ind w:left="420" w:hanging="485"/>
        <w:spacing w:after="0" w:line="251" w:lineRule="auto"/>
        <w:rPr>
          <w:sz w:val="20"/>
          <w:szCs w:val="20"/>
          <w:color w:val="auto"/>
        </w:rPr>
      </w:pPr>
      <w:r>
        <w:rPr>
          <w:rFonts w:ascii="Arial" w:cs="Arial" w:eastAsia="Arial" w:hAnsi="Arial"/>
          <w:sz w:val="22"/>
          <w:szCs w:val="22"/>
          <w:color w:val="auto"/>
        </w:rPr>
        <w:t xml:space="preserve">14.4 This Agreement will be executed in two originals. By signing this Agreement, Dr. Neumann acknowledges receipt of one original, including its </w:t>
      </w:r>
      <w:r>
        <w:rPr>
          <w:rFonts w:ascii="Arial" w:cs="Arial" w:eastAsia="Arial" w:hAnsi="Arial"/>
          <w:sz w:val="22"/>
          <w:szCs w:val="22"/>
          <w:b w:val="1"/>
          <w:bCs w:val="1"/>
          <w:color w:val="auto"/>
        </w:rPr>
        <w:t>Annexes</w:t>
      </w:r>
      <w:r>
        <w:rPr>
          <w:rFonts w:ascii="Arial" w:cs="Arial" w:eastAsia="Arial" w:hAnsi="Arial"/>
          <w:sz w:val="22"/>
          <w:szCs w:val="22"/>
          <w:color w:val="auto"/>
        </w:rPr>
        <w:t>.</w:t>
      </w:r>
    </w:p>
    <w:p>
      <w:pPr>
        <w:spacing w:after="0" w:line="281" w:lineRule="exact"/>
        <w:rPr>
          <w:sz w:val="20"/>
          <w:szCs w:val="20"/>
          <w:color w:val="auto"/>
        </w:rPr>
      </w:pPr>
    </w:p>
    <w:p>
      <w:pPr>
        <w:jc w:val="both"/>
        <w:ind w:left="420" w:hanging="485"/>
        <w:spacing w:after="0" w:line="287" w:lineRule="auto"/>
        <w:rPr>
          <w:sz w:val="20"/>
          <w:szCs w:val="20"/>
          <w:color w:val="auto"/>
        </w:rPr>
      </w:pPr>
      <w:r>
        <w:rPr>
          <w:rFonts w:ascii="Arial" w:cs="Arial" w:eastAsia="Arial" w:hAnsi="Arial"/>
          <w:sz w:val="19"/>
          <w:szCs w:val="19"/>
          <w:color w:val="auto"/>
        </w:rPr>
        <w:t>14.5 This Agreement shall be subject to the laws of the Federal Republic of Germany. The Parties agree, however, that this choice of law does not apply to the incentive plans of General Motors Company, in which Dr. Neumann will participate. These plans are not part of the service relationship with the Company and they will be governed by the relevant law, as stipulated in the relevant plan.</w:t>
      </w:r>
    </w:p>
    <w:p>
      <w:pPr>
        <w:spacing w:after="0" w:line="251" w:lineRule="exact"/>
        <w:rPr>
          <w:sz w:val="20"/>
          <w:szCs w:val="20"/>
          <w:color w:val="auto"/>
        </w:rPr>
      </w:pPr>
    </w:p>
    <w:p>
      <w:pPr>
        <w:jc w:val="both"/>
        <w:ind w:left="420" w:hanging="485"/>
        <w:spacing w:after="0" w:line="297" w:lineRule="auto"/>
        <w:rPr>
          <w:sz w:val="20"/>
          <w:szCs w:val="20"/>
          <w:color w:val="auto"/>
        </w:rPr>
      </w:pPr>
      <w:r>
        <w:rPr>
          <w:rFonts w:ascii="Arial" w:cs="Arial" w:eastAsia="Arial" w:hAnsi="Arial"/>
          <w:sz w:val="19"/>
          <w:szCs w:val="19"/>
          <w:color w:val="auto"/>
        </w:rPr>
        <w:t>14.6 The courts, competent for the Company, shall have exclusive jurisdiction for disputes arising out of this Agreement (with the exception of any disputes which arise from the General Motors Company incentive plans; for such disputes the relevant US courts shall have exclusive jurisdiction).</w:t>
      </w:r>
    </w:p>
    <w:p>
      <w:pPr>
        <w:spacing w:after="0" w:line="242" w:lineRule="exact"/>
        <w:rPr>
          <w:sz w:val="20"/>
          <w:szCs w:val="20"/>
          <w:color w:val="auto"/>
        </w:rPr>
      </w:pPr>
    </w:p>
    <w:p>
      <w:pPr>
        <w:jc w:val="both"/>
        <w:ind w:left="420" w:hanging="485"/>
        <w:spacing w:after="0" w:line="251" w:lineRule="auto"/>
        <w:rPr>
          <w:sz w:val="20"/>
          <w:szCs w:val="20"/>
          <w:color w:val="auto"/>
        </w:rPr>
      </w:pPr>
      <w:r>
        <w:rPr>
          <w:rFonts w:ascii="Arial" w:cs="Arial" w:eastAsia="Arial" w:hAnsi="Arial"/>
          <w:sz w:val="22"/>
          <w:szCs w:val="22"/>
          <w:color w:val="auto"/>
        </w:rPr>
        <w:t>14.7 In the event of inconsistencies between the German and the English version of this Agreement, the German version shall prevail.</w:t>
      </w:r>
    </w:p>
    <w:p>
      <w:pPr>
        <w:spacing w:after="0" w:line="200" w:lineRule="exact"/>
        <w:rPr>
          <w:sz w:val="20"/>
          <w:szCs w:val="20"/>
          <w:color w:val="auto"/>
        </w:rPr>
      </w:pPr>
    </w:p>
    <w:p>
      <w:pPr>
        <w:spacing w:after="0" w:line="345"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DR. KARL-THOMAS NEUMANN:</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Frankfurt, den December 19, 2012</w:t>
      </w: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Arial" w:cs="Arial" w:eastAsia="Arial" w:hAnsi="Arial"/>
          <w:sz w:val="22"/>
          <w:szCs w:val="22"/>
          <w:u w:val="single" w:color="auto"/>
          <w:color w:val="auto"/>
        </w:rPr>
        <w:t>/S/ DR. KARL-THOMAS NEUMANN</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Dr. Karl-Thomas Neumann</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ADAM OPEL AG:</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Rüsselsheim, den December 10, 2012</w:t>
      </w:r>
    </w:p>
    <w:p>
      <w:pPr>
        <w:spacing w:after="0" w:line="200" w:lineRule="exact"/>
        <w:rPr>
          <w:sz w:val="20"/>
          <w:szCs w:val="20"/>
          <w:color w:val="auto"/>
        </w:rPr>
      </w:pPr>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 STEPHEN GIRSKY</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Stephen Girsky</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20"/>
          <w:szCs w:val="20"/>
          <w:color w:val="auto"/>
        </w:rPr>
        <w:t>Chairman of the Supervisory Board</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Annexes 1 to 4</w:t>
      </w:r>
    </w:p>
    <w:p>
      <w:pPr>
        <w:sectPr>
          <w:pgSz w:w="11900" w:h="16838" w:orient="portrait"/>
          <w:cols w:equalWidth="0" w:num="1">
            <w:col w:w="9100"/>
          </w:cols>
          <w:pgMar w:left="1440" w:top="739" w:right="13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100"/>
          </w:cols>
          <w:pgMar w:left="1440" w:top="739" w:right="1359" w:bottom="1440" w:gutter="0" w:footer="0" w:header="0"/>
          <w:type w:val="continuous"/>
        </w:sectPr>
      </w:pPr>
    </w:p>
    <w:bookmarkStart w:id="197" w:name="page198"/>
    <w:bookmarkEnd w:id="197"/>
    <w:p>
      <w:pPr>
        <w:ind w:left="465"/>
        <w:spacing w:after="0"/>
        <w:rPr>
          <w:sz w:val="20"/>
          <w:szCs w:val="20"/>
          <w:color w:val="auto"/>
        </w:rPr>
      </w:pPr>
      <w:r>
        <w:rPr>
          <w:rFonts w:ascii="Arial" w:cs="Arial" w:eastAsia="Arial" w:hAnsi="Arial"/>
          <w:sz w:val="25"/>
          <w:szCs w:val="25"/>
          <w:b w:val="1"/>
          <w:bCs w:val="1"/>
          <w:color w:val="auto"/>
        </w:rPr>
        <w:t>Annex 3</w:t>
      </w:r>
    </w:p>
    <w:p>
      <w:pPr>
        <w:spacing w:after="0" w:line="34" w:lineRule="exact"/>
        <w:rPr>
          <w:sz w:val="20"/>
          <w:szCs w:val="20"/>
          <w:color w:val="auto"/>
        </w:rPr>
      </w:pPr>
    </w:p>
    <w:p>
      <w:pPr>
        <w:ind w:left="465" w:right="1760"/>
        <w:spacing w:after="0" w:line="238" w:lineRule="auto"/>
        <w:rPr>
          <w:sz w:val="20"/>
          <w:szCs w:val="20"/>
          <w:color w:val="auto"/>
        </w:rPr>
      </w:pPr>
      <w:r>
        <w:rPr>
          <w:rFonts w:ascii="Arial" w:cs="Arial" w:eastAsia="Arial" w:hAnsi="Arial"/>
          <w:sz w:val="22"/>
          <w:szCs w:val="22"/>
          <w:color w:val="auto"/>
        </w:rPr>
        <w:t>to the Director’s Service Agreement between Adam Opel AG and Dr. Karl-Thomas Neumann, dated December ___, 2012</w:t>
      </w:r>
    </w:p>
    <w:p>
      <w:pPr>
        <w:spacing w:after="0" w:line="309" w:lineRule="exact"/>
        <w:rPr>
          <w:sz w:val="20"/>
          <w:szCs w:val="20"/>
          <w:color w:val="auto"/>
        </w:rPr>
      </w:pPr>
    </w:p>
    <w:p>
      <w:pPr>
        <w:ind w:left="465" w:right="60"/>
        <w:spacing w:after="0" w:line="238" w:lineRule="auto"/>
        <w:rPr>
          <w:sz w:val="20"/>
          <w:szCs w:val="20"/>
          <w:color w:val="auto"/>
        </w:rPr>
      </w:pPr>
      <w:r>
        <w:rPr>
          <w:rFonts w:ascii="Arial" w:cs="Arial" w:eastAsia="Arial" w:hAnsi="Arial"/>
          <w:sz w:val="22"/>
          <w:szCs w:val="22"/>
          <w:color w:val="auto"/>
        </w:rPr>
        <w:t>By this Annex 3, General Motors Company confirms to Dr. Karl-Thomas Neumann for the term of his one year director’s service agreement with Adam Opel AG participation in the attached</w:t>
      </w:r>
    </w:p>
    <w:p>
      <w:pPr>
        <w:spacing w:after="0" w:line="134" w:lineRule="exact"/>
        <w:rPr>
          <w:sz w:val="20"/>
          <w:szCs w:val="20"/>
          <w:color w:val="auto"/>
        </w:rPr>
      </w:pPr>
    </w:p>
    <w:p>
      <w:pPr>
        <w:ind w:left="965" w:hanging="128"/>
        <w:spacing w:after="0"/>
        <w:tabs>
          <w:tab w:leader="none" w:pos="96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General Motors Company Salary Stock Plan (hereinafter “</w:t>
      </w:r>
      <w:r>
        <w:rPr>
          <w:rFonts w:ascii="Arial" w:cs="Arial" w:eastAsia="Arial" w:hAnsi="Arial"/>
          <w:sz w:val="22"/>
          <w:szCs w:val="22"/>
          <w:b w:val="1"/>
          <w:bCs w:val="1"/>
          <w:color w:val="auto"/>
        </w:rPr>
        <w:t>SSP</w:t>
      </w:r>
      <w:r>
        <w:rPr>
          <w:rFonts w:ascii="Arial" w:cs="Arial" w:eastAsia="Arial" w:hAnsi="Arial"/>
          <w:sz w:val="22"/>
          <w:szCs w:val="22"/>
          <w:color w:val="auto"/>
        </w:rPr>
        <w:t>”), and</w:t>
      </w:r>
    </w:p>
    <w:p>
      <w:pPr>
        <w:spacing w:after="0" w:line="16" w:lineRule="exact"/>
        <w:rPr>
          <w:rFonts w:ascii="Arial" w:cs="Arial" w:eastAsia="Arial" w:hAnsi="Arial"/>
          <w:sz w:val="22"/>
          <w:szCs w:val="22"/>
          <w:color w:val="auto"/>
        </w:rPr>
      </w:pPr>
    </w:p>
    <w:p>
      <w:pPr>
        <w:ind w:left="965" w:hanging="128"/>
        <w:spacing w:after="0"/>
        <w:tabs>
          <w:tab w:leader="none" w:pos="96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General Motors Company Long-Term Incentive Plan (hereinafter “</w:t>
      </w:r>
      <w:r>
        <w:rPr>
          <w:rFonts w:ascii="Arial" w:cs="Arial" w:eastAsia="Arial" w:hAnsi="Arial"/>
          <w:sz w:val="22"/>
          <w:szCs w:val="22"/>
          <w:b w:val="1"/>
          <w:bCs w:val="1"/>
          <w:color w:val="auto"/>
        </w:rPr>
        <w:t>LTIP</w:t>
      </w:r>
      <w:r>
        <w:rPr>
          <w:rFonts w:ascii="Arial" w:cs="Arial" w:eastAsia="Arial" w:hAnsi="Arial"/>
          <w:sz w:val="22"/>
          <w:szCs w:val="22"/>
          <w:color w:val="auto"/>
        </w:rPr>
        <w:t>”),</w:t>
      </w:r>
    </w:p>
    <w:p>
      <w:pPr>
        <w:spacing w:after="0" w:line="383" w:lineRule="exact"/>
        <w:rPr>
          <w:sz w:val="20"/>
          <w:szCs w:val="20"/>
          <w:color w:val="auto"/>
        </w:rPr>
      </w:pPr>
    </w:p>
    <w:p>
      <w:pPr>
        <w:jc w:val="both"/>
        <w:ind w:left="465" w:right="40"/>
        <w:spacing w:after="0" w:line="246" w:lineRule="auto"/>
        <w:rPr>
          <w:sz w:val="20"/>
          <w:szCs w:val="20"/>
          <w:color w:val="auto"/>
        </w:rPr>
      </w:pPr>
      <w:r>
        <w:rPr>
          <w:rFonts w:ascii="Arial" w:cs="Arial" w:eastAsia="Arial" w:hAnsi="Arial"/>
          <w:sz w:val="22"/>
          <w:szCs w:val="22"/>
          <w:color w:val="auto"/>
        </w:rPr>
        <w:t>including its affiliated administration and operating rules (hereinafter both together “</w:t>
      </w:r>
      <w:r>
        <w:rPr>
          <w:rFonts w:ascii="Arial" w:cs="Arial" w:eastAsia="Arial" w:hAnsi="Arial"/>
          <w:sz w:val="22"/>
          <w:szCs w:val="22"/>
          <w:b w:val="1"/>
          <w:bCs w:val="1"/>
          <w:color w:val="auto"/>
        </w:rPr>
        <w:t>GM Compensation Plans</w:t>
      </w:r>
      <w:r>
        <w:rPr>
          <w:rFonts w:ascii="Arial" w:cs="Arial" w:eastAsia="Arial" w:hAnsi="Arial"/>
          <w:sz w:val="22"/>
          <w:szCs w:val="22"/>
          <w:color w:val="auto"/>
        </w:rPr>
        <w:t>”), subject to the following special terms and conditions which supersede any contravening rules of the GM Compensation Plans: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5" w:hanging="465"/>
        <w:spacing w:after="0"/>
        <w:tabs>
          <w:tab w:leader="none" w:pos="465"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Participation in the General Motors Company Salary Stock Plan (SSP)</w:t>
      </w:r>
    </w:p>
    <w:p>
      <w:pPr>
        <w:spacing w:after="0" w:line="320" w:lineRule="exact"/>
        <w:rPr>
          <w:sz w:val="20"/>
          <w:szCs w:val="20"/>
          <w:color w:val="auto"/>
        </w:rPr>
      </w:pPr>
    </w:p>
    <w:p>
      <w:pPr>
        <w:jc w:val="both"/>
        <w:ind w:left="465" w:right="60" w:hanging="458"/>
        <w:spacing w:after="0" w:line="297" w:lineRule="auto"/>
        <w:tabs>
          <w:tab w:leader="none" w:pos="445"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As a general plan rule, any award and grant of any salary stock units under the SSP would be at the discretion of Executive Compensation Committee of the General Motors Company (hereinafter “Compensation Committee”) and the Compensation Committee would usually decide on an annual basis on the target award for each calendar year separately.</w:t>
      </w:r>
    </w:p>
    <w:p>
      <w:pPr>
        <w:spacing w:after="0" w:line="242" w:lineRule="exact"/>
        <w:rPr>
          <w:sz w:val="20"/>
          <w:szCs w:val="20"/>
          <w:color w:val="auto"/>
        </w:rPr>
      </w:pPr>
    </w:p>
    <w:p>
      <w:pPr>
        <w:jc w:val="both"/>
        <w:ind w:left="465" w:right="40" w:hanging="458"/>
        <w:spacing w:after="0"/>
        <w:tabs>
          <w:tab w:leader="none" w:pos="445" w:val="left"/>
        </w:tabs>
        <w:rPr>
          <w:sz w:val="20"/>
          <w:szCs w:val="20"/>
          <w:color w:val="auto"/>
        </w:rPr>
      </w:pPr>
      <w:r>
        <w:rPr>
          <w:rFonts w:ascii="Arial" w:cs="Arial" w:eastAsia="Arial" w:hAnsi="Arial"/>
          <w:sz w:val="22"/>
          <w:szCs w:val="22"/>
          <w:color w:val="auto"/>
        </w:rPr>
        <w:t>1.2</w:t>
        <w:tab/>
        <w:t>As an exception to these rules, the Compensation Committee has pre-approved for the term of Dr. Neumann’s one year director’s service agreement with Adam Opel AG a salary stock grant for Dr. Neumann in the amount of USD 2,200,000 (hereinafter “</w:t>
      </w:r>
      <w:r>
        <w:rPr>
          <w:rFonts w:ascii="Arial" w:cs="Arial" w:eastAsia="Arial" w:hAnsi="Arial"/>
          <w:sz w:val="22"/>
          <w:szCs w:val="22"/>
          <w:b w:val="1"/>
          <w:bCs w:val="1"/>
          <w:color w:val="auto"/>
        </w:rPr>
        <w:t>Salary Stock Award</w:t>
      </w:r>
      <w:r>
        <w:rPr>
          <w:rFonts w:ascii="Arial" w:cs="Arial" w:eastAsia="Arial" w:hAnsi="Arial"/>
          <w:sz w:val="22"/>
          <w:szCs w:val="22"/>
          <w:color w:val="auto"/>
        </w:rPr>
        <w:t>”).</w:t>
      </w:r>
    </w:p>
    <w:p>
      <w:pPr>
        <w:spacing w:after="0" w:line="295" w:lineRule="exact"/>
        <w:rPr>
          <w:sz w:val="20"/>
          <w:szCs w:val="20"/>
          <w:color w:val="auto"/>
        </w:rPr>
      </w:pPr>
    </w:p>
    <w:p>
      <w:pPr>
        <w:jc w:val="both"/>
        <w:ind w:left="465" w:right="40" w:hanging="458"/>
        <w:spacing w:after="0" w:line="238" w:lineRule="auto"/>
        <w:tabs>
          <w:tab w:leader="none" w:pos="445" w:val="left"/>
        </w:tabs>
        <w:rPr>
          <w:sz w:val="20"/>
          <w:szCs w:val="20"/>
          <w:color w:val="auto"/>
        </w:rPr>
      </w:pPr>
      <w:r>
        <w:rPr>
          <w:rFonts w:ascii="Arial" w:cs="Arial" w:eastAsia="Arial" w:hAnsi="Arial"/>
          <w:sz w:val="22"/>
          <w:szCs w:val="22"/>
          <w:color w:val="auto"/>
        </w:rPr>
        <w:t>1.3</w:t>
        <w:tab/>
        <w:t>The Salary Stock Award is accrued and earned each pay period (i.e. each month) and then over one (1) year converted to units each quarter. The quarterly converted value of USD 550,000 will be granted on the last trading day of each fiscal year quarter, based on the average of the high and low GM stock price on the date of the grant. The shares are fixed on that date and are paid out in thirds over the next three years, as follows:</w:t>
      </w:r>
    </w:p>
    <w:p>
      <w:pPr>
        <w:spacing w:after="0" w:line="268" w:lineRule="exact"/>
        <w:rPr>
          <w:sz w:val="20"/>
          <w:szCs w:val="20"/>
          <w:color w:val="auto"/>
        </w:rPr>
      </w:pPr>
    </w:p>
    <w:tbl>
      <w:tblPr>
        <w:tblLayout w:type="fixed"/>
        <w:tblInd w:w="1135" w:type="dxa"/>
        <w:tblCellMar>
          <w:top w:w="0" w:type="dxa"/>
          <w:left w:w="0" w:type="dxa"/>
          <w:bottom w:w="0" w:type="dxa"/>
          <w:right w:w="0" w:type="dxa"/>
        </w:tblCellMar>
      </w:tblPr>
      <w:tr>
        <w:trPr>
          <w:trHeight w:val="256"/>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9"/>
              </w:rPr>
              <w:t>Current Year FY</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Value Converted</w:t>
            </w:r>
          </w:p>
        </w:tc>
        <w:tc>
          <w:tcPr>
            <w:tcW w:w="2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1 year after grant</w:t>
            </w: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2 years after grant</w:t>
            </w:r>
          </w:p>
        </w:tc>
        <w:tc>
          <w:tcPr>
            <w:tcW w:w="2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3 years after grant</w:t>
            </w:r>
          </w:p>
        </w:tc>
      </w:tr>
      <w:tr>
        <w:trPr>
          <w:trHeight w:val="29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Quarter</w:t>
            </w:r>
          </w:p>
        </w:tc>
        <w:tc>
          <w:tcPr>
            <w:tcW w:w="20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9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End</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 shares</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Settlement *</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Settlement *</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Settlement *</w:t>
            </w:r>
          </w:p>
        </w:tc>
      </w:tr>
      <w:tr>
        <w:trPr>
          <w:trHeight w:val="29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1st</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550,000</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183,333.34</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r>
      <w:tr>
        <w:trPr>
          <w:trHeight w:val="29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2nd</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550,000</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183,333.34</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r>
      <w:tr>
        <w:trPr>
          <w:trHeight w:val="29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3rd</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550,000</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183,333.34</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r>
      <w:tr>
        <w:trPr>
          <w:trHeight w:val="29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4th</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550,000</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183,333.34</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183,333.33</w:t>
            </w:r>
          </w:p>
        </w:tc>
      </w:tr>
      <w:tr>
        <w:trPr>
          <w:trHeight w:val="291"/>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2,200,000</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733,333.36</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733,333.32</w:t>
            </w:r>
          </w:p>
        </w:tc>
        <w:tc>
          <w:tcPr>
            <w:tcW w:w="2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USD 733,333.32</w:t>
            </w:r>
          </w:p>
        </w:tc>
      </w:tr>
    </w:tbl>
    <w:p>
      <w:pPr>
        <w:spacing w:after="0" w:line="276" w:lineRule="exact"/>
        <w:rPr>
          <w:sz w:val="20"/>
          <w:szCs w:val="20"/>
          <w:color w:val="auto"/>
        </w:rPr>
      </w:pPr>
    </w:p>
    <w:p>
      <w:pPr>
        <w:jc w:val="both"/>
        <w:ind w:left="465" w:right="40"/>
        <w:spacing w:after="0"/>
        <w:rPr>
          <w:sz w:val="20"/>
          <w:szCs w:val="20"/>
          <w:color w:val="auto"/>
        </w:rPr>
      </w:pPr>
      <w:r>
        <w:rPr>
          <w:rFonts w:ascii="Arial" w:cs="Arial" w:eastAsia="Arial" w:hAnsi="Arial"/>
          <w:sz w:val="22"/>
          <w:szCs w:val="22"/>
          <w:color w:val="auto"/>
        </w:rPr>
        <w:t>* Actual value paid out will vary based on the stock price on the respective settlement date at the end of each quarter. All value based on USD and to be converted in EUR at the respective settlement date, based on the exchange rate, applicable at that time.</w:t>
      </w:r>
    </w:p>
    <w:p>
      <w:pPr>
        <w:spacing w:after="0" w:line="200" w:lineRule="exact"/>
        <w:rPr>
          <w:sz w:val="20"/>
          <w:szCs w:val="20"/>
          <w:color w:val="auto"/>
        </w:rPr>
      </w:pPr>
    </w:p>
    <w:p>
      <w:pPr>
        <w:spacing w:after="0" w:line="358" w:lineRule="exact"/>
        <w:rPr>
          <w:sz w:val="20"/>
          <w:szCs w:val="20"/>
          <w:color w:val="auto"/>
        </w:rPr>
      </w:pPr>
    </w:p>
    <w:p>
      <w:pPr>
        <w:ind w:left="465" w:hanging="465"/>
        <w:spacing w:after="0"/>
        <w:tabs>
          <w:tab w:leader="none" w:pos="465"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Participation in the General Motors Company Long-Term Incentive Plan (LTIP)</w:t>
      </w:r>
    </w:p>
    <w:p>
      <w:pPr>
        <w:sectPr>
          <w:pgSz w:w="11900" w:h="16838" w:orient="portrait"/>
          <w:cols w:equalWidth="0" w:num="1">
            <w:col w:w="11405"/>
          </w:cols>
          <w:pgMar w:left="275" w:top="730" w:right="2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55"/>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5"/>
          </w:cols>
          <w:pgMar w:left="275" w:top="730" w:right="219" w:bottom="1440" w:gutter="0" w:footer="0" w:header="0"/>
          <w:type w:val="continuous"/>
        </w:sectPr>
      </w:pPr>
    </w:p>
    <w:bookmarkStart w:id="198" w:name="page199"/>
    <w:bookmarkEnd w:id="198"/>
    <w:p>
      <w:pPr>
        <w:jc w:val="both"/>
        <w:ind w:left="465" w:hanging="458"/>
        <w:spacing w:after="0" w:line="251" w:lineRule="auto"/>
        <w:tabs>
          <w:tab w:leader="none" w:pos="445" w:val="left"/>
        </w:tabs>
        <w:rPr>
          <w:sz w:val="20"/>
          <w:szCs w:val="20"/>
          <w:color w:val="auto"/>
        </w:rPr>
      </w:pPr>
      <w:r>
        <w:rPr>
          <w:rFonts w:ascii="Arial" w:cs="Arial" w:eastAsia="Arial" w:hAnsi="Arial"/>
          <w:sz w:val="22"/>
          <w:szCs w:val="22"/>
          <w:color w:val="auto"/>
        </w:rPr>
        <w:t>2.1</w:t>
        <w:tab/>
        <w:t>As a general plan rule, any LTIP award would be based on both Dr. Neumann’s performance and the performance of General Motors Company, as determined by the Compensation Committee.</w:t>
      </w:r>
    </w:p>
    <w:p>
      <w:pPr>
        <w:spacing w:after="0" w:line="281" w:lineRule="exact"/>
        <w:rPr>
          <w:sz w:val="20"/>
          <w:szCs w:val="20"/>
          <w:color w:val="auto"/>
        </w:rPr>
      </w:pPr>
    </w:p>
    <w:p>
      <w:pPr>
        <w:jc w:val="both"/>
        <w:ind w:left="465" w:hanging="458"/>
        <w:spacing w:after="0" w:line="247" w:lineRule="auto"/>
        <w:tabs>
          <w:tab w:leader="none" w:pos="445"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As an exception to these rules, the Compensation Committee has pre-approved for the term of Dr. Neumann’s one year director’s service agreement with Adam Opel AG an annual restricted stock unit grant in the amount of USD 1,500,000 (hereinafter “</w:t>
      </w:r>
      <w:r>
        <w:rPr>
          <w:rFonts w:ascii="Arial" w:cs="Arial" w:eastAsia="Arial" w:hAnsi="Arial"/>
          <w:sz w:val="21"/>
          <w:szCs w:val="21"/>
          <w:b w:val="1"/>
          <w:bCs w:val="1"/>
          <w:color w:val="auto"/>
        </w:rPr>
        <w:t>RSU Award</w:t>
      </w:r>
      <w:r>
        <w:rPr>
          <w:rFonts w:ascii="Arial" w:cs="Arial" w:eastAsia="Arial" w:hAnsi="Arial"/>
          <w:sz w:val="21"/>
          <w:szCs w:val="21"/>
          <w:color w:val="auto"/>
        </w:rPr>
        <w:t>”), which does not depend on individual or company performance and which is granted and converted to shares based on the Fair Market Value (hereinafter “</w:t>
      </w:r>
      <w:r>
        <w:rPr>
          <w:rFonts w:ascii="Arial" w:cs="Arial" w:eastAsia="Arial" w:hAnsi="Arial"/>
          <w:sz w:val="21"/>
          <w:szCs w:val="21"/>
          <w:b w:val="1"/>
          <w:bCs w:val="1"/>
          <w:color w:val="auto"/>
        </w:rPr>
        <w:t>FMV</w:t>
      </w:r>
      <w:r>
        <w:rPr>
          <w:rFonts w:ascii="Arial" w:cs="Arial" w:eastAsia="Arial" w:hAnsi="Arial"/>
          <w:sz w:val="21"/>
          <w:szCs w:val="21"/>
          <w:color w:val="auto"/>
        </w:rPr>
        <w:t>”) on the first Monday of the quarter following the date of the commencement of Dr. Neumann’s service relationship with Adam Opel AG, whereby FMV is the average of the high and the low stock price on the aforementioned date of the grant. The RSU Award will then be vested and delivered to Dr. Neumann's account in two equal installments:</w:t>
      </w:r>
    </w:p>
    <w:p>
      <w:pPr>
        <w:spacing w:after="0" w:line="286" w:lineRule="exact"/>
        <w:rPr>
          <w:sz w:val="20"/>
          <w:szCs w:val="20"/>
          <w:color w:val="auto"/>
        </w:rPr>
      </w:pPr>
    </w:p>
    <w:p>
      <w:pPr>
        <w:ind w:left="465" w:right="20"/>
        <w:spacing w:after="0" w:line="251" w:lineRule="auto"/>
        <w:rPr>
          <w:sz w:val="20"/>
          <w:szCs w:val="20"/>
          <w:color w:val="auto"/>
        </w:rPr>
      </w:pPr>
      <w:r>
        <w:rPr>
          <w:rFonts w:ascii="Arial" w:cs="Arial" w:eastAsia="Arial" w:hAnsi="Arial"/>
          <w:sz w:val="22"/>
          <w:szCs w:val="22"/>
          <w:color w:val="auto"/>
        </w:rPr>
        <w:t>2.2.1 the first installment will be vested and delivered on the last day of the one (1) year term of the Director’s Service Agreement with Adam Opel AG (hereinafter “</w:t>
      </w:r>
      <w:r>
        <w:rPr>
          <w:rFonts w:ascii="Arial" w:cs="Arial" w:eastAsia="Arial" w:hAnsi="Arial"/>
          <w:sz w:val="22"/>
          <w:szCs w:val="22"/>
          <w:b w:val="1"/>
          <w:bCs w:val="1"/>
          <w:color w:val="auto"/>
        </w:rPr>
        <w:t>RSU Vesting Date 1</w:t>
      </w:r>
      <w:r>
        <w:rPr>
          <w:rFonts w:ascii="Arial" w:cs="Arial" w:eastAsia="Arial" w:hAnsi="Arial"/>
          <w:sz w:val="22"/>
          <w:szCs w:val="22"/>
          <w:color w:val="auto"/>
        </w:rPr>
        <w:t>”), and</w:t>
      </w:r>
    </w:p>
    <w:p>
      <w:pPr>
        <w:spacing w:after="0" w:line="275" w:lineRule="exact"/>
        <w:rPr>
          <w:sz w:val="20"/>
          <w:szCs w:val="20"/>
          <w:color w:val="auto"/>
        </w:rPr>
      </w:pPr>
    </w:p>
    <w:p>
      <w:pPr>
        <w:ind w:left="465" w:right="20"/>
        <w:spacing w:after="0" w:line="256" w:lineRule="auto"/>
        <w:rPr>
          <w:sz w:val="20"/>
          <w:szCs w:val="20"/>
          <w:color w:val="auto"/>
        </w:rPr>
      </w:pPr>
      <w:r>
        <w:rPr>
          <w:rFonts w:ascii="Arial" w:cs="Arial" w:eastAsia="Arial" w:hAnsi="Arial"/>
          <w:sz w:val="22"/>
          <w:szCs w:val="22"/>
          <w:color w:val="auto"/>
        </w:rPr>
        <w:t>2.2.2 the second installment will be vested and delivered one (1) year after RSU Vesting Date 1 (hereinafter “</w:t>
      </w:r>
      <w:r>
        <w:rPr>
          <w:rFonts w:ascii="Arial" w:cs="Arial" w:eastAsia="Arial" w:hAnsi="Arial"/>
          <w:sz w:val="22"/>
          <w:szCs w:val="22"/>
          <w:b w:val="1"/>
          <w:bCs w:val="1"/>
          <w:color w:val="auto"/>
        </w:rPr>
        <w:t>RSU Vesting</w:t>
      </w:r>
      <w:r>
        <w:rPr>
          <w:rFonts w:ascii="Arial" w:cs="Arial" w:eastAsia="Arial" w:hAnsi="Arial"/>
          <w:sz w:val="22"/>
          <w:szCs w:val="22"/>
          <w:color w:val="auto"/>
        </w:rPr>
        <w:t xml:space="preserve"> </w:t>
      </w:r>
      <w:r>
        <w:rPr>
          <w:rFonts w:ascii="Arial" w:cs="Arial" w:eastAsia="Arial" w:hAnsi="Arial"/>
          <w:sz w:val="22"/>
          <w:szCs w:val="22"/>
          <w:b w:val="1"/>
          <w:bCs w:val="1"/>
          <w:color w:val="auto"/>
        </w:rPr>
        <w:t>Date 2</w:t>
      </w:r>
      <w:r>
        <w:rPr>
          <w:rFonts w:ascii="Arial" w:cs="Arial" w:eastAsia="Arial" w:hAnsi="Arial"/>
          <w:sz w:val="22"/>
          <w:szCs w:val="22"/>
          <w:color w:val="auto"/>
        </w:rPr>
        <w:t>”).</w:t>
      </w:r>
    </w:p>
    <w:p>
      <w:pPr>
        <w:spacing w:after="0" w:line="277" w:lineRule="exact"/>
        <w:rPr>
          <w:sz w:val="20"/>
          <w:szCs w:val="20"/>
          <w:color w:val="auto"/>
        </w:rPr>
      </w:pPr>
    </w:p>
    <w:p>
      <w:pPr>
        <w:ind w:left="465" w:hanging="458"/>
        <w:spacing w:after="0" w:line="251" w:lineRule="auto"/>
        <w:tabs>
          <w:tab w:leader="none" w:pos="445" w:val="left"/>
        </w:tabs>
        <w:rPr>
          <w:sz w:val="20"/>
          <w:szCs w:val="20"/>
          <w:color w:val="auto"/>
        </w:rPr>
      </w:pPr>
      <w:r>
        <w:rPr>
          <w:rFonts w:ascii="Arial" w:cs="Arial" w:eastAsia="Arial" w:hAnsi="Arial"/>
          <w:sz w:val="22"/>
          <w:szCs w:val="22"/>
          <w:color w:val="auto"/>
        </w:rPr>
        <w:t>2.3</w:t>
        <w:tab/>
        <w:t>In order for the aforementioned installments of the RSU Award to be delivered to Dr. Neumann, a service relationship between Dr. Neumann and Adam Opel AG must exist at the respective RSU Vesting Date.</w:t>
      </w:r>
    </w:p>
    <w:p>
      <w:pPr>
        <w:spacing w:after="0" w:line="200" w:lineRule="exact"/>
        <w:rPr>
          <w:sz w:val="20"/>
          <w:szCs w:val="20"/>
          <w:color w:val="auto"/>
        </w:rPr>
      </w:pPr>
    </w:p>
    <w:p>
      <w:pPr>
        <w:spacing w:after="0" w:line="345" w:lineRule="exact"/>
        <w:rPr>
          <w:sz w:val="20"/>
          <w:szCs w:val="20"/>
          <w:color w:val="auto"/>
        </w:rPr>
      </w:pPr>
    </w:p>
    <w:p>
      <w:pPr>
        <w:ind w:left="465" w:hanging="465"/>
        <w:spacing w:after="0"/>
        <w:tabs>
          <w:tab w:leader="none" w:pos="465"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General Rules, Miscellaneous</w:t>
      </w:r>
    </w:p>
    <w:p>
      <w:pPr>
        <w:spacing w:after="0" w:line="320" w:lineRule="exact"/>
        <w:rPr>
          <w:sz w:val="20"/>
          <w:szCs w:val="20"/>
          <w:color w:val="auto"/>
        </w:rPr>
      </w:pPr>
    </w:p>
    <w:p>
      <w:pPr>
        <w:jc w:val="both"/>
        <w:ind w:left="465" w:right="20" w:hanging="458"/>
        <w:spacing w:after="0" w:line="252" w:lineRule="auto"/>
        <w:tabs>
          <w:tab w:leader="none" w:pos="445"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The Salary Stock and RSU Awards are, whether already granted or not, non-forfeitable with the exclusive exception of inimical acts being defined as a criminal act or an intentional act causing substantial harm to a General Motors, Opel or Vauxhall company. Once the shares under the RSU Award are delivered to Dr. Neumann, he can immediately sell them at his sole discretion subject to SEC regulations regarding insider trading rules.</w:t>
      </w:r>
    </w:p>
    <w:p>
      <w:pPr>
        <w:spacing w:after="0" w:line="282" w:lineRule="exact"/>
        <w:rPr>
          <w:sz w:val="20"/>
          <w:szCs w:val="20"/>
          <w:color w:val="auto"/>
        </w:rPr>
      </w:pPr>
    </w:p>
    <w:p>
      <w:pPr>
        <w:jc w:val="both"/>
        <w:ind w:left="465" w:hanging="458"/>
        <w:spacing w:after="0" w:line="238" w:lineRule="auto"/>
        <w:tabs>
          <w:tab w:leader="none" w:pos="445" w:val="left"/>
        </w:tabs>
        <w:rPr>
          <w:sz w:val="20"/>
          <w:szCs w:val="20"/>
          <w:color w:val="auto"/>
        </w:rPr>
      </w:pPr>
      <w:r>
        <w:rPr>
          <w:rFonts w:ascii="Arial" w:cs="Arial" w:eastAsia="Arial" w:hAnsi="Arial"/>
          <w:sz w:val="22"/>
          <w:szCs w:val="22"/>
          <w:color w:val="auto"/>
        </w:rPr>
        <w:t>3.2</w:t>
        <w:tab/>
        <w:t>Any payments made under the GM Compensation Plans (including this Annex 3) are gross payments and Dr. Neumann will be responsible for the payment of all taxes applicable to the above, including income tax, capital gains tax, and any other relevant taxes in any other jurisdiction, without any entitlement to their reimbursement by General Motors Company or Adam Opel AG.</w:t>
      </w:r>
    </w:p>
    <w:p>
      <w:pPr>
        <w:spacing w:after="0" w:line="293" w:lineRule="exact"/>
        <w:rPr>
          <w:sz w:val="20"/>
          <w:szCs w:val="20"/>
          <w:color w:val="auto"/>
        </w:rPr>
      </w:pPr>
    </w:p>
    <w:p>
      <w:pPr>
        <w:jc w:val="both"/>
        <w:ind w:left="465" w:hanging="458"/>
        <w:spacing w:after="0"/>
        <w:tabs>
          <w:tab w:leader="none" w:pos="445" w:val="left"/>
        </w:tabs>
        <w:rPr>
          <w:sz w:val="20"/>
          <w:szCs w:val="20"/>
          <w:color w:val="auto"/>
        </w:rPr>
      </w:pPr>
      <w:r>
        <w:rPr>
          <w:rFonts w:ascii="Arial" w:cs="Arial" w:eastAsia="Arial" w:hAnsi="Arial"/>
          <w:sz w:val="22"/>
          <w:szCs w:val="22"/>
          <w:color w:val="auto"/>
        </w:rPr>
        <w:t>3.3</w:t>
        <w:tab/>
        <w:t>Neither General Motors Company nor Adam Opel AG nor any of the corporate bodies or committees shall have the right to amend, alter, suspend, discontinue or terminate the GM Compensation Plans or any of the Awards provided for in this Annex 3, unless Dr. Neumann agrees with it in writing.</w:t>
      </w:r>
    </w:p>
    <w:p>
      <w:pPr>
        <w:spacing w:after="0" w:line="295" w:lineRule="exact"/>
        <w:rPr>
          <w:sz w:val="20"/>
          <w:szCs w:val="20"/>
          <w:color w:val="auto"/>
        </w:rPr>
      </w:pPr>
    </w:p>
    <w:p>
      <w:pPr>
        <w:jc w:val="both"/>
        <w:ind w:left="465" w:right="20" w:hanging="458"/>
        <w:spacing w:after="0"/>
        <w:tabs>
          <w:tab w:leader="none" w:pos="445" w:val="left"/>
        </w:tabs>
        <w:rPr>
          <w:sz w:val="20"/>
          <w:szCs w:val="20"/>
          <w:color w:val="auto"/>
        </w:rPr>
      </w:pPr>
      <w:r>
        <w:rPr>
          <w:rFonts w:ascii="Arial" w:cs="Arial" w:eastAsia="Arial" w:hAnsi="Arial"/>
          <w:sz w:val="22"/>
          <w:szCs w:val="22"/>
          <w:color w:val="auto"/>
        </w:rPr>
        <w:t>3.4</w:t>
        <w:tab/>
        <w:t>Any obligations under the GM Compensation Plans (including this Annex 3) are those of the General Motors Company, notwithstanding the possible payment of any part of such benefits through the payroll of Adam Opel AG, which will only be done for administrative purposes on behalf of General Motors Company.</w:t>
      </w:r>
    </w:p>
    <w:p>
      <w:pPr>
        <w:spacing w:after="0" w:line="295" w:lineRule="exact"/>
        <w:rPr>
          <w:sz w:val="20"/>
          <w:szCs w:val="20"/>
          <w:color w:val="auto"/>
        </w:rPr>
      </w:pPr>
    </w:p>
    <w:p>
      <w:pPr>
        <w:jc w:val="both"/>
        <w:ind w:left="465" w:right="20" w:hanging="458"/>
        <w:spacing w:after="0" w:line="238" w:lineRule="auto"/>
        <w:tabs>
          <w:tab w:leader="none" w:pos="445" w:val="left"/>
        </w:tabs>
        <w:rPr>
          <w:sz w:val="20"/>
          <w:szCs w:val="20"/>
          <w:color w:val="auto"/>
        </w:rPr>
      </w:pPr>
      <w:r>
        <w:rPr>
          <w:rFonts w:ascii="Arial" w:cs="Arial" w:eastAsia="Arial" w:hAnsi="Arial"/>
          <w:sz w:val="22"/>
          <w:szCs w:val="22"/>
          <w:color w:val="auto"/>
        </w:rPr>
        <w:t>3.5</w:t>
        <w:tab/>
        <w:t>It is agreed that this Annex 3 and Dr. Neumann’s entitlements under the GM Compensation Plans shall be subject to the applicable United States law as stipulated in the relevant plan as well as to General Motors’ obligations under the American Recovery and Reinvestment Act of 2009 and other requirements under the Troubled Asset Relief Program of the United States of America.</w:t>
      </w:r>
    </w:p>
    <w:p>
      <w:pPr>
        <w:spacing w:after="0" w:line="293" w:lineRule="exact"/>
        <w:rPr>
          <w:sz w:val="20"/>
          <w:szCs w:val="20"/>
          <w:color w:val="auto"/>
        </w:rPr>
      </w:pPr>
    </w:p>
    <w:p>
      <w:pPr>
        <w:ind w:left="5"/>
        <w:spacing w:after="0"/>
        <w:tabs>
          <w:tab w:leader="none" w:pos="445"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The rules of this Annex 3 shall supersede any contrary rules contained in the respective GM Compensation Plans.</w:t>
      </w:r>
    </w:p>
    <w:p>
      <w:pPr>
        <w:sectPr>
          <w:pgSz w:w="11900" w:h="16838" w:orient="portrait"/>
          <w:cols w:equalWidth="0" w:num="1">
            <w:col w:w="11365"/>
          </w:cols>
          <w:pgMar w:left="275" w:top="7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5"/>
          </w:cols>
          <w:pgMar w:left="275" w:top="740" w:right="259"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21"/>
          <w:szCs w:val="21"/>
          <w:b w:val="1"/>
          <w:bCs w:val="1"/>
          <w:color w:val="auto"/>
        </w:rPr>
        <w:t>GENERAL MOTORS COMPANY:</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Detroit, December 7, 2012</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JANICE UHLIG</w:t>
      </w:r>
    </w:p>
    <w:p>
      <w:pPr>
        <w:spacing w:after="0" w:line="230" w:lineRule="auto"/>
        <w:rPr>
          <w:sz w:val="20"/>
          <w:szCs w:val="20"/>
          <w:color w:val="auto"/>
        </w:rPr>
      </w:pPr>
      <w:r>
        <w:rPr>
          <w:rFonts w:ascii="Arial" w:cs="Arial" w:eastAsia="Arial" w:hAnsi="Arial"/>
          <w:sz w:val="22"/>
          <w:szCs w:val="22"/>
          <w:color w:val="auto"/>
        </w:rPr>
        <w:t>Janice Uhlig</w:t>
      </w:r>
    </w:p>
    <w:p>
      <w:pPr>
        <w:spacing w:after="0" w:line="231" w:lineRule="auto"/>
        <w:rPr>
          <w:sz w:val="20"/>
          <w:szCs w:val="20"/>
          <w:color w:val="auto"/>
        </w:rPr>
      </w:pPr>
      <w:r>
        <w:rPr>
          <w:rFonts w:ascii="Arial" w:cs="Arial" w:eastAsia="Arial" w:hAnsi="Arial"/>
          <w:sz w:val="22"/>
          <w:szCs w:val="22"/>
          <w:color w:val="auto"/>
        </w:rPr>
        <w:t>Executive Director,</w:t>
      </w:r>
    </w:p>
    <w:p>
      <w:pPr>
        <w:spacing w:after="0"/>
        <w:rPr>
          <w:sz w:val="20"/>
          <w:szCs w:val="20"/>
          <w:color w:val="auto"/>
        </w:rPr>
      </w:pPr>
      <w:r>
        <w:rPr>
          <w:rFonts w:ascii="Arial" w:cs="Arial" w:eastAsia="Arial" w:hAnsi="Arial"/>
          <w:sz w:val="21"/>
          <w:szCs w:val="21"/>
          <w:color w:val="auto"/>
        </w:rPr>
        <w:t>Global Compensation and Benefits</w:t>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Arial" w:cs="Arial" w:eastAsia="Arial" w:hAnsi="Arial"/>
          <w:sz w:val="21"/>
          <w:szCs w:val="21"/>
          <w:b w:val="1"/>
          <w:bCs w:val="1"/>
          <w:color w:val="auto"/>
        </w:rPr>
        <w:t>DR. KARL-THOMAS NEUMANN:</w:t>
      </w:r>
    </w:p>
    <w:p>
      <w:pPr>
        <w:spacing w:after="0" w:line="35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Frankfurt, December 19, 2012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left="1140"/>
        <w:spacing w:after="0" w:line="259" w:lineRule="auto"/>
        <w:rPr>
          <w:sz w:val="20"/>
          <w:szCs w:val="20"/>
          <w:color w:val="auto"/>
        </w:rPr>
      </w:pPr>
      <w:r>
        <w:rPr>
          <w:rFonts w:ascii="Arial" w:cs="Arial" w:eastAsia="Arial" w:hAnsi="Arial"/>
          <w:sz w:val="21"/>
          <w:szCs w:val="21"/>
          <w:u w:val="single" w:color="auto"/>
          <w:color w:val="auto"/>
        </w:rPr>
        <w:t xml:space="preserve">/S/ DR. KARL-THOMAS NEUMANN </w:t>
      </w:r>
      <w:r>
        <w:rPr>
          <w:rFonts w:ascii="Arial" w:cs="Arial" w:eastAsia="Arial" w:hAnsi="Arial"/>
          <w:sz w:val="21"/>
          <w:szCs w:val="21"/>
          <w:color w:val="auto"/>
        </w:rPr>
        <w:t>Dr. Karl-Thomas Neumann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800" w:space="720"/>
            <w:col w:w="4620"/>
          </w:cols>
          <w:pgMar w:left="1380" w:top="728" w:right="137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millions</w:t>
      </w:r>
      <w:r>
        <w:rPr>
          <w:rFonts w:ascii="Arial" w:cs="Arial" w:eastAsia="Arial" w:hAnsi="Arial"/>
          <w:sz w:val="18"/>
          <w:szCs w:val="18"/>
          <w:b w:val="1"/>
          <w:bCs w:val="1"/>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64"/>
        </w:trPr>
        <w:tc>
          <w:tcPr>
            <w:tcW w:w="42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gridSpan w:val="5"/>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July 10, 2009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January 1, 2009</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70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80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70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680" w:type="dxa"/>
            <w:vAlign w:val="bottom"/>
            <w:tcBorders>
              <w:bottom w:val="single" w:sz="8" w:color="00000A"/>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vMerge w:val="restart"/>
          </w:tcPr>
          <w:p>
            <w:pPr>
              <w:jc w:val="center"/>
              <w:ind w:right="61"/>
              <w:spacing w:after="0" w:line="139" w:lineRule="exact"/>
              <w:rPr>
                <w:sz w:val="20"/>
                <w:szCs w:val="20"/>
                <w:color w:val="auto"/>
              </w:rPr>
            </w:pPr>
            <w:r>
              <w:rPr>
                <w:rFonts w:ascii="Arial" w:cs="Arial" w:eastAsia="Arial" w:hAnsi="Arial"/>
                <w:sz w:val="14"/>
                <w:szCs w:val="14"/>
                <w:b w:val="1"/>
                <w:bCs w:val="1"/>
                <w:color w:val="auto"/>
                <w:w w:val="95"/>
              </w:rPr>
              <w:t>Through</w:t>
            </w: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restart"/>
          </w:tcPr>
          <w:p>
            <w:pPr>
              <w:jc w:val="center"/>
              <w:ind w:right="61"/>
              <w:spacing w:after="0" w:line="13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65"/>
        </w:trPr>
        <w:tc>
          <w:tcPr>
            <w:tcW w:w="4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December 31, 2009</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July 9, 2009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Income (loss) from continuing operations before income taxes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and equity income(a)</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107,776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Fixed charges excluding capitalized interest</w:t>
            </w: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779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5,548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capitalized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Equity income of Ally Financial, Inc.</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from nonconsolidated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Earnings (losses) available for fixed charges</w:t>
            </w: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7,533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(27,758)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8,302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8,235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112,102</w:t>
            </w:r>
          </w:p>
        </w:tc>
        <w:tc>
          <w:tcPr>
            <w:tcW w:w="0" w:type="dxa"/>
            <w:vAlign w:val="bottom"/>
          </w:tcPr>
          <w:p>
            <w:pPr>
              <w:spacing w:after="0"/>
              <w:rPr>
                <w:sz w:val="1"/>
                <w:szCs w:val="1"/>
                <w:color w:val="auto"/>
              </w:rPr>
            </w:pPr>
          </w:p>
        </w:tc>
      </w:tr>
      <w:tr>
        <w:trPr>
          <w:trHeight w:val="73"/>
        </w:trPr>
        <w:tc>
          <w:tcPr>
            <w:tcW w:w="4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 w:type="dxa"/>
            <w:vAlign w:val="bottom"/>
            <w:tcBorders>
              <w:bottom w:val="single" w:sz="8" w:color="CCEEFF"/>
              <w:right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4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and related charges on debt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707</w:t>
            </w:r>
          </w:p>
        </w:tc>
        <w:tc>
          <w:tcPr>
            <w:tcW w:w="140" w:type="dxa"/>
            <w:vAlign w:val="bottom"/>
            <w:tcBorders>
              <w:right w:val="single" w:sz="8" w:color="auto"/>
            </w:tcBorders>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5,444</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Portion of rentals deemed to be interest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capitalized in period</w:t>
            </w: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fixed charges</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5,576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Preferred stock dividends grossed up to a pre-tax basis</w:t>
            </w: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162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 fixed charges and preferred stock dividends</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5,576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w w:val="91"/>
              </w:rPr>
              <w:t>Ratio of earnings to combined fixed charges and preferred stock</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dividends</w:t>
            </w:r>
          </w:p>
        </w:tc>
        <w:tc>
          <w:tcPr>
            <w:tcW w:w="2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Reorganization gains, net of $128.2 billion in the period January 1, 2009 through July 9, 2009.</w:t>
      </w:r>
    </w:p>
    <w:p>
      <w:pPr>
        <w:spacing w:after="0" w:line="20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Earnings in the year ended December 31, 2012 and the period July 10, 2009 through December 31, 2009 were inadequate to cover combined fixed charges and preferred stock dividends by $29.7 billion and $5.0 billion.</w:t>
      </w:r>
    </w:p>
    <w:p>
      <w:pPr>
        <w:sectPr>
          <w:pgSz w:w="11900" w:h="16838" w:orient="portrait"/>
          <w:cols w:equalWidth="0" w:num="1">
            <w:col w:w="11420"/>
          </w:cols>
          <w:pgMar w:left="240"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6"/>
          <w:szCs w:val="16"/>
          <w:b w:val="1"/>
          <w:bCs w:val="1"/>
          <w:color w:val="auto"/>
        </w:rPr>
        <w:t>Exhibit 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06 Ormskirk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2140879 Ontario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6153933 Canada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ACAR Leasing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ACF Investment Corp.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Adam Opel AG</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AFS Management Corp.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AFS SenSub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Aftermarket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Aftermarket Italia S.r.l. in liquidazione</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 Mansour Automotive SAE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Ally Mexico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2007- B-F</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2007-D-F</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2010-1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2010-2</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2010-3</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2010-4</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2010-A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2010-B</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2011-1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2011-2</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2011-3</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2011-4</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2011-5</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2012-1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2012-2</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2012-3</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2012-4</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2012-5</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2013-1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2013-2</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2013-3</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Automobile Receivables Trust 2013-4</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Automobile Receivables Trust 2013-5</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Consumer Loan Company,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Financial Services,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AmeriCredit Funding Corp. XI</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AmeriCredit Syndicated Warehouse Trust</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Andiamo Riverfront,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Annunciata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APGO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Approach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Argonaut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Atlantic Automobiles SAS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 Distribution Provenance SAS</w:t>
            </w:r>
          </w:p>
        </w:tc>
        <w:tc>
          <w:tcPr>
            <w:tcW w:w="236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 Fornebu 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 Lease Finance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 Partners III,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Autohaus G.V.O.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Autovision (Scotland)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Autozentrum West Köln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Aviation Spectrum Resources Holdings, Incorporated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Baker (Crewe)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Ballards of Watford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Banco GMAC S.A.</w:t>
            </w:r>
          </w:p>
        </w:tc>
        <w:tc>
          <w:tcPr>
            <w:tcW w:w="23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Baylis (Gloucester)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Beerens O.C. NV</w:t>
            </w:r>
          </w:p>
        </w:tc>
        <w:tc>
          <w:tcPr>
            <w:tcW w:w="236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Berse Road (No. 1)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Berse Road (No. 2)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Betula Cars S.L.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Bicknell (Malvern)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BilCirkeln Malmo AB</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Bioformix,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Blackdown Motor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BOCO (Proprietary)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Boco Trust</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Brandish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Bridge Motors (Banbury)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Bridgewater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Britain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BS Auto Praha sro</w:t>
            </w:r>
          </w:p>
        </w:tc>
        <w:tc>
          <w:tcPr>
            <w:tcW w:w="2360" w:type="dxa"/>
            <w:vAlign w:val="bottom"/>
            <w:gridSpan w:val="3"/>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Carve-Out Ownership Cooperative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Caterpillar Logistics SCS</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Charles Hurst Motors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Northern Ireland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Austria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Belgium NV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Central and Eastern Europe</w:t>
            </w:r>
          </w:p>
        </w:tc>
        <w:tc>
          <w:tcPr>
            <w:tcW w:w="236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Deutschland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Espana, S.A.</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Euro Parts Center B.V.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Europe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Finland Oy</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France</w:t>
            </w:r>
          </w:p>
        </w:tc>
        <w:tc>
          <w:tcPr>
            <w:tcW w:w="236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Italia S.p.A.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Nederland B.V.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of Novato,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Poland Sp. z o.o.</w:t>
            </w:r>
          </w:p>
        </w:tc>
        <w:tc>
          <w:tcPr>
            <w:tcW w:w="2360" w:type="dxa"/>
            <w:vAlign w:val="bottom"/>
            <w:gridSpan w:val="3"/>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Portugal, Lda.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Sales (Thailand)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Sales India Private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Sociedad Anonima de Ahorro para Fines Determinados</w:t>
            </w:r>
          </w:p>
        </w:tc>
        <w:tc>
          <w:tcPr>
            <w:tcW w:w="236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Suisse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Sverige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Chevrolet Trkiye Otomotive Limited Sirketi</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Chevrolet UK Limited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Controladora General Motors, S.A. de C.V.</w:t>
            </w:r>
          </w:p>
        </w:tc>
        <w:tc>
          <w:tcPr>
            <w:tcW w:w="23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Coskata,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Courtesy Buick-GMC,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Crash Avoidance Metrics Partnerships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Crash Avoidance Metrics Partners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Crown Motors (Dagenham)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Daniels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DCJ1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Dealership Liquidations,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DENICAR S.R.L.</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Detroit Investment Fund,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Diso Madrid S.l.r.</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DMAX,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Doraville Bond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Drive Motor Properties LLP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Drive Motor Retail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Eden (GM)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Elasto S.A.</w:t>
            </w:r>
          </w:p>
        </w:tc>
        <w:tc>
          <w:tcPr>
            <w:tcW w:w="236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Empower Energies,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Envia Systems,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 G Barnes (Maidstone)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Fabrica Nacional de Autobuses Fanabus, S.A.</w:t>
            </w:r>
          </w:p>
        </w:tc>
        <w:tc>
          <w:tcPr>
            <w:tcW w:w="236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FAW-GM Light Duty Commercial Vehicle Co.,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Fludicon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Fox Valley Buick-GMC,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G.M.A.C. - Comercio e Aluguer de Veiculos, Lda.</w:t>
            </w:r>
          </w:p>
        </w:tc>
        <w:tc>
          <w:tcPr>
            <w:tcW w:w="236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G.M.A.C. Financiera de Colombia S.A. Compania de Financiamiento Comercial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International Insurance Services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International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(China) Investment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(Hong Kong)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(Thailand)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 Colmotores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Africa and Middle East FZE</w:t>
            </w:r>
          </w:p>
        </w:tc>
        <w:tc>
          <w:tcPr>
            <w:tcW w:w="2360" w:type="dxa"/>
            <w:vAlign w:val="bottom"/>
            <w:gridSpan w:val="3"/>
          </w:tcPr>
          <w:p>
            <w:pPr>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Asia Pacific (Pte)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Asia Pacific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Asia,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Asset Management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Australia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Austria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Auto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Automobiles Philippines,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Automotive Holdings, S.L.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Belgium N.V.</w:t>
            </w:r>
          </w:p>
        </w:tc>
        <w:tc>
          <w:tcPr>
            <w:tcW w:w="236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Chile Industria Automotriz Limitada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China,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CIS,LLC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Coordination Center BVBA</w:t>
            </w:r>
          </w:p>
        </w:tc>
        <w:tc>
          <w:tcPr>
            <w:tcW w:w="236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Daewoo Auto and Technology CIS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de Argentina S.r.l.</w:t>
            </w:r>
          </w:p>
        </w:tc>
        <w:tc>
          <w:tcPr>
            <w:tcW w:w="236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de Mexico, S. de R.L. de C.V.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del Ecuador S.A.</w:t>
            </w:r>
          </w:p>
        </w:tc>
        <w:tc>
          <w:tcPr>
            <w:tcW w:w="236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do Brasil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East Africa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Egypt, S.A.E.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Espana, S.L.U.</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Europe Holdings, S.L.U.</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Europe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Financial Company,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Financial of Canada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Financial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Finland Oy</w:t>
            </w:r>
          </w:p>
        </w:tc>
        <w:tc>
          <w:tcPr>
            <w:tcW w:w="2360" w:type="dxa"/>
            <w:vAlign w:val="bottom"/>
            <w:gridSpan w:val="3"/>
          </w:tcPr>
          <w:p>
            <w:pPr>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Foundation,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France</w:t>
            </w:r>
          </w:p>
        </w:tc>
        <w:tc>
          <w:tcPr>
            <w:tcW w:w="236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Global Service Operations,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Hellas S.A.</w:t>
            </w:r>
          </w:p>
        </w:tc>
        <w:tc>
          <w:tcPr>
            <w:tcW w:w="2360" w:type="dxa"/>
            <w:vAlign w:val="bottom"/>
            <w:gridSpan w:val="3"/>
          </w:tcPr>
          <w:p>
            <w:pPr>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Holdings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Holdings Participacoes Ltda.</w:t>
            </w:r>
          </w:p>
        </w:tc>
        <w:tc>
          <w:tcPr>
            <w:tcW w:w="23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India Private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International Holdings,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Company Name</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Incorporation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International Operations Pte.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International Services Company SAS</w:t>
            </w:r>
          </w:p>
        </w:tc>
        <w:tc>
          <w:tcPr>
            <w:tcW w:w="23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Investment Management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Investment Participacoes Ltda.</w:t>
            </w:r>
          </w:p>
        </w:tc>
        <w:tc>
          <w:tcPr>
            <w:tcW w:w="23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Investments Pty.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Ireland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Israel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Italia S.r.l.</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Japan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Manufacturing Poland Sp. z o.o.</w:t>
            </w:r>
          </w:p>
        </w:tc>
        <w:tc>
          <w:tcPr>
            <w:tcW w:w="2360" w:type="dxa"/>
            <w:vAlign w:val="bottom"/>
            <w:gridSpan w:val="3"/>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Nederland B.V.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New Zealand Pensions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of Canada Limited (active)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Overseas Commercial Vehicle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Overseas Corporation (active)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Overseas Distribution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Peru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Poland Spolka, z o. o.</w:t>
            </w:r>
          </w:p>
        </w:tc>
        <w:tc>
          <w:tcPr>
            <w:tcW w:w="2360" w:type="dxa"/>
            <w:vAlign w:val="bottom"/>
            <w:gridSpan w:val="3"/>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Portugal Lda.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Powertrain (Thailand)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Powertrain - Europe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Powertrain - Uzbekistan CJSC</w:t>
            </w:r>
          </w:p>
        </w:tc>
        <w:tc>
          <w:tcPr>
            <w:tcW w:w="2360" w:type="dxa"/>
            <w:vAlign w:val="bottom"/>
            <w:gridSpan w:val="3"/>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Powertrain Netherlands B.V.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Research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South Africa (Pty)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Suisse S.A.</w:t>
            </w:r>
          </w:p>
        </w:tc>
        <w:tc>
          <w:tcPr>
            <w:tcW w:w="236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Taiwan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Taiwan, Province of 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Technical Centre India Private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Thailand Investments,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Treasury Center,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Trkiye Limited Sirketi</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UK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Uruguay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Uzbekistan Closed Joint Stock Company</w:t>
            </w:r>
          </w:p>
        </w:tc>
        <w:tc>
          <w:tcPr>
            <w:tcW w:w="2360" w:type="dxa"/>
            <w:vAlign w:val="bottom"/>
            <w:gridSpan w:val="3"/>
          </w:tcPr>
          <w:p>
            <w:pPr>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Venezolana, C.A.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 Ventures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Motors Warehousing and Trading (Shanghai) Co.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9060" w:type="dxa"/>
            <w:vAlign w:val="bottom"/>
            <w:gridSpan w:val="3"/>
          </w:tcPr>
          <w:p>
            <w:pPr>
              <w:ind w:left="40"/>
              <w:spacing w:after="0"/>
              <w:rPr>
                <w:sz w:val="20"/>
                <w:szCs w:val="20"/>
                <w:color w:val="auto"/>
              </w:rPr>
            </w:pPr>
            <w:r>
              <w:rPr>
                <w:rFonts w:ascii="Arial" w:cs="Arial" w:eastAsia="Arial" w:hAnsi="Arial"/>
                <w:sz w:val="18"/>
                <w:szCs w:val="18"/>
                <w:color w:val="auto"/>
              </w:rPr>
              <w:t>General Motors-Holden's Sales Pty.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2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Congo, The Democratic</w:t>
            </w:r>
          </w:p>
        </w:tc>
        <w:tc>
          <w:tcPr>
            <w:tcW w:w="0" w:type="dxa"/>
            <w:vAlign w:val="bottom"/>
          </w:tcPr>
          <w:p>
            <w:pPr>
              <w:spacing w:after="0"/>
              <w:rPr>
                <w:sz w:val="1"/>
                <w:szCs w:val="1"/>
                <w:color w:val="auto"/>
              </w:rPr>
            </w:pPr>
          </w:p>
        </w:tc>
      </w:tr>
      <w:tr>
        <w:trPr>
          <w:trHeight w:val="230"/>
        </w:trPr>
        <w:tc>
          <w:tcPr>
            <w:tcW w:w="9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Genie Mecanique Zairois, S.A.R.L.</w:t>
            </w: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Republic</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GeoDigital International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Global Human Body Models Consortium,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Global Tooling Service Company Europe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(UK) Pension Trustees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 Isuzu Camiones Andinos de Colombia Ltda.</w:t>
            </w:r>
          </w:p>
        </w:tc>
        <w:tc>
          <w:tcPr>
            <w:tcW w:w="23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 ISUZU Camiones Andinos del Ecuador GMICA Ecuador Cia.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Administradora de Bens Ltda.</w:t>
            </w:r>
          </w:p>
        </w:tc>
        <w:tc>
          <w:tcPr>
            <w:tcW w:w="23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APO Holdings,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Auslandsprojekte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Auto World Korea Co.</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Automotive Services Belgium NV</w:t>
            </w:r>
          </w:p>
        </w:tc>
        <w:tc>
          <w:tcPr>
            <w:tcW w:w="236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Automotive UK</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Daewoo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Deutschland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Eurometals,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Europe Service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Europe Treasury Company AB</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Financial Automobile Receivables Trust 2012-PP1</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Financial Automobiles Receivables Trust - 2014 PP-1</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Financial Canada Leasing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Financial Consumer Discount Company</w:t>
            </w:r>
          </w:p>
        </w:tc>
        <w:tc>
          <w:tcPr>
            <w:tcW w:w="236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Financial de Mexico, S.A. de C.V. SOFOME N.R</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Financial Management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GEFS HOLDINGS (CHC4) ULC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Nova Scottia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Global Purchasing and Supply Chain Romania Srl</w:t>
            </w:r>
          </w:p>
        </w:tc>
        <w:tc>
          <w:tcPr>
            <w:tcW w:w="236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Global Technology Operations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Global Tooling Company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Holden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No.1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Holdings U.K. No.3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International Sales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Inversiones Santiago Limitada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Investment Trustees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Korea Co.,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236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LAAM Holdings,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Nigeria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Personnel Services,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Plats (Proprietary)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PSA Purchasing Services S.A.</w:t>
            </w: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Purchasing Vauxhall UK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Retirees Pension Trustees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Subsystems Manufacturing,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Supplier Receivables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 Viet Nam Motor Company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 Warranty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GM-AVTOVAZ CJSC</w:t>
            </w:r>
          </w:p>
        </w:tc>
        <w:tc>
          <w:tcPr>
            <w:tcW w:w="236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GM-DI Leasing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GM-UMI Technology Research and Development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 Instituicao Financeira de Credito,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 Prestadora de Servios de Mo-de-Obra Ltda.</w:t>
            </w:r>
          </w:p>
        </w:tc>
        <w:tc>
          <w:tcPr>
            <w:tcW w:w="23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Administradora de Consorcios Ltda.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Automotriz Limitada</w:t>
            </w:r>
          </w:p>
        </w:tc>
        <w:tc>
          <w:tcPr>
            <w:tcW w:w="236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Bank GmbH (German entity)</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Banque S.A.</w:t>
            </w:r>
          </w:p>
        </w:tc>
        <w:tc>
          <w:tcPr>
            <w:tcW w:w="236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Colombia S.A.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Comercial Automotriz Chile S.A.</w:t>
            </w:r>
          </w:p>
        </w:tc>
        <w:tc>
          <w:tcPr>
            <w:tcW w:w="236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Continental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de Venezela, C.A.</w:t>
            </w:r>
          </w:p>
        </w:tc>
        <w:tc>
          <w:tcPr>
            <w:tcW w:w="236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Espana de Financiacion, S.A. Unipersonal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Financial Services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Financial Services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Germany GmbH &amp; Co. KG</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HB</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Holding S.A. de C.V.</w:t>
            </w:r>
          </w:p>
        </w:tc>
        <w:tc>
          <w:tcPr>
            <w:tcW w:w="23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Holdings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Italia SpA</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Leasing B.V. (aka Masterlease Europe)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Leasing GmbH (Austrian entity)</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Leasing GmbH (German entity)</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Management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Nederland N.V.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Pan European Auto Receivables Lending (PEARL) B.V.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Real Estate GmbH &amp; Co KG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Servicios S.A.S.</w:t>
            </w:r>
          </w:p>
        </w:tc>
        <w:tc>
          <w:tcPr>
            <w:tcW w:w="23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 Suisse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GMAC UK plc</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GMACI Corretora de Seguros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GMAM Absolute Return Strategies Fund,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GMAM Real Estate I,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GMCH&amp;SP Private Equity II L.P.</w:t>
            </w:r>
          </w:p>
        </w:tc>
        <w:tc>
          <w:tcPr>
            <w:tcW w:w="236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GMF Automobile Leasing Trust 2013-PPI</w:t>
            </w: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GMF Europe Holdco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GMF Europe LLP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GMF Floorplan Owner Revolving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GMF Global Assignment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GMF International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GMF Leasing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GMF Leasing Warehousing Trust</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GMF Wholesale Receivables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Go Motor Retailing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GPSC UK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Grand Pointe Holdings,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Grand Pointe Park Condominium Association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H.S.H.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Haines &amp; Strange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Herouville Motors SARL</w:t>
            </w:r>
          </w:p>
        </w:tc>
        <w:tc>
          <w:tcPr>
            <w:tcW w:w="236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HOLDCORP S.A.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Holden Employees Superannuation Fund Pty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Holden New Zealand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HRL Laboratories,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Hydrogenics Corporation</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IBC Pension Trustees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IBC Vehicles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Industries Mecaniques Maghrebines, S.A.</w:t>
            </w:r>
          </w:p>
        </w:tc>
        <w:tc>
          <w:tcPr>
            <w:tcW w:w="2360" w:type="dxa"/>
            <w:vAlign w:val="bottom"/>
            <w:gridSpan w:val="3"/>
          </w:tcPr>
          <w:p>
            <w:pPr>
              <w:spacing w:after="0"/>
              <w:rPr>
                <w:sz w:val="20"/>
                <w:szCs w:val="20"/>
                <w:color w:val="auto"/>
              </w:rPr>
            </w:pPr>
            <w:r>
              <w:rPr>
                <w:rFonts w:ascii="Arial" w:cs="Arial" w:eastAsia="Arial" w:hAnsi="Arial"/>
                <w:sz w:val="18"/>
                <w:szCs w:val="18"/>
                <w:color w:val="auto"/>
              </w:rPr>
              <w:t>Tunisia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Infinite Velocity Automotive,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ISF Internationale Schule Frankfurt-Rhein-Main Geschäftsführungsgesellschaft 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ISF Internationale Schule Frankfurt-Rhein-Main GmbH &amp; Co. KG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Isuzu Truck South Africa (Pty.) Limited (ITSA)</w:t>
            </w:r>
          </w:p>
        </w:tc>
        <w:tc>
          <w:tcPr>
            <w:tcW w:w="236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IUE-GM National Joint Skill Development and Training Committee</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Jeffery (Wandsworth)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JS Folsom Automotive,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Kalfatra Utveckling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Koneyren,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Lakeside Chevrolet Buick GMC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Laplante Cadillac Chevrolet Buick GMC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LCV Platform Engineering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 Ownership Cooperative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Lidlington Engineering Company,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Limited Liability Company "JV Systems"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Lookers Birmingham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 International FZCO</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Mack Buick-GMC,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MacLeods of Perth Limited</w:t>
            </w: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Manassas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Marshall of Ipswich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Marshall of Peterborough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Marshall of Stevenage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Mascoma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Master Lease Germany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Masterlease Europe Renting, S.L.</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Merced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Millbrook Pension Management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Monetization of Carve-Out,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Motor Repris Automoció S.L.</w:t>
            </w:r>
          </w:p>
        </w:tc>
        <w:tc>
          <w:tcPr>
            <w:tcW w:w="236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Motorbodies Luton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Motors Holding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Motors Properties (Trading)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Motors Properties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Multi-Use Lease Entity Trust</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Murketts of Cambridge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Neovia Logistics Supply Chain Services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NJDOI/GMAM Core Plus Real Estate Investment Program,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NJDOI/GMAM Opportunistic Real Estate Investment Program, L.P.</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North American New Cars,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Novasentis,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Now Motor Retailing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OEConnection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OEConnection Manager Corp.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Omnibus BB Transportes, S. 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OnStar de Mexico S. de R.L. de C.V.</w:t>
            </w:r>
          </w:p>
        </w:tc>
        <w:tc>
          <w:tcPr>
            <w:tcW w:w="236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OnStar Europe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OnStar Middle East FZ-LLC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Opel Australia Pty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Danmark A/S</w:t>
            </w:r>
          </w:p>
        </w:tc>
        <w:tc>
          <w:tcPr>
            <w:tcW w:w="236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Opel Norge AS</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Southeast Europe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Opel Special Vehicles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Sverige AB</w:t>
            </w:r>
          </w:p>
        </w:tc>
        <w:tc>
          <w:tcPr>
            <w:tcW w:w="236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Opel Szentgotthard Automotive Manufacturing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Wien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Open Synergy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OT Mobility,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T. Mesin Isuzu Indonesia</w:t>
            </w: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P.T. G M AutoWorld Indonesia</w:t>
            </w:r>
          </w:p>
        </w:tc>
        <w:tc>
          <w:tcPr>
            <w:tcW w:w="236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P.T. General Motors Indonesia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Pan Asia Technical Automotive Center Company,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Pearl (Crawley)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Performance Equity Management,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Vardy (Perth)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PIMS Co.</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 Automotor Ecuatoriano S.A. Planautomotor</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Powermat Technologies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Princeton Chevrolet,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Promark Global Advisors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ProSTEP AG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Proterra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PT. General Motors Indonesia Manufacturing</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Quantum Fuel Systems Technologies Worldwide,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Randstad WorkNet GmbH</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Reeve (Derby)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 Vardy (VMC)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RelayRides,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Renton Cadillac Pontiac GMC,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III,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Riverfront Holdings Phase II,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Ruedas de Aluminio, C.A.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S.C. UNION MOTORS CAR SALES S.L.R.</w:t>
            </w:r>
          </w:p>
        </w:tc>
        <w:tc>
          <w:tcPr>
            <w:tcW w:w="236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Saab Automobile AB</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Saab Finance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Saankhya Labs Pvt. Ltd.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Investment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SAIC General Motors Sales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Wuling Automobile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Sakti3,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Salmon Street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Sandoval Buick GMC,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Sarmiento 1113 S.A. (en liquidacion)</w:t>
            </w:r>
          </w:p>
        </w:tc>
        <w:tc>
          <w:tcPr>
            <w:tcW w:w="236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SB (Helston)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SDC Materials,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Servicios GMAC S.A. de C.V.</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Seward (Wessex)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Shanghai Chengxin Used Car Operation and Management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General Motors Corporation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GM (Shenyang) Norsom Motors Co. Ltd..</w:t>
            </w: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 JOINT VENTURES, AND AFFILIATES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GM Dong Yue Motors Company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Shanghai GM Dong Yue Powertrain Company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OnStar Telematics Co. Ltd.</w:t>
            </w:r>
          </w:p>
        </w:tc>
        <w:tc>
          <w:tcPr>
            <w:tcW w:w="236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Sherwoods (Darlington)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Simpson Garden Grove,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Sistemas de Compra Programada Chevrolet, C.A.</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Skurrays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Slaters (GM)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Smokey Point Buick Pontiac GMC,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Southern (Merthyr)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Stam-Terberg Autobedrijven B. 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Sterling Motor Properties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Superior Chevrolet,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Tactus Technology,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The NanoSteel Company,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Thurlow Nunn (JV)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Tula Technology, Inc.</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Tustain Motors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TÜV NORD Bildung Opel GmbH</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Union Motors Car Sales S.r.l.</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United States Advanced Battery Consortium,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Automotive Materials Partnership, LLC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United States Council for Automotive Research LLC</w:t>
            </w: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Valentine Buick GMC, Inc.</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Van Kouwen Automotive I B V</w:t>
            </w:r>
          </w:p>
        </w:tc>
        <w:tc>
          <w:tcPr>
            <w:tcW w:w="236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Vauxhall Defined Contribution Pension Plan Trustees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Vauxhall Motors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Vehicle Asset Universal Leasing Trust</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Vertu Motors (Chingford)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Vertu Motors (VMC)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VHC Sub-Holdings (UK)</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Vickers (Lakeside)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Vision Motors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VMO Properties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VRP Venture Capital Rheinland-Pfalz Nr. 2 GmbH &amp; Co. KG</w:t>
            </w:r>
          </w:p>
        </w:tc>
        <w:tc>
          <w:tcPr>
            <w:tcW w:w="236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 Grose Northampton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Welcome S.R.L.</w:t>
            </w:r>
          </w:p>
        </w:tc>
        <w:tc>
          <w:tcPr>
            <w:tcW w:w="236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Wheatcroft (Worksop)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Whitehead (Rochdale) Limited</w:t>
            </w:r>
          </w:p>
        </w:tc>
        <w:tc>
          <w:tcPr>
            <w:tcW w:w="236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Wilson &amp; Co. (Motor Sales) Limited</w:t>
            </w: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Wind Point Partners III, L.P.</w:t>
            </w:r>
          </w:p>
        </w:tc>
        <w:tc>
          <w:tcPr>
            <w:tcW w:w="236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Woodbridge Buick GMC, Inc.</w:t>
            </w: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3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rPr>
              <w:t>GENERAL MOTORS COMPANY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34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99"/>
              </w:rPr>
              <w:t>AND SUBSIDIARIES, JOINT VENTURES, AND AFFILIATES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3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rPr>
              <w:t>OF THE REGISTRANT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34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95"/>
              </w:rPr>
              <w:t>AS OF DECEMBER 31, 2013</w:t>
            </w: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2040" w:type="dxa"/>
            <w:vAlign w:val="bottom"/>
            <w:vMerge w:val="restart"/>
          </w:tcPr>
          <w:p>
            <w:pPr>
              <w:spacing w:after="0"/>
              <w:rPr>
                <w:sz w:val="24"/>
                <w:szCs w:val="24"/>
                <w:color w:val="auto"/>
              </w:rPr>
            </w:pPr>
          </w:p>
        </w:tc>
        <w:tc>
          <w:tcPr>
            <w:tcW w:w="598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5980" w:type="dxa"/>
            <w:vAlign w:val="bottom"/>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WRE, Inc.</w:t>
            </w:r>
          </w:p>
        </w:tc>
        <w:tc>
          <w:tcPr>
            <w:tcW w:w="5980" w:type="dxa"/>
            <w:vAlign w:val="bottom"/>
          </w:tcPr>
          <w:p>
            <w:pPr>
              <w:spacing w:after="0"/>
              <w:rPr>
                <w:sz w:val="22"/>
                <w:szCs w:val="22"/>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Zona Franca Industrial Colmotores SAS</w:t>
            </w:r>
          </w:p>
        </w:tc>
        <w:tc>
          <w:tcPr>
            <w:tcW w:w="59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432"/>
        </w:trPr>
        <w:tc>
          <w:tcPr>
            <w:tcW w:w="3080" w:type="dxa"/>
            <w:vAlign w:val="bottom"/>
            <w:gridSpan w:val="3"/>
          </w:tcPr>
          <w:p>
            <w:pPr>
              <w:spacing w:after="0"/>
              <w:rPr>
                <w:sz w:val="20"/>
                <w:szCs w:val="20"/>
                <w:color w:val="auto"/>
              </w:rPr>
            </w:pPr>
            <w:r>
              <w:rPr>
                <w:rFonts w:ascii="Arial" w:cs="Arial" w:eastAsia="Arial" w:hAnsi="Arial"/>
                <w:sz w:val="18"/>
                <w:szCs w:val="18"/>
                <w:color w:val="auto"/>
              </w:rPr>
              <w:t>Total - 463</w:t>
            </w:r>
          </w:p>
        </w:tc>
        <w:tc>
          <w:tcPr>
            <w:tcW w:w="5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333-175068 on Form S-8 and Registration Statement No. 333-188153 on Form S-3 of our report dated February 6, 2014 relating to the consolidated financial statements of General Motors Company and subsidiaries (the Company) (which report expresses an unqualified opinion and includes explanatory paragraphs relating to the adoption of amendments to accounting standards) and our report dated February 6, 2014 relating to the effectiveness of the Company's internal control over financial reporting, appearing in this Annual Report on Form 10-K of General Motors Company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6, 2014</w:t>
      </w:r>
    </w:p>
    <w:p>
      <w:pPr>
        <w:sectPr>
          <w:pgSz w:w="11900" w:h="16838" w:orient="portrait"/>
          <w:cols w:equalWidth="0" w:num="1">
            <w:col w:w="11420"/>
          </w:cols>
          <w:pgMar w:left="240" w:top="580"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36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Mary T. Barra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1"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DAVID BONDERMAN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Bonderman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Erroll B. Davis, Jr.</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J. Girsky</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 NEVILLE ISDELL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 Neville Isdell</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ROBERT D. KREBS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D. Krebs</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KATHRYN V.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Kathryn V. Marinello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DR. CYNTHIA A. 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Dr. Cynthia A. Telles</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1878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2014</w:t>
      </w:r>
    </w:p>
    <w:p>
      <w:pPr>
        <w:sectPr>
          <w:pgSz w:w="11900" w:h="16838" w:orient="portrait"/>
          <w:cols w:equalWidth="0" w:num="1">
            <w:col w:w="11420"/>
          </w:cols>
          <w:pgMar w:left="240" w:top="338"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18783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2014</w:t>
      </w:r>
    </w:p>
    <w:p>
      <w:pPr>
        <w:sectPr>
          <w:pgSz w:w="11900" w:h="16838" w:orient="portrait"/>
          <w:cols w:equalWidth="0" w:num="1">
            <w:col w:w="11420"/>
          </w:cols>
          <w:pgMar w:left="240" w:top="337"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2013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1878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18783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2014</w:t>
      </w:r>
    </w:p>
    <w:p>
      <w:pPr>
        <w:sectPr>
          <w:pgSz w:w="11900" w:h="16838" w:orient="portrait"/>
          <w:cols w:equalWidth="0" w:num="1">
            <w:col w:w="11420"/>
          </w:cols>
          <w:pgMar w:left="240" w:top="337"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t>Exhibit 99.1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PRIVILEGES AND COMPENSATION CERTIFICATE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6, 2014</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certificate is delivered pursuant to Section 111 of the Emergency Economic Stabilization ACT of 2008 (“EESA”), as amended by the American Recovery and Reinvestment Act of 2009 (“ARRA”).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undersigned hereby certify, to the best of their knowledge in their capacities as Principal Executive Officer and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Principal Financial Officer of General Motors Holdings LLC, and not in their individual capacities, as follows:</w:t>
      </w:r>
    </w:p>
    <w:p>
      <w:pPr>
        <w:spacing w:after="0" w:line="242" w:lineRule="exact"/>
        <w:rPr>
          <w:sz w:val="20"/>
          <w:szCs w:val="20"/>
          <w:color w:val="auto"/>
        </w:rPr>
      </w:pPr>
    </w:p>
    <w:p>
      <w:pPr>
        <w:jc w:val="both"/>
        <w:ind w:left="980" w:hanging="648"/>
        <w:spacing w:after="0" w:line="250"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On March 18, 2013 and November 18, 2013, the Executive Compensation Committee of the Board of Directors of General Motors Company (the “Compensation Committee”) discussed, reviewed, and evaluated with the senior risk officer senior executive officer (SEO) compensation plans and employee compensation plans and the risks these plans pose to General Motors Holdings LLC;</w:t>
      </w:r>
    </w:p>
    <w:p>
      <w:pPr>
        <w:spacing w:after="0" w:line="188"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26"/>
        </w:numPr>
        <w:rPr>
          <w:rFonts w:ascii="Arial" w:cs="Arial" w:eastAsia="Arial" w:hAnsi="Arial"/>
          <w:sz w:val="17"/>
          <w:szCs w:val="17"/>
          <w:color w:val="auto"/>
        </w:rPr>
      </w:pPr>
      <w:r>
        <w:rPr>
          <w:rFonts w:ascii="Arial" w:cs="Arial" w:eastAsia="Arial" w:hAnsi="Arial"/>
          <w:sz w:val="21"/>
          <w:szCs w:val="21"/>
          <w:color w:val="auto"/>
        </w:rPr>
        <w:t>The Compensation Committee has identified and limited during the period beginning on January 1, 2013 and ending on December 9, 2013 any features of the SEO compensation plans that could lead SEOs to take unnecessary and excessive risks that could threaten the value of General Motors Holdings LLC and has identified any features of the employee compensation plans that pose risks to General Motors Holdings LLC and has limited those features to ensure that General Motors Holdings LLC is not unnecessarily exposed to risks;</w:t>
      </w:r>
    </w:p>
    <w:p>
      <w:pPr>
        <w:spacing w:after="0" w:line="175" w:lineRule="exact"/>
        <w:rPr>
          <w:rFonts w:ascii="Arial" w:cs="Arial" w:eastAsia="Arial" w:hAnsi="Arial"/>
          <w:sz w:val="17"/>
          <w:szCs w:val="17"/>
          <w:color w:val="auto"/>
        </w:rPr>
      </w:pPr>
    </w:p>
    <w:p>
      <w:pPr>
        <w:jc w:val="both"/>
        <w:ind w:left="980" w:hanging="648"/>
        <w:spacing w:after="0" w:line="312" w:lineRule="auto"/>
        <w:tabs>
          <w:tab w:leader="none" w:pos="980" w:val="left"/>
        </w:tabs>
        <w:numPr>
          <w:ilvl w:val="0"/>
          <w:numId w:val="126"/>
        </w:numPr>
        <w:rPr>
          <w:rFonts w:ascii="Arial" w:cs="Arial" w:eastAsia="Arial" w:hAnsi="Arial"/>
          <w:sz w:val="16"/>
          <w:szCs w:val="16"/>
          <w:color w:val="auto"/>
        </w:rPr>
      </w:pPr>
      <w:r>
        <w:rPr>
          <w:rFonts w:ascii="Arial" w:cs="Arial" w:eastAsia="Arial" w:hAnsi="Arial"/>
          <w:sz w:val="19"/>
          <w:szCs w:val="19"/>
          <w:color w:val="auto"/>
        </w:rPr>
        <w:t>On March 18, 2013 and November 18, 2013, the Compensation Committee reviewed the terms of each employee compensation plan and identified any features of the plan that could encourage the manipulation of reported earnings of General Motors Holdings LLC to enhance the compensation of an employee and has limited any such features;</w:t>
      </w:r>
    </w:p>
    <w:p>
      <w:pPr>
        <w:spacing w:after="0" w:line="133" w:lineRule="exact"/>
        <w:rPr>
          <w:rFonts w:ascii="Arial" w:cs="Arial" w:eastAsia="Arial" w:hAnsi="Arial"/>
          <w:sz w:val="16"/>
          <w:szCs w:val="16"/>
          <w:color w:val="auto"/>
        </w:rPr>
      </w:pPr>
    </w:p>
    <w:p>
      <w:pPr>
        <w:ind w:left="980" w:hanging="648"/>
        <w:spacing w:after="0" w:line="263"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On March 28, 2013, the Compensation Committee certified to the reviews of the SEO compensation plans and employee compensation plans required under (i) and (iii) above;</w:t>
      </w:r>
    </w:p>
    <w:p>
      <w:pPr>
        <w:spacing w:after="0" w:line="174" w:lineRule="exact"/>
        <w:rPr>
          <w:rFonts w:ascii="Arial" w:cs="Arial" w:eastAsia="Arial" w:hAnsi="Arial"/>
          <w:sz w:val="18"/>
          <w:szCs w:val="18"/>
          <w:color w:val="auto"/>
        </w:rPr>
      </w:pPr>
    </w:p>
    <w:p>
      <w:pPr>
        <w:ind w:left="980" w:hanging="648"/>
        <w:spacing w:after="0" w:line="263"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The Compensation Committee’s March 28, 2013 certificate provided a narrative description of how it limited the features in</w:t>
      </w:r>
    </w:p>
    <w:p>
      <w:pPr>
        <w:spacing w:after="0" w:line="215" w:lineRule="exact"/>
        <w:rPr>
          <w:rFonts w:ascii="Arial" w:cs="Arial" w:eastAsia="Arial" w:hAnsi="Arial"/>
          <w:sz w:val="18"/>
          <w:szCs w:val="18"/>
          <w:color w:val="auto"/>
        </w:rPr>
      </w:pPr>
    </w:p>
    <w:p>
      <w:pPr>
        <w:ind w:left="1300" w:right="20" w:firstLine="5"/>
        <w:spacing w:after="0" w:line="263" w:lineRule="auto"/>
        <w:tabs>
          <w:tab w:leader="none" w:pos="167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SEO compensation plans that could lead SEOs to take unnecessary and excessive risks that could threaten the value of General Motors Holdings LLC;</w:t>
      </w:r>
    </w:p>
    <w:p>
      <w:pPr>
        <w:spacing w:after="0" w:line="215" w:lineRule="exact"/>
        <w:rPr>
          <w:rFonts w:ascii="Arial" w:cs="Arial" w:eastAsia="Arial" w:hAnsi="Arial"/>
          <w:sz w:val="22"/>
          <w:szCs w:val="22"/>
          <w:color w:val="auto"/>
        </w:rPr>
      </w:pPr>
    </w:p>
    <w:p>
      <w:pPr>
        <w:ind w:left="1640" w:hanging="335"/>
        <w:spacing w:after="0"/>
        <w:tabs>
          <w:tab w:leader="none" w:pos="164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Employee compensation plans that unnecessarily expose General Motors Holdings LLC to risks; and</w:t>
      </w:r>
    </w:p>
    <w:p>
      <w:pPr>
        <w:spacing w:after="0" w:line="271" w:lineRule="exact"/>
        <w:rPr>
          <w:rFonts w:ascii="Arial" w:cs="Arial" w:eastAsia="Arial" w:hAnsi="Arial"/>
          <w:sz w:val="21"/>
          <w:szCs w:val="21"/>
          <w:color w:val="auto"/>
        </w:rPr>
      </w:pPr>
    </w:p>
    <w:p>
      <w:pPr>
        <w:ind w:left="1300" w:right="20" w:firstLine="5"/>
        <w:spacing w:after="0" w:line="263" w:lineRule="auto"/>
        <w:tabs>
          <w:tab w:leader="none" w:pos="166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Employee compensation plans that could encourage the manipulation of reported earnings of General Motors Holdings LLC to enhance the compensation of an employee;</w:t>
      </w:r>
    </w:p>
    <w:p>
      <w:pPr>
        <w:spacing w:after="0" w:line="174" w:lineRule="exact"/>
        <w:rPr>
          <w:rFonts w:ascii="Arial" w:cs="Arial" w:eastAsia="Arial" w:hAnsi="Arial"/>
          <w:sz w:val="22"/>
          <w:szCs w:val="22"/>
          <w:color w:val="auto"/>
        </w:rPr>
      </w:pPr>
    </w:p>
    <w:p>
      <w:pPr>
        <w:jc w:val="both"/>
        <w:ind w:left="980" w:hanging="648"/>
        <w:spacing w:after="0" w:line="250"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General Motors Holdings LLC has required that bonus payments to SEOs or any of the next twenty most highly compensated employees, as defined in the regulations and guidance established under section 111 of EESA (bonus payments), be subject to a recovery or ‘‘clawback’’ provision during the period beginning on January 1, 2013 and ending on December 9, 2013 if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3</w:t>
      </w:r>
    </w:p>
    <w:p>
      <w:pPr>
        <w:sectPr>
          <w:pgSz w:w="11900" w:h="16838" w:orient="portrait"/>
          <w:cols w:equalWidth="0" w:num="1">
            <w:col w:w="11420"/>
          </w:cols>
          <w:pgMar w:left="240" w:top="369" w:right="239" w:bottom="1440" w:gutter="0" w:footer="0" w:header="0"/>
        </w:sectPr>
      </w:pPr>
    </w:p>
    <w:bookmarkStart w:id="232" w:name="page233"/>
    <w:bookmarkEnd w:id="232"/>
    <w:p>
      <w:pPr>
        <w:ind w:left="648" w:right="20"/>
        <w:spacing w:after="0" w:line="263" w:lineRule="auto"/>
        <w:rPr>
          <w:sz w:val="20"/>
          <w:szCs w:val="20"/>
          <w:color w:val="auto"/>
        </w:rPr>
      </w:pPr>
      <w:r>
        <w:rPr>
          <w:rFonts w:ascii="Arial" w:cs="Arial" w:eastAsia="Arial" w:hAnsi="Arial"/>
          <w:sz w:val="22"/>
          <w:szCs w:val="22"/>
          <w:color w:val="auto"/>
        </w:rPr>
        <w:t>bonus payments were based on materially inaccurate financial statements or any other materially inaccurate performance metric criteria;</w:t>
      </w:r>
    </w:p>
    <w:p>
      <w:pPr>
        <w:spacing w:after="0" w:line="175" w:lineRule="exact"/>
        <w:rPr>
          <w:sz w:val="20"/>
          <w:szCs w:val="20"/>
          <w:color w:val="auto"/>
        </w:rPr>
      </w:pPr>
    </w:p>
    <w:p>
      <w:pPr>
        <w:jc w:val="both"/>
        <w:ind w:left="648" w:hanging="648"/>
        <w:spacing w:after="0" w:line="271"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21"/>
          <w:szCs w:val="21"/>
          <w:color w:val="auto"/>
        </w:rPr>
        <w:t>General Motors Holdings LLC has prohibited any golden parachute payment, as defined in the regulations and guidance established under section 111 of EESA, to a SEO or any of the next five most highly compensated employees during the period beginning on January 1, 2013 and ending on December 9, 2013;</w:t>
      </w:r>
    </w:p>
    <w:p>
      <w:pPr>
        <w:spacing w:after="0" w:line="167" w:lineRule="exact"/>
        <w:rPr>
          <w:rFonts w:ascii="Arial" w:cs="Arial" w:eastAsia="Arial" w:hAnsi="Arial"/>
          <w:sz w:val="17"/>
          <w:szCs w:val="17"/>
          <w:color w:val="auto"/>
        </w:rPr>
      </w:pPr>
    </w:p>
    <w:p>
      <w:pPr>
        <w:jc w:val="both"/>
        <w:ind w:left="648" w:hanging="648"/>
        <w:spacing w:after="0" w:line="247"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22"/>
          <w:szCs w:val="22"/>
          <w:color w:val="auto"/>
        </w:rPr>
        <w:t>General Motors Holdings LLC has limited bonus payments to its applicable employees in accordance with section 111 of EESA and the regulations and guidance established thereunder during the period beginning on January 1, 2013 and ending on December 9, 2013 and has received or is in the process of receiving approvals from the Office of the Special Master for TARP Executive Compensation for compensation payments and structures as required under the regulations and guidance established under section 111 of EESA, and has not made any payments inconsistent with those approved payments and structures;</w:t>
      </w:r>
    </w:p>
    <w:p>
      <w:pPr>
        <w:spacing w:after="0" w:line="193" w:lineRule="exact"/>
        <w:rPr>
          <w:rFonts w:ascii="Arial" w:cs="Arial" w:eastAsia="Arial" w:hAnsi="Arial"/>
          <w:sz w:val="18"/>
          <w:szCs w:val="18"/>
          <w:color w:val="auto"/>
        </w:rPr>
      </w:pPr>
    </w:p>
    <w:p>
      <w:pPr>
        <w:jc w:val="both"/>
        <w:ind w:left="648" w:hanging="648"/>
        <w:spacing w:after="0" w:line="297" w:lineRule="auto"/>
        <w:tabs>
          <w:tab w:leader="none" w:pos="648" w:val="left"/>
        </w:tabs>
        <w:numPr>
          <w:ilvl w:val="0"/>
          <w:numId w:val="127"/>
        </w:numPr>
        <w:rPr>
          <w:rFonts w:ascii="Arial" w:cs="Arial" w:eastAsia="Arial" w:hAnsi="Arial"/>
          <w:sz w:val="16"/>
          <w:szCs w:val="16"/>
          <w:color w:val="auto"/>
        </w:rPr>
      </w:pPr>
      <w:r>
        <w:rPr>
          <w:rFonts w:ascii="Arial" w:cs="Arial" w:eastAsia="Arial" w:hAnsi="Arial"/>
          <w:sz w:val="19"/>
          <w:szCs w:val="19"/>
          <w:color w:val="auto"/>
        </w:rPr>
        <w:t>General Motors Holdings LLC and its employees have complied with the excessive or luxury expenditures policy, as defined in the regulations and guidance established under section 111 of EESA, during the period beginning on January 1, 2013 and ending on December 9, 2013; and any expenses that, pursuant to the policy, required approval of the Board of Directors of General Motors Company, a committee of the Board of Directors of General Motors Company, an SEO, or an executive officer with a similar level of responsibility, were properly approved;</w:t>
      </w:r>
    </w:p>
    <w:p>
      <w:pPr>
        <w:spacing w:after="0" w:line="147" w:lineRule="exact"/>
        <w:rPr>
          <w:rFonts w:ascii="Arial" w:cs="Arial" w:eastAsia="Arial" w:hAnsi="Arial"/>
          <w:sz w:val="16"/>
          <w:szCs w:val="16"/>
          <w:color w:val="auto"/>
        </w:rPr>
      </w:pPr>
    </w:p>
    <w:p>
      <w:pPr>
        <w:jc w:val="both"/>
        <w:ind w:left="648" w:right="20" w:hanging="648"/>
        <w:spacing w:after="0" w:line="312" w:lineRule="auto"/>
        <w:tabs>
          <w:tab w:leader="none" w:pos="648" w:val="left"/>
        </w:tabs>
        <w:numPr>
          <w:ilvl w:val="0"/>
          <w:numId w:val="127"/>
        </w:numPr>
        <w:rPr>
          <w:rFonts w:ascii="Arial" w:cs="Arial" w:eastAsia="Arial" w:hAnsi="Arial"/>
          <w:sz w:val="16"/>
          <w:szCs w:val="16"/>
          <w:color w:val="auto"/>
        </w:rPr>
      </w:pPr>
      <w:r>
        <w:rPr>
          <w:rFonts w:ascii="Arial" w:cs="Arial" w:eastAsia="Arial" w:hAnsi="Arial"/>
          <w:sz w:val="19"/>
          <w:szCs w:val="19"/>
          <w:color w:val="auto"/>
        </w:rPr>
        <w:t>General Motors Company will permit a non-binding shareholder resolution in compliance with any applicable Federal securities rules and regulations on the disclosures provided under the Federal securities laws related to SEO compensation paid or accrued during the period beginning on January 1, 2013 and ending on December 9, 2013;</w:t>
      </w:r>
    </w:p>
    <w:p>
      <w:pPr>
        <w:spacing w:after="0" w:line="133" w:lineRule="exact"/>
        <w:rPr>
          <w:rFonts w:ascii="Arial" w:cs="Arial" w:eastAsia="Arial" w:hAnsi="Arial"/>
          <w:sz w:val="16"/>
          <w:szCs w:val="16"/>
          <w:color w:val="auto"/>
        </w:rPr>
      </w:pPr>
    </w:p>
    <w:p>
      <w:pPr>
        <w:jc w:val="both"/>
        <w:ind w:left="648" w:hanging="648"/>
        <w:spacing w:after="0" w:line="250"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22"/>
          <w:szCs w:val="22"/>
          <w:color w:val="auto"/>
        </w:rPr>
        <w:t>General Motors Holdings LLC will disclose the amount, nature, and justification for the offering, during the period beginning on January 1, 2013 and ending on December 9, 2013, of any perquisites, as defined in the regulations and guidance established under section 111 of EESA, whose total value exceeds $25,000 for any employee who is subject to the bonus payment limitations identified in paragraph (viii);</w:t>
      </w:r>
    </w:p>
    <w:p>
      <w:pPr>
        <w:spacing w:after="0" w:line="188" w:lineRule="exact"/>
        <w:rPr>
          <w:rFonts w:ascii="Arial" w:cs="Arial" w:eastAsia="Arial" w:hAnsi="Arial"/>
          <w:sz w:val="18"/>
          <w:szCs w:val="18"/>
          <w:color w:val="auto"/>
        </w:rPr>
      </w:pPr>
    </w:p>
    <w:p>
      <w:pPr>
        <w:jc w:val="both"/>
        <w:ind w:left="648" w:hanging="648"/>
        <w:spacing w:after="0" w:line="250"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22"/>
          <w:szCs w:val="22"/>
          <w:color w:val="auto"/>
        </w:rPr>
        <w:t>General Motors Holdings LLC, will disclose whether General Motors Holdings LLC, the Board of Directors of General Motors Company, or the Compensation Committee has engaged during the period beginning on January 1, 2013 and ending on December 9, 2013 a compensation consultant; and the services the compensation consultant or any affiliate of the compensation consultant provided during this period;</w:t>
      </w:r>
    </w:p>
    <w:p>
      <w:pPr>
        <w:spacing w:after="0" w:line="188" w:lineRule="exact"/>
        <w:rPr>
          <w:rFonts w:ascii="Arial" w:cs="Arial" w:eastAsia="Arial" w:hAnsi="Arial"/>
          <w:sz w:val="18"/>
          <w:szCs w:val="18"/>
          <w:color w:val="auto"/>
        </w:rPr>
      </w:pPr>
    </w:p>
    <w:p>
      <w:pPr>
        <w:jc w:val="both"/>
        <w:ind w:left="648" w:hanging="648"/>
        <w:spacing w:after="0" w:line="271"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21"/>
          <w:szCs w:val="21"/>
          <w:color w:val="auto"/>
        </w:rPr>
        <w:t>General Motors Holdings LLC has prohibited the payment of any gross-ups, as defined in the regulations and guidance established under section 111 of EESA, to the SEOs and the next twenty most highly compensated employees during the period beginning on January 1, 2013 and ending on December 9, 2013;</w:t>
      </w:r>
    </w:p>
    <w:p>
      <w:pPr>
        <w:spacing w:after="0" w:line="167" w:lineRule="exact"/>
        <w:rPr>
          <w:rFonts w:ascii="Arial" w:cs="Arial" w:eastAsia="Arial" w:hAnsi="Arial"/>
          <w:sz w:val="17"/>
          <w:szCs w:val="17"/>
          <w:color w:val="auto"/>
        </w:rPr>
      </w:pPr>
    </w:p>
    <w:p>
      <w:pPr>
        <w:ind w:left="648" w:hanging="648"/>
        <w:spacing w:after="0" w:line="343" w:lineRule="auto"/>
        <w:tabs>
          <w:tab w:leader="none" w:pos="648" w:val="left"/>
        </w:tabs>
        <w:numPr>
          <w:ilvl w:val="0"/>
          <w:numId w:val="127"/>
        </w:numPr>
        <w:rPr>
          <w:rFonts w:ascii="Arial" w:cs="Arial" w:eastAsia="Arial" w:hAnsi="Arial"/>
          <w:sz w:val="16"/>
          <w:szCs w:val="16"/>
          <w:color w:val="auto"/>
        </w:rPr>
      </w:pPr>
      <w:r>
        <w:rPr>
          <w:rFonts w:ascii="Arial" w:cs="Arial" w:eastAsia="Arial" w:hAnsi="Arial"/>
          <w:sz w:val="19"/>
          <w:szCs w:val="19"/>
          <w:color w:val="auto"/>
        </w:rPr>
        <w:t>General Motors Holdings LLC has substantially complied with all other requirements related to employee compensation that are provided in the agreement between General Motors Holdings LLC and Treasury, including any amendments;</w:t>
      </w:r>
    </w:p>
    <w:p>
      <w:pPr>
        <w:spacing w:after="0" w:line="3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 of 3</w:t>
      </w:r>
    </w:p>
    <w:p>
      <w:pPr>
        <w:sectPr>
          <w:pgSz w:w="11900" w:h="16838" w:orient="portrait"/>
          <w:cols w:equalWidth="0" w:num="1">
            <w:col w:w="11088"/>
          </w:cols>
          <w:pgMar w:left="572" w:top="375" w:right="239" w:bottom="1440" w:gutter="0" w:footer="0" w:header="0"/>
        </w:sectPr>
      </w:pPr>
    </w:p>
    <w:bookmarkStart w:id="233" w:name="page234"/>
    <w:bookmarkEnd w:id="233"/>
    <w:p>
      <w:pPr>
        <w:jc w:val="both"/>
        <w:ind w:left="980" w:hanging="648"/>
        <w:spacing w:after="0" w:line="250" w:lineRule="auto"/>
        <w:tabs>
          <w:tab w:leader="none" w:pos="980" w:val="left"/>
        </w:tabs>
        <w:numPr>
          <w:ilvl w:val="0"/>
          <w:numId w:val="128"/>
        </w:numPr>
        <w:rPr>
          <w:rFonts w:ascii="Arial" w:cs="Arial" w:eastAsia="Arial" w:hAnsi="Arial"/>
          <w:sz w:val="18"/>
          <w:szCs w:val="18"/>
          <w:color w:val="auto"/>
        </w:rPr>
      </w:pPr>
      <w:r>
        <w:rPr>
          <w:rFonts w:ascii="Arial" w:cs="Arial" w:eastAsia="Arial" w:hAnsi="Arial"/>
          <w:sz w:val="22"/>
          <w:szCs w:val="22"/>
          <w:color w:val="auto"/>
        </w:rPr>
        <w:t>General Motors Holdings LLC has submitted to Treasury a complete and accurate list of the SEOs and the twenty next most highly compensated employees for the 2013 fiscal year, with the non-SEOs ranked in descending order of level of annual compensation, and with the name, title, and employer of each SEO and most highly compensated employee identified; and</w:t>
      </w:r>
    </w:p>
    <w:p>
      <w:pPr>
        <w:spacing w:after="0" w:line="188" w:lineRule="exact"/>
        <w:rPr>
          <w:rFonts w:ascii="Arial" w:cs="Arial" w:eastAsia="Arial" w:hAnsi="Arial"/>
          <w:sz w:val="18"/>
          <w:szCs w:val="18"/>
          <w:color w:val="auto"/>
        </w:rPr>
      </w:pPr>
    </w:p>
    <w:p>
      <w:pPr>
        <w:ind w:left="980" w:hanging="648"/>
        <w:spacing w:after="0" w:line="263" w:lineRule="auto"/>
        <w:tabs>
          <w:tab w:leader="none" w:pos="980" w:val="left"/>
        </w:tabs>
        <w:numPr>
          <w:ilvl w:val="0"/>
          <w:numId w:val="128"/>
        </w:numPr>
        <w:rPr>
          <w:rFonts w:ascii="Arial" w:cs="Arial" w:eastAsia="Arial" w:hAnsi="Arial"/>
          <w:sz w:val="18"/>
          <w:szCs w:val="18"/>
          <w:color w:val="auto"/>
        </w:rPr>
      </w:pPr>
      <w:r>
        <w:rPr>
          <w:rFonts w:ascii="Arial" w:cs="Arial" w:eastAsia="Arial" w:hAnsi="Arial"/>
          <w:sz w:val="22"/>
          <w:szCs w:val="22"/>
          <w:color w:val="auto"/>
        </w:rPr>
        <w:t>I understand that a knowing and willful false or fraudulent statement made in connection with this certification may be punished by fine, imprisonment, or both.</w:t>
      </w:r>
    </w:p>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The foregoing certification is made and delivered in our capacities described above for and on behalf of General Motors Holdings LLC as of the date first written above.</w:t>
      </w:r>
    </w:p>
    <w:p>
      <w:pPr>
        <w:spacing w:after="0" w:line="36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GENERAL MOTORS HOLDINGS LLC</w:t>
      </w:r>
    </w:p>
    <w:p>
      <w:pPr>
        <w:spacing w:after="0" w:line="200" w:lineRule="exact"/>
        <w:rPr>
          <w:sz w:val="20"/>
          <w:szCs w:val="20"/>
          <w:color w:val="auto"/>
        </w:rPr>
      </w:pPr>
    </w:p>
    <w:p>
      <w:pPr>
        <w:spacing w:after="0" w:line="330" w:lineRule="exact"/>
        <w:rPr>
          <w:sz w:val="20"/>
          <w:szCs w:val="20"/>
          <w:color w:val="auto"/>
        </w:rPr>
      </w:pPr>
    </w:p>
    <w:p>
      <w:pPr>
        <w:ind w:left="6440"/>
        <w:spacing w:after="0"/>
        <w:tabs>
          <w:tab w:leader="none" w:pos="7000" w:val="left"/>
        </w:tabs>
        <w:rPr>
          <w:sz w:val="20"/>
          <w:szCs w:val="20"/>
          <w:color w:val="auto"/>
        </w:rPr>
      </w:pPr>
      <w:r>
        <w:rPr>
          <w:rFonts w:ascii="Arial" w:cs="Arial" w:eastAsia="Arial" w:hAnsi="Arial"/>
          <w:sz w:val="22"/>
          <w:szCs w:val="22"/>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24765</wp:posOffset>
            </wp:positionV>
            <wp:extent cx="2238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Mary T. Barra</w:t>
      </w:r>
    </w:p>
    <w:p>
      <w:pPr>
        <w:spacing w:after="0" w:line="8"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Principal Executive Officer</w:t>
      </w:r>
    </w:p>
    <w:p>
      <w:pPr>
        <w:spacing w:after="0" w:line="200" w:lineRule="exact"/>
        <w:rPr>
          <w:sz w:val="20"/>
          <w:szCs w:val="20"/>
          <w:color w:val="auto"/>
        </w:rPr>
      </w:pPr>
    </w:p>
    <w:p>
      <w:pPr>
        <w:spacing w:after="0" w:line="380" w:lineRule="exact"/>
        <w:rPr>
          <w:sz w:val="20"/>
          <w:szCs w:val="20"/>
          <w:color w:val="auto"/>
        </w:rPr>
      </w:pPr>
    </w:p>
    <w:p>
      <w:pPr>
        <w:ind w:left="6440"/>
        <w:spacing w:after="0"/>
        <w:tabs>
          <w:tab w:leader="none" w:pos="7000" w:val="left"/>
        </w:tabs>
        <w:rPr>
          <w:sz w:val="20"/>
          <w:szCs w:val="20"/>
          <w:color w:val="auto"/>
        </w:rPr>
      </w:pPr>
      <w:r>
        <w:rPr>
          <w:rFonts w:ascii="Arial" w:cs="Arial" w:eastAsia="Arial" w:hAnsi="Arial"/>
          <w:sz w:val="22"/>
          <w:szCs w:val="22"/>
          <w:color w:val="auto"/>
        </w:rPr>
        <w:t>By:</w:t>
        <w:tab/>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24765</wp:posOffset>
            </wp:positionV>
            <wp:extent cx="22383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Charles K. Stevens III</w:t>
      </w:r>
    </w:p>
    <w:p>
      <w:pPr>
        <w:spacing w:after="0" w:line="8"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Principal Financial Officer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3</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1)"/>
      <w:numFmt w:val="lowerLetter"/>
      <w:start w:val="1"/>
    </w:lvl>
  </w:abstractNum>
  <w:abstractNum w:abstractNumId="3">
    <w:nsid w:val="1DBABF00"/>
    <w:multiLevelType w:val="hybridMultilevel"/>
    <w:lvl w:ilvl="0">
      <w:lvlJc w:val="left"/>
      <w:lvlText w:val="(%1)"/>
      <w:numFmt w:val="lowerLetter"/>
      <w:start w:val="3"/>
    </w:lvl>
  </w:abstractNum>
  <w:abstractNum w:abstractNumId="4">
    <w:nsid w:val="4AD084E9"/>
    <w:multiLevelType w:val="hybridMultilevel"/>
    <w:lvl w:ilvl="0">
      <w:lvlJc w:val="left"/>
      <w:lvlText w:val="(%1)"/>
      <w:numFmt w:val="lowerLetter"/>
      <w:start w:val="5"/>
    </w:lvl>
  </w:abstractNum>
  <w:abstractNum w:abstractNumId="5">
    <w:nsid w:val="1F48EAA1"/>
    <w:multiLevelType w:val="hybridMultilevel"/>
    <w:lvl w:ilvl="0">
      <w:lvlJc w:val="left"/>
      <w:lvlText w:val="(%1)"/>
      <w:numFmt w:val="lowerLetter"/>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1)"/>
      <w:numFmt w:val="lowerLetter"/>
      <w:start w:val="1"/>
    </w:lvl>
    <w:lvl w:ilvl="1">
      <w:lvlJc w:val="left"/>
      <w:lvlText w:val="*"/>
      <w:numFmt w:val="bullet"/>
      <w:start w:val="1"/>
    </w:lvl>
  </w:abstractNum>
  <w:abstractNum w:abstractNumId="10">
    <w:nsid w:val="15014ACB"/>
    <w:multiLevelType w:val="hybridMultilevel"/>
    <w:lvl w:ilvl="0">
      <w:lvlJc w:val="left"/>
      <w:lvlText w:val="(%1)"/>
      <w:numFmt w:val="lowerLetter"/>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1)"/>
      <w:numFmt w:val="decimal"/>
      <w:start w:val="2"/>
    </w:lvl>
  </w:abstractNum>
  <w:abstractNum w:abstractNumId="13">
    <w:nsid w:val="799D0247"/>
    <w:multiLevelType w:val="hybridMultilevel"/>
    <w:lvl w:ilvl="0">
      <w:lvlJc w:val="left"/>
      <w:lvlText w:val="(%1)"/>
      <w:numFmt w:val="decimal"/>
      <w:start w:val="2"/>
    </w:lvl>
  </w:abstractNum>
  <w:abstractNum w:abstractNumId="14">
    <w:nsid w:val="6B94764"/>
    <w:multiLevelType w:val="hybridMultilevel"/>
    <w:lvl w:ilvl="0">
      <w:lvlJc w:val="left"/>
      <w:lvlText w:val="(%1)"/>
      <w:numFmt w:val="decimal"/>
      <w:start w:val="2"/>
    </w:lvl>
  </w:abstractNum>
  <w:abstractNum w:abstractNumId="15">
    <w:nsid w:val="42C296BD"/>
    <w:multiLevelType w:val="hybridMultilevel"/>
    <w:lvl w:ilvl="0">
      <w:lvlJc w:val="left"/>
      <w:lvlText w:val="(%1)"/>
      <w:numFmt w:val="lowerLetter"/>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1)"/>
      <w:numFmt w:val="lowerLetter"/>
      <w:start w:val="1"/>
    </w:lvl>
  </w:abstractNum>
  <w:abstractNum w:abstractNumId="20">
    <w:nsid w:val="540A471C"/>
    <w:multiLevelType w:val="hybridMultilevel"/>
    <w:lvl w:ilvl="0">
      <w:lvlJc w:val="left"/>
      <w:lvlText w:val="(%1)"/>
      <w:numFmt w:val="lowerLetter"/>
      <w:start w:val="1"/>
    </w:lvl>
  </w:abstractNum>
  <w:abstractNum w:abstractNumId="21">
    <w:nsid w:val="7BD3EE7B"/>
    <w:multiLevelType w:val="hybridMultilevel"/>
    <w:lvl w:ilvl="0">
      <w:lvlJc w:val="left"/>
      <w:lvlText w:val="(%1)"/>
      <w:numFmt w:val="lowerLetter"/>
      <w:start w:val="1"/>
    </w:lvl>
  </w:abstractNum>
  <w:abstractNum w:abstractNumId="22">
    <w:nsid w:val="51D9C564"/>
    <w:multiLevelType w:val="hybridMultilevel"/>
    <w:lvl w:ilvl="0">
      <w:lvlJc w:val="left"/>
      <w:lvlText w:val="(%1)"/>
      <w:numFmt w:val="lowerLetter"/>
      <w:start w:val="1"/>
    </w:lvl>
  </w:abstractNum>
  <w:abstractNum w:abstractNumId="23">
    <w:nsid w:val="613EFDC5"/>
    <w:multiLevelType w:val="hybridMultilevel"/>
    <w:lvl w:ilvl="0">
      <w:lvlJc w:val="left"/>
      <w:lvlText w:val="(%1)"/>
      <w:numFmt w:val="lowerLetter"/>
      <w:start w:val="1"/>
    </w:lvl>
  </w:abstractNum>
  <w:abstractNum w:abstractNumId="24">
    <w:nsid w:val="BF72B14"/>
    <w:multiLevelType w:val="hybridMultilevel"/>
    <w:lvl w:ilvl="0">
      <w:lvlJc w:val="left"/>
      <w:lvlText w:val="(%1)"/>
      <w:numFmt w:val="lowerLetter"/>
      <w:start w:val="1"/>
    </w:lvl>
  </w:abstractNum>
  <w:abstractNum w:abstractNumId="25">
    <w:nsid w:val="11447B73"/>
    <w:multiLevelType w:val="hybridMultilevel"/>
    <w:lvl w:ilvl="0">
      <w:lvlJc w:val="left"/>
      <w:lvlText w:val="(%1)"/>
      <w:numFmt w:val="lowerLetter"/>
      <w:start w:val="1"/>
    </w:lvl>
  </w:abstractNum>
  <w:abstractNum w:abstractNumId="26">
    <w:nsid w:val="42963E5A"/>
    <w:multiLevelType w:val="hybridMultilevel"/>
    <w:lvl w:ilvl="0">
      <w:lvlJc w:val="left"/>
      <w:lvlText w:val="(%1)"/>
      <w:numFmt w:val="lowerLetter"/>
      <w:start w:val="1"/>
    </w:lvl>
  </w:abstractNum>
  <w:abstractNum w:abstractNumId="27">
    <w:nsid w:val="A0382C5"/>
    <w:multiLevelType w:val="hybridMultilevel"/>
    <w:lvl w:ilvl="0">
      <w:lvlJc w:val="left"/>
      <w:lvlText w:val="(%1)"/>
      <w:numFmt w:val="lowerLetter"/>
      <w:start w:val="1"/>
    </w:lvl>
  </w:abstractNum>
  <w:abstractNum w:abstractNumId="28">
    <w:nsid w:val="8F2B15E"/>
    <w:multiLevelType w:val="hybridMultilevel"/>
    <w:lvl w:ilvl="0">
      <w:lvlJc w:val="left"/>
      <w:lvlText w:val="(%1)"/>
      <w:numFmt w:val="decimal"/>
      <w:start w:val="4"/>
    </w:lvl>
  </w:abstractNum>
  <w:abstractNum w:abstractNumId="29">
    <w:nsid w:val="1A32234B"/>
    <w:multiLevelType w:val="hybridMultilevel"/>
    <w:lvl w:ilvl="0">
      <w:lvlJc w:val="left"/>
      <w:lvlText w:val="(%1)"/>
      <w:numFmt w:val="lowerLetter"/>
      <w:start w:val="1"/>
    </w:lvl>
  </w:abstractNum>
  <w:abstractNum w:abstractNumId="30">
    <w:nsid w:val="3B0FD379"/>
    <w:multiLevelType w:val="hybridMultilevel"/>
    <w:lvl w:ilvl="0">
      <w:lvlJc w:val="left"/>
      <w:lvlText w:val="(%1)"/>
      <w:numFmt w:val="lowerLetter"/>
      <w:start w:val="1"/>
    </w:lvl>
  </w:abstractNum>
  <w:abstractNum w:abstractNumId="31">
    <w:nsid w:val="68EB2F63"/>
    <w:multiLevelType w:val="hybridMultilevel"/>
    <w:lvl w:ilvl="0">
      <w:lvlJc w:val="left"/>
      <w:lvlText w:val="(%1)"/>
      <w:numFmt w:val="lowerLetter"/>
      <w:start w:val="1"/>
    </w:lvl>
  </w:abstractNum>
  <w:abstractNum w:abstractNumId="32">
    <w:nsid w:val="4962813B"/>
    <w:multiLevelType w:val="hybridMultilevel"/>
    <w:lvl w:ilvl="0">
      <w:lvlJc w:val="left"/>
      <w:lvlText w:val="(%1)"/>
      <w:numFmt w:val="lowerLetter"/>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1)"/>
      <w:numFmt w:val="lowerLetter"/>
      <w:start w:val="1"/>
    </w:lvl>
  </w:abstractNum>
  <w:abstractNum w:abstractNumId="38">
    <w:nsid w:val="71EA1109"/>
    <w:multiLevelType w:val="hybridMultilevel"/>
    <w:lvl w:ilvl="0">
      <w:lvlJc w:val="left"/>
      <w:lvlText w:val="(%1)"/>
      <w:numFmt w:val="lowerLetter"/>
      <w:start w:val="1"/>
    </w:lvl>
  </w:abstractNum>
  <w:abstractNum w:abstractNumId="39">
    <w:nsid w:val="100F59DC"/>
    <w:multiLevelType w:val="hybridMultilevel"/>
    <w:lvl w:ilvl="0">
      <w:lvlJc w:val="left"/>
      <w:lvlText w:val="(%1)"/>
      <w:numFmt w:val="lowerLetter"/>
      <w:start w:val="1"/>
    </w:lvl>
  </w:abstractNum>
  <w:abstractNum w:abstractNumId="40">
    <w:nsid w:val="7FB7E0AA"/>
    <w:multiLevelType w:val="hybridMultilevel"/>
    <w:lvl w:ilvl="0">
      <w:lvlJc w:val="left"/>
      <w:lvlText w:val="(%1)"/>
      <w:numFmt w:val="lowerLetter"/>
      <w:start w:val="1"/>
    </w:lvl>
  </w:abstractNum>
  <w:abstractNum w:abstractNumId="41">
    <w:nsid w:val="6EB5BD4"/>
    <w:multiLevelType w:val="hybridMultilevel"/>
    <w:lvl w:ilvl="0">
      <w:lvlJc w:val="left"/>
      <w:lvlText w:val="(%1)"/>
      <w:numFmt w:val="lowerLetter"/>
      <w:start w:val="2"/>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1)"/>
      <w:numFmt w:val="lowerLetter"/>
      <w:start w:val="1"/>
    </w:lvl>
  </w:abstractNum>
  <w:abstractNum w:abstractNumId="45">
    <w:nsid w:val="76272110"/>
    <w:multiLevelType w:val="hybridMultilevel"/>
    <w:lvl w:ilvl="0">
      <w:lvlJc w:val="left"/>
      <w:lvlText w:val="(%1)"/>
      <w:numFmt w:val="lowerLetter"/>
      <w:start w:val="5"/>
    </w:lvl>
  </w:abstractNum>
  <w:abstractNum w:abstractNumId="46">
    <w:nsid w:val="4C04A8AF"/>
    <w:multiLevelType w:val="hybridMultilevel"/>
    <w:lvl w:ilvl="0">
      <w:lvlJc w:val="left"/>
      <w:lvlText w:val="(%1)"/>
      <w:numFmt w:val="lowerLetter"/>
      <w:start w:val="1"/>
    </w:lvl>
  </w:abstractNum>
  <w:abstractNum w:abstractNumId="47">
    <w:nsid w:val="1716703B"/>
    <w:multiLevelType w:val="hybridMultilevel"/>
    <w:lvl w:ilvl="0">
      <w:lvlJc w:val="left"/>
      <w:lvlText w:val="(%1)"/>
      <w:numFmt w:val="lowerLetter"/>
      <w:start w:val="1"/>
    </w:lvl>
  </w:abstractNum>
  <w:abstractNum w:abstractNumId="48">
    <w:nsid w:val="14E17E33"/>
    <w:multiLevelType w:val="hybridMultilevel"/>
    <w:lvl w:ilvl="0">
      <w:lvlJc w:val="left"/>
      <w:lvlText w:val="(%1)"/>
      <w:numFmt w:val="lowerLetter"/>
      <w:start w:val="3"/>
    </w:lvl>
    <w:lvl w:ilvl="1">
      <w:lvlJc w:val="left"/>
      <w:lvlText w:val="(%2)"/>
      <w:numFmt w:val="lowerRoman"/>
      <w:start w:val="1"/>
    </w:lvl>
  </w:abstractNum>
  <w:abstractNum w:abstractNumId="49">
    <w:nsid w:val="3222E7CD"/>
    <w:multiLevelType w:val="hybridMultilevel"/>
    <w:lvl w:ilvl="0">
      <w:lvlJc w:val="left"/>
      <w:lvlText w:val="%1"/>
      <w:numFmt w:val="lowerLetter"/>
      <w:start w:val="1"/>
    </w:lvl>
    <w:lvl w:ilvl="1">
      <w:lvlJc w:val="left"/>
      <w:lvlText w:val="(%2)"/>
      <w:numFmt w:val="lowerRoman"/>
      <w:start w:val="5"/>
    </w:lvl>
  </w:abstractNum>
  <w:abstractNum w:abstractNumId="50">
    <w:nsid w:val="74DE0EE3"/>
    <w:multiLevelType w:val="hybridMultilevel"/>
    <w:lvl w:ilvl="0">
      <w:lvlJc w:val="left"/>
      <w:lvlText w:val="(%1)"/>
      <w:numFmt w:val="lowerLetter"/>
      <w:start w:val="5"/>
    </w:lvl>
    <w:lvl w:ilvl="1">
      <w:lvlJc w:val="left"/>
      <w:lvlText w:val="%2"/>
      <w:numFmt w:val="lowerRoman"/>
      <w:start w:val="1"/>
    </w:lvl>
  </w:abstractNum>
  <w:abstractNum w:abstractNumId="51">
    <w:nsid w:val="68EBC550"/>
    <w:multiLevelType w:val="hybridMultilevel"/>
    <w:lvl w:ilvl="0">
      <w:lvlJc w:val="left"/>
      <w:lvlText w:val="(%1)"/>
      <w:numFmt w:val="lowerLetter"/>
      <w:start w:val="1"/>
    </w:lvl>
  </w:abstractNum>
  <w:abstractNum w:abstractNumId="52">
    <w:nsid w:val="2DF6D648"/>
    <w:multiLevelType w:val="hybridMultilevel"/>
    <w:lvl w:ilvl="0">
      <w:lvlJc w:val="left"/>
      <w:lvlText w:val="(%1)"/>
      <w:numFmt w:val="lowerRoman"/>
      <w:start w:val="1"/>
    </w:lvl>
    <w:lvl w:ilvl="1">
      <w:lvlJc w:val="left"/>
      <w:lvlText w:val="(%2)"/>
      <w:numFmt w:val="upperLetter"/>
      <w:start w:val="1"/>
    </w:lvl>
  </w:abstractNum>
  <w:abstractNum w:abstractNumId="53">
    <w:nsid w:val="46B7D447"/>
    <w:multiLevelType w:val="hybridMultilevel"/>
    <w:lvl w:ilvl="0">
      <w:lvlJc w:val="left"/>
      <w:lvlText w:val="%1"/>
      <w:numFmt w:val="lowerRoman"/>
      <w:start w:val="1"/>
    </w:lvl>
    <w:lvl w:ilvl="1">
      <w:lvlJc w:val="left"/>
      <w:lvlText w:val="(%2)"/>
      <w:numFmt w:val="upperLetter"/>
      <w:start w:val="6"/>
    </w:lvl>
  </w:abstractNum>
  <w:abstractNum w:abstractNumId="54">
    <w:nsid w:val="4A2AC315"/>
    <w:multiLevelType w:val="hybridMultilevel"/>
    <w:lvl w:ilvl="0">
      <w:lvlJc w:val="left"/>
      <w:lvlText w:val="(%1)"/>
      <w:numFmt w:val="lowerRoman"/>
      <w:start w:val="4"/>
    </w:lvl>
    <w:lvl w:ilvl="1">
      <w:lvlJc w:val="left"/>
      <w:lvlText w:val="%2"/>
      <w:numFmt w:val="upperLetter"/>
      <w:start w:val="1"/>
    </w:lvl>
  </w:abstractNum>
  <w:abstractNum w:abstractNumId="55">
    <w:nsid w:val="39EE015C"/>
    <w:multiLevelType w:val="hybridMultilevel"/>
    <w:lvl w:ilvl="0">
      <w:lvlJc w:val="left"/>
      <w:lvlText w:val="(%1)"/>
      <w:numFmt w:val="lowerLetter"/>
      <w:start w:val="1"/>
    </w:lvl>
  </w:abstractNum>
  <w:abstractNum w:abstractNumId="56">
    <w:nsid w:val="57FC4FBB"/>
    <w:multiLevelType w:val="hybridMultilevel"/>
    <w:lvl w:ilvl="0">
      <w:lvlJc w:val="left"/>
      <w:lvlText w:val="(%1)"/>
      <w:numFmt w:val="lowerLetter"/>
      <w:start w:val="5"/>
    </w:lvl>
  </w:abstractNum>
  <w:abstractNum w:abstractNumId="57">
    <w:nsid w:val="CC1016F"/>
    <w:multiLevelType w:val="hybridMultilevel"/>
    <w:lvl w:ilvl="0">
      <w:lvlJc w:val="left"/>
      <w:lvlText w:val="(%1)"/>
      <w:numFmt w:val="lowerLetter"/>
      <w:start w:val="1"/>
    </w:lvl>
  </w:abstractNum>
  <w:abstractNum w:abstractNumId="58">
    <w:nsid w:val="43F18422"/>
    <w:multiLevelType w:val="hybridMultilevel"/>
    <w:lvl w:ilvl="0">
      <w:lvlJc w:val="left"/>
      <w:lvlText w:val="(%1)"/>
      <w:numFmt w:val="lowerLetter"/>
      <w:start w:val="8"/>
    </w:lvl>
  </w:abstractNum>
  <w:abstractNum w:abstractNumId="59">
    <w:nsid w:val="60EF0119"/>
    <w:multiLevelType w:val="hybridMultilevel"/>
    <w:lvl w:ilvl="0">
      <w:lvlJc w:val="left"/>
      <w:lvlText w:val="(%1)"/>
      <w:numFmt w:val="lowerLetter"/>
      <w:start w:val="1"/>
    </w:lvl>
  </w:abstractNum>
  <w:abstractNum w:abstractNumId="60">
    <w:nsid w:val="26F324BA"/>
    <w:multiLevelType w:val="hybridMultilevel"/>
    <w:lvl w:ilvl="0">
      <w:lvlJc w:val="left"/>
      <w:lvlText w:val="(%1)"/>
      <w:numFmt w:val="lowerLetter"/>
      <w:start w:val="5"/>
    </w:lvl>
  </w:abstractNum>
  <w:abstractNum w:abstractNumId="61">
    <w:nsid w:val="7F01579B"/>
    <w:multiLevelType w:val="hybridMultilevel"/>
    <w:lvl w:ilvl="0">
      <w:lvlJc w:val="left"/>
      <w:lvlText w:val="(%1)"/>
      <w:numFmt w:val="lowerLetter"/>
      <w:start w:val="20"/>
    </w:lvl>
  </w:abstractNum>
  <w:abstractNum w:abstractNumId="62">
    <w:nsid w:val="49DA307D"/>
    <w:multiLevelType w:val="hybridMultilevel"/>
    <w:lvl w:ilvl="0">
      <w:lvlJc w:val="left"/>
      <w:lvlText w:val="(%1)"/>
      <w:numFmt w:val="lowerLetter"/>
      <w:start w:val="27"/>
    </w:lvl>
  </w:abstractNum>
  <w:abstractNum w:abstractNumId="63">
    <w:nsid w:val="7055A5F5"/>
    <w:multiLevelType w:val="hybridMultilevel"/>
    <w:lvl w:ilvl="0">
      <w:lvlJc w:val="left"/>
      <w:lvlText w:val="(%1)"/>
      <w:numFmt w:val="lowerLetter"/>
      <w:start w:val="28"/>
    </w:lvl>
  </w:abstractNum>
  <w:abstractNum w:abstractNumId="64">
    <w:nsid w:val="5FB8370B"/>
    <w:multiLevelType w:val="hybridMultilevel"/>
    <w:lvl w:ilvl="0">
      <w:lvlJc w:val="left"/>
      <w:lvlText w:val="(%1)"/>
      <w:numFmt w:val="lowerLetter"/>
      <w:start w:val="32"/>
    </w:lvl>
  </w:abstractNum>
  <w:abstractNum w:abstractNumId="65">
    <w:nsid w:val="50801EE1"/>
    <w:multiLevelType w:val="hybridMultilevel"/>
    <w:lvl w:ilvl="0">
      <w:lvlJc w:val="left"/>
      <w:lvlText w:val="(%1)"/>
      <w:numFmt w:val="lowerLetter"/>
      <w:start w:val="1"/>
    </w:lvl>
  </w:abstractNum>
  <w:abstractNum w:abstractNumId="66">
    <w:nsid w:val="488AC1A"/>
    <w:multiLevelType w:val="hybridMultilevel"/>
    <w:lvl w:ilvl="0">
      <w:lvlJc w:val="left"/>
      <w:lvlText w:val="(%1)"/>
      <w:numFmt w:val="lowerLetter"/>
      <w:start w:val="1"/>
    </w:lvl>
    <w:lvl w:ilvl="1">
      <w:lvlJc w:val="left"/>
      <w:lvlText w:val="(%2)"/>
      <w:numFmt w:val="lowerRoman"/>
      <w:start w:val="2"/>
    </w:lvl>
  </w:abstractNum>
  <w:abstractNum w:abstractNumId="67">
    <w:nsid w:val="5FB8011C"/>
    <w:multiLevelType w:val="hybridMultilevel"/>
    <w:lvl w:ilvl="0">
      <w:lvlJc w:val="left"/>
      <w:lvlText w:val="(%1)"/>
      <w:numFmt w:val="lowerLetter"/>
      <w:start w:val="1"/>
    </w:lvl>
  </w:abstractNum>
  <w:abstractNum w:abstractNumId="68">
    <w:nsid w:val="6AA78F7F"/>
    <w:multiLevelType w:val="hybridMultilevel"/>
    <w:lvl w:ilvl="0">
      <w:lvlJc w:val="left"/>
      <w:lvlText w:val="(%1)"/>
      <w:numFmt w:val="lowerLetter"/>
      <w:start w:val="3"/>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1)"/>
      <w:numFmt w:val="lowerLetter"/>
      <w:start w:val="6"/>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1)"/>
      <w:numFmt w:val="lowerLetter"/>
      <w:start w:val="16"/>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1)"/>
      <w:numFmt w:val="decimal"/>
      <w:start w:val="1"/>
    </w:lvl>
  </w:abstractNum>
  <w:abstractNum w:abstractNumId="75">
    <w:nsid w:val="7DE67713"/>
    <w:multiLevelType w:val="hybridMultilevel"/>
    <w:lvl w:ilvl="0">
      <w:lvlJc w:val="left"/>
      <w:lvlText w:val="(%1)"/>
      <w:numFmt w:val="decimal"/>
      <w:start w:val="2"/>
    </w:lvl>
  </w:abstractNum>
  <w:abstractNum w:abstractNumId="76">
    <w:nsid w:val="555C55B5"/>
    <w:multiLevelType w:val="hybridMultilevel"/>
    <w:lvl w:ilvl="0">
      <w:lvlJc w:val="left"/>
      <w:lvlText w:val="(%1)"/>
      <w:numFmt w:val="upperLetter"/>
      <w:start w:val="1"/>
    </w:lvl>
  </w:abstractNum>
  <w:abstractNum w:abstractNumId="77">
    <w:nsid w:val="3FA62ACA"/>
    <w:multiLevelType w:val="hybridMultilevel"/>
    <w:lvl w:ilvl="0">
      <w:lvlJc w:val="left"/>
      <w:lvlText w:val="%1."/>
      <w:numFmt w:val="decimal"/>
      <w:start w:val="1"/>
    </w:lvl>
  </w:abstractNum>
  <w:abstractNum w:abstractNumId="78">
    <w:nsid w:val="14FCE74E"/>
    <w:multiLevelType w:val="hybridMultilevel"/>
    <w:lvl w:ilvl="0">
      <w:lvlJc w:val="left"/>
      <w:lvlText w:val="(%1)"/>
      <w:numFmt w:val="lowerLetter"/>
      <w:start w:val="1"/>
    </w:lvl>
  </w:abstractNum>
  <w:abstractNum w:abstractNumId="79">
    <w:nsid w:val="6A3DD3E8"/>
    <w:multiLevelType w:val="hybridMultilevel"/>
    <w:lvl w:ilvl="0">
      <w:lvlJc w:val="left"/>
      <w:lvlText w:val="(%1)"/>
      <w:numFmt w:val="lowerLetter"/>
      <w:start w:val="3"/>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1"/>
    </w:lvl>
  </w:abstractNum>
  <w:abstractNum w:abstractNumId="82">
    <w:nsid w:val="53299938"/>
    <w:multiLevelType w:val="hybridMultilevel"/>
    <w:lvl w:ilvl="0">
      <w:lvlJc w:val="left"/>
      <w:lvlText w:val="(%1)"/>
      <w:numFmt w:val="lowerRoman"/>
      <w:start w:val="1"/>
    </w:lvl>
  </w:abstractNum>
  <w:abstractNum w:abstractNumId="83">
    <w:nsid w:val="1FBFE8E0"/>
    <w:multiLevelType w:val="hybridMultilevel"/>
    <w:lvl w:ilvl="0">
      <w:lvlJc w:val="left"/>
      <w:lvlText w:val="%1."/>
      <w:numFmt w:val="decimal"/>
      <w:start w:val="3"/>
    </w:lvl>
  </w:abstractNum>
  <w:abstractNum w:abstractNumId="84">
    <w:nsid w:val="5092CA79"/>
    <w:multiLevelType w:val="hybridMultilevel"/>
    <w:lvl w:ilvl="0">
      <w:lvlJc w:val="left"/>
      <w:lvlText w:val="%1"/>
      <w:numFmt w:val="decimal"/>
      <w:start w:val="1"/>
    </w:lvl>
    <w:lvl w:ilvl="1">
      <w:lvlJc w:val="left"/>
      <w:lvlText w:val="(%2)"/>
      <w:numFmt w:val="lowerRoman"/>
      <w:start w:val="1"/>
    </w:lvl>
  </w:abstractNum>
  <w:abstractNum w:abstractNumId="85">
    <w:nsid w:val="1D545C4D"/>
    <w:multiLevelType w:val="hybridMultilevel"/>
    <w:lvl w:ilvl="0">
      <w:lvlJc w:val="left"/>
      <w:lvlText w:val="%1."/>
      <w:numFmt w:val="decimal"/>
      <w:start w:val="4"/>
    </w:lvl>
    <w:lvl w:ilvl="1">
      <w:lvlJc w:val="left"/>
      <w:lvlText w:val="%2"/>
      <w:numFmt w:val="lowerRoman"/>
      <w:start w:val="1"/>
    </w:lvl>
  </w:abstractNum>
  <w:abstractNum w:abstractNumId="86">
    <w:nsid w:val="59ADEA3D"/>
    <w:multiLevelType w:val="hybridMultilevel"/>
    <w:lvl w:ilvl="0">
      <w:lvlJc w:val="left"/>
      <w:lvlText w:val="%1."/>
      <w:numFmt w:val="decimal"/>
      <w:start w:val="5"/>
    </w:lvl>
  </w:abstractNum>
  <w:abstractNum w:abstractNumId="87">
    <w:nsid w:val="288F1A34"/>
    <w:multiLevelType w:val="hybridMultilevel"/>
    <w:lvl w:ilvl="0">
      <w:lvlJc w:val="left"/>
      <w:lvlText w:val="%1."/>
      <w:numFmt w:val="decimal"/>
      <w:start w:val="6"/>
    </w:lvl>
  </w:abstractNum>
  <w:abstractNum w:abstractNumId="88">
    <w:nsid w:val="2A155DBC"/>
    <w:multiLevelType w:val="hybridMultilevel"/>
    <w:lvl w:ilvl="0">
      <w:lvlJc w:val="left"/>
      <w:lvlText w:val="(%1)"/>
      <w:numFmt w:val="lowerLetter"/>
      <w:start w:val="1"/>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lowerLetter"/>
      <w:start w:val="1"/>
    </w:lvl>
  </w:abstractNum>
  <w:abstractNum w:abstractNumId="91">
    <w:nsid w:val="51088277"/>
    <w:multiLevelType w:val="hybridMultilevel"/>
    <w:lvl w:ilvl="0">
      <w:lvlJc w:val="left"/>
      <w:lvlText w:val="(%1)"/>
      <w:numFmt w:val="lowerLetter"/>
      <w:start w:val="2"/>
    </w:lvl>
  </w:abstractNum>
  <w:abstractNum w:abstractNumId="92">
    <w:nsid w:val="1CA0C5FA"/>
    <w:multiLevelType w:val="hybridMultilevel"/>
    <w:lvl w:ilvl="0">
      <w:lvlJc w:val="left"/>
      <w:lvlText w:val="(%1)"/>
      <w:numFmt w:val="lowerLetter"/>
      <w:start w:val="1"/>
    </w:lvl>
  </w:abstractNum>
  <w:abstractNum w:abstractNumId="93">
    <w:nsid w:val="53584BCB"/>
    <w:multiLevelType w:val="hybridMultilevel"/>
    <w:lvl w:ilvl="0">
      <w:lvlJc w:val="left"/>
      <w:lvlText w:val="%1."/>
      <w:numFmt w:val="decimal"/>
      <w:start w:val="7"/>
    </w:lvl>
  </w:abstractNum>
  <w:abstractNum w:abstractNumId="94">
    <w:nsid w:val="415E286C"/>
    <w:multiLevelType w:val="hybridMultilevel"/>
    <w:lvl w:ilvl="0">
      <w:lvlJc w:val="left"/>
      <w:lvlText w:val="(%1)"/>
      <w:numFmt w:val="lowerLetter"/>
      <w:start w:val="1"/>
    </w:lvl>
  </w:abstractNum>
  <w:abstractNum w:abstractNumId="95">
    <w:nsid w:val="7C58FD05"/>
    <w:multiLevelType w:val="hybridMultilevel"/>
    <w:lvl w:ilvl="0">
      <w:lvlJc w:val="left"/>
      <w:lvlText w:val="%1."/>
      <w:numFmt w:val="decimal"/>
      <w:start w:val="8"/>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1"/>
    </w:lvl>
  </w:abstractNum>
  <w:abstractNum w:abstractNumId="98">
    <w:nsid w:val="5C10FE21"/>
    <w:multiLevelType w:val="hybridMultilevel"/>
    <w:lvl w:ilvl="0">
      <w:lvlJc w:val="left"/>
      <w:lvlText w:val="(%1)"/>
      <w:numFmt w:val="lowerLetter"/>
      <w:start w:val="5"/>
    </w:lvl>
  </w:abstractNum>
  <w:abstractNum w:abstractNumId="99">
    <w:nsid w:val="E7FFA2B"/>
    <w:multiLevelType w:val="hybridMultilevel"/>
    <w:lvl w:ilvl="0">
      <w:lvlJc w:val="left"/>
      <w:lvlText w:val="(%1)"/>
      <w:numFmt w:val="lowerLetter"/>
      <w:start w:val="1"/>
    </w:lvl>
  </w:abstractNum>
  <w:abstractNum w:abstractNumId="100">
    <w:nsid w:val="3C5991AA"/>
    <w:multiLevelType w:val="hybridMultilevel"/>
    <w:lvl w:ilvl="0">
      <w:lvlJc w:val="left"/>
      <w:lvlText w:val="%1."/>
      <w:numFmt w:val="decimal"/>
      <w:start w:val="9"/>
    </w:lvl>
  </w:abstractNum>
  <w:abstractNum w:abstractNumId="101">
    <w:nsid w:val="4BD8591A"/>
    <w:multiLevelType w:val="hybridMultilevel"/>
    <w:lvl w:ilvl="0">
      <w:lvlJc w:val="left"/>
      <w:lvlText w:val="%1."/>
      <w:numFmt w:val="decimal"/>
      <w:start w:val="11"/>
    </w:lvl>
  </w:abstractNum>
  <w:abstractNum w:abstractNumId="102">
    <w:nsid w:val="78DF6A55"/>
    <w:multiLevelType w:val="hybridMultilevel"/>
    <w:lvl w:ilvl="0">
      <w:lvlJc w:val="left"/>
      <w:lvlText w:val="%1."/>
      <w:numFmt w:val="decimal"/>
      <w:start w:val="14"/>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1)"/>
      <w:numFmt w:val="lowerLetter"/>
      <w:start w:val="2"/>
    </w:lvl>
  </w:abstractNum>
  <w:abstractNum w:abstractNumId="105">
    <w:nsid w:val="6C80EC70"/>
    <w:multiLevelType w:val="hybridMultilevel"/>
    <w:lvl w:ilvl="0">
      <w:lvlJc w:val="left"/>
      <w:lvlText w:val="%1."/>
      <w:numFmt w:val="decimal"/>
      <w:start w:val="15"/>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1."/>
      <w:numFmt w:val="decimal"/>
      <w:start w:val="1"/>
    </w:lvl>
  </w:abstractNum>
  <w:abstractNum w:abstractNumId="108">
    <w:nsid w:val="2C27173B"/>
    <w:multiLevelType w:val="hybridMultilevel"/>
    <w:lvl w:ilvl="0">
      <w:lvlJc w:val="left"/>
      <w:lvlText w:val="%1."/>
      <w:numFmt w:val="decimal"/>
      <w:start w:val="2"/>
    </w:lvl>
  </w:abstractNum>
  <w:abstractNum w:abstractNumId="109">
    <w:nsid w:val="4C9B0904"/>
    <w:multiLevelType w:val="hybridMultilevel"/>
    <w:lvl w:ilvl="0">
      <w:lvlJc w:val="left"/>
      <w:lvlText w:val="%1."/>
      <w:numFmt w:val="decimal"/>
      <w:start w:val="3"/>
    </w:lvl>
  </w:abstractNum>
  <w:abstractNum w:abstractNumId="110">
    <w:nsid w:val="6AA7B75C"/>
    <w:multiLevelType w:val="hybridMultilevel"/>
    <w:lvl w:ilvl="0">
      <w:lvlJc w:val="left"/>
      <w:lvlText w:val="%1."/>
      <w:numFmt w:val="decimal"/>
      <w:start w:val="5"/>
    </w:lvl>
  </w:abstractNum>
  <w:abstractNum w:abstractNumId="111">
    <w:nsid w:val="1DF029D3"/>
    <w:multiLevelType w:val="hybridMultilevel"/>
    <w:lvl w:ilvl="0">
      <w:lvlJc w:val="left"/>
      <w:lvlText w:val="%1."/>
      <w:numFmt w:val="decimal"/>
      <w:start w:val="6"/>
    </w:lvl>
  </w:abstractNum>
  <w:abstractNum w:abstractNumId="112">
    <w:nsid w:val="5675FF36"/>
    <w:multiLevelType w:val="hybridMultilevel"/>
    <w:lvl w:ilvl="0">
      <w:lvlJc w:val="left"/>
      <w:lvlText w:val="%1."/>
      <w:numFmt w:val="decimal"/>
      <w:start w:val="8"/>
    </w:lvl>
  </w:abstractNum>
  <w:abstractNum w:abstractNumId="113">
    <w:nsid w:val="3DD15094"/>
    <w:multiLevelType w:val="hybridMultilevel"/>
    <w:lvl w:ilvl="0">
      <w:lvlJc w:val="left"/>
      <w:lvlText w:val="%1."/>
      <w:numFmt w:val="decimal"/>
      <w:start w:val="11"/>
    </w:lvl>
  </w:abstractNum>
  <w:abstractNum w:abstractNumId="114">
    <w:nsid w:val="3DB012B3"/>
    <w:multiLevelType w:val="hybridMultilevel"/>
    <w:lvl w:ilvl="0">
      <w:lvlJc w:val="left"/>
      <w:lvlText w:val="%1."/>
      <w:numFmt w:val="decimal"/>
      <w:start w:val="12"/>
    </w:lvl>
  </w:abstractNum>
  <w:abstractNum w:abstractNumId="115">
    <w:nsid w:val="2708C9AF"/>
    <w:multiLevelType w:val="hybridMultilevel"/>
    <w:lvl w:ilvl="0">
      <w:lvlJc w:val="left"/>
      <w:lvlText w:val="%1."/>
      <w:numFmt w:val="decimal"/>
      <w:start w:val="13"/>
    </w:lvl>
  </w:abstractNum>
  <w:abstractNum w:abstractNumId="116">
    <w:nsid w:val="5B25ACE2"/>
    <w:multiLevelType w:val="hybridMultilevel"/>
    <w:lvl w:ilvl="0">
      <w:lvlJc w:val="left"/>
      <w:lvlText w:val="-"/>
      <w:numFmt w:val="bullet"/>
      <w:start w:val="1"/>
    </w:lvl>
  </w:abstractNum>
  <w:abstractNum w:abstractNumId="117">
    <w:nsid w:val="175DFCF0"/>
    <w:multiLevelType w:val="hybridMultilevel"/>
    <w:lvl w:ilvl="0">
      <w:lvlJc w:val="left"/>
      <w:lvlText w:val="%1."/>
      <w:numFmt w:val="decimal"/>
      <w:start w:val="14"/>
    </w:lvl>
  </w:abstractNum>
  <w:abstractNum w:abstractNumId="118">
    <w:nsid w:val="4F97E3E4"/>
    <w:multiLevelType w:val="hybridMultilevel"/>
    <w:lvl w:ilvl="0">
      <w:lvlJc w:val="left"/>
      <w:lvlText w:val="-"/>
      <w:numFmt w:val="bullet"/>
      <w:start w:val="1"/>
    </w:lvl>
  </w:abstractNum>
  <w:abstractNum w:abstractNumId="119">
    <w:nsid w:val="53B0A9E"/>
    <w:multiLevelType w:val="hybridMultilevel"/>
    <w:lvl w:ilvl="0">
      <w:lvlJc w:val="left"/>
      <w:lvlText w:val="%1."/>
      <w:numFmt w:val="decimal"/>
      <w:start w:val="1"/>
    </w:lvl>
  </w:abstractNum>
  <w:abstractNum w:abstractNumId="120">
    <w:nsid w:val="34FD6B4F"/>
    <w:multiLevelType w:val="hybridMultilevel"/>
    <w:lvl w:ilvl="0">
      <w:lvlJc w:val="left"/>
      <w:lvlText w:val="%1."/>
      <w:numFmt w:val="decimal"/>
      <w:start w:val="2"/>
    </w:lvl>
  </w:abstractNum>
  <w:abstractNum w:abstractNumId="121">
    <w:nsid w:val="5915FF32"/>
    <w:multiLevelType w:val="hybridMultilevel"/>
    <w:lvl w:ilvl="0">
      <w:lvlJc w:val="left"/>
      <w:lvlText w:val="%1."/>
      <w:numFmt w:val="decimal"/>
      <w:start w:val="3"/>
    </w:lvl>
  </w:abstractNum>
  <w:abstractNum w:abstractNumId="122">
    <w:nsid w:val="56438D15"/>
    <w:multiLevelType w:val="hybridMultilevel"/>
    <w:lvl w:ilvl="0">
      <w:lvlJc w:val="left"/>
      <w:lvlText w:val="%1."/>
      <w:numFmt w:val="decimal"/>
      <w:start w:val="1"/>
    </w:lvl>
    <w:lvl w:ilvl="1">
      <w:lvlJc w:val="left"/>
      <w:lvlText w:val="%2)"/>
      <w:numFmt w:val="lowerLetter"/>
      <w:start w:val="1"/>
    </w:lvl>
  </w:abstractNum>
  <w:abstractNum w:abstractNumId="123">
    <w:nsid w:val="519E3149"/>
    <w:multiLevelType w:val="hybridMultilevel"/>
    <w:lvl w:ilvl="0">
      <w:lvlJc w:val="left"/>
      <w:lvlText w:val="%1."/>
      <w:numFmt w:val="decimal"/>
      <w:start w:val="1"/>
    </w:lvl>
    <w:lvl w:ilvl="1">
      <w:lvlJc w:val="left"/>
      <w:lvlText w:val="%2)"/>
      <w:numFmt w:val="lowerLetter"/>
      <w:start w:val="1"/>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lowerRoman"/>
      <w:start w:val="1"/>
    </w:lvl>
    <w:lvl w:ilvl="1">
      <w:lvlJc w:val="left"/>
      <w:lvlText w:val="(%2)"/>
      <w:numFmt w:val="upperLetter"/>
      <w:start w:val="1"/>
    </w:lvl>
  </w:abstractNum>
  <w:abstractNum w:abstractNumId="126">
    <w:nsid w:val="4DF72E4E"/>
    <w:multiLevelType w:val="hybridMultilevel"/>
    <w:lvl w:ilvl="0">
      <w:lvlJc w:val="left"/>
      <w:lvlText w:val="(%1)"/>
      <w:numFmt w:val="lowerRoman"/>
      <w:start w:val="7"/>
    </w:lvl>
  </w:abstractNum>
  <w:abstractNum w:abstractNumId="127">
    <w:nsid w:val="5046B5A9"/>
    <w:multiLevelType w:val="hybridMultilevel"/>
    <w:lvl w:ilvl="0">
      <w:lvlJc w:val="left"/>
      <w:lvlText w:val="(%1)"/>
      <w:numFmt w:val="lowerRoman"/>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2019-12-07T20:21:53Z</dcterms:created>
  <dcterms:modified xsi:type="dcterms:W3CDTF">2019-12-07T20:21:53Z</dcterms:modified>
</cp:coreProperties>
</file>